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Ansi="宋体" w:cs="宋体"/>
          <w:b/>
          <w:sz w:val="32"/>
          <w:szCs w:val="32"/>
        </w:rPr>
      </w:pPr>
    </w:p>
    <w:p>
      <w:pPr>
        <w:tabs>
          <w:tab w:val="left" w:pos="7815"/>
        </w:tabs>
        <w:spacing w:line="360" w:lineRule="auto"/>
        <w:rPr>
          <w:rFonts w:hAnsi="宋体" w:cs="宋体"/>
          <w:b/>
          <w:sz w:val="32"/>
          <w:szCs w:val="32"/>
        </w:rPr>
      </w:pPr>
      <w:r>
        <w:rPr>
          <w:rFonts w:hAnsi="宋体" w:cs="宋体"/>
          <w:b/>
          <w:sz w:val="32"/>
          <w:szCs w:val="32"/>
        </w:rPr>
        <w:tab/>
      </w:r>
    </w:p>
    <w:p>
      <w:pPr>
        <w:jc w:val="center"/>
        <w:rPr>
          <w:rFonts w:hAnsi="宋体"/>
          <w:b/>
          <w:sz w:val="44"/>
          <w:szCs w:val="44"/>
        </w:rPr>
      </w:pPr>
      <w:r>
        <w:rPr>
          <w:rFonts w:hint="eastAsia" w:hAnsi="宋体"/>
          <w:b/>
          <w:sz w:val="44"/>
          <w:szCs w:val="44"/>
        </w:rPr>
        <w:t>天津蜀物智链科技有限公司</w:t>
      </w:r>
    </w:p>
    <w:p>
      <w:pPr>
        <w:jc w:val="center"/>
        <w:rPr>
          <w:rFonts w:ascii="宋体" w:hAnsi="宋体"/>
          <w:b/>
          <w:sz w:val="44"/>
          <w:szCs w:val="44"/>
        </w:rPr>
      </w:pPr>
      <w:r>
        <w:rPr>
          <w:rFonts w:hint="eastAsia" w:ascii="宋体" w:hAnsi="宋体"/>
          <w:b/>
          <w:sz w:val="44"/>
          <w:szCs w:val="44"/>
          <w:lang w:val="en-US" w:eastAsia="zh-CN"/>
        </w:rPr>
        <w:t>产业e贷需求</w:t>
      </w:r>
      <w:r>
        <w:rPr>
          <w:rFonts w:hint="eastAsia" w:ascii="宋体" w:hAnsi="宋体"/>
          <w:b/>
          <w:sz w:val="44"/>
          <w:szCs w:val="44"/>
        </w:rPr>
        <w:t>研发业务外包服务采购项目</w:t>
      </w:r>
    </w:p>
    <w:p>
      <w:pPr>
        <w:rPr>
          <w:rFonts w:hAnsi="宋体" w:cs="宋体"/>
          <w:b/>
          <w:sz w:val="48"/>
          <w:szCs w:val="48"/>
        </w:rPr>
      </w:pPr>
    </w:p>
    <w:p>
      <w:pPr>
        <w:ind w:firstLine="242" w:firstLineChars="43"/>
        <w:jc w:val="center"/>
        <w:rPr>
          <w:rFonts w:hAnsi="宋体" w:cs="宋体"/>
          <w:sz w:val="72"/>
          <w:szCs w:val="72"/>
        </w:rPr>
      </w:pPr>
      <w:bookmarkStart w:id="0" w:name="_Toc458683921"/>
      <w:bookmarkStart w:id="1" w:name="_Toc433364075"/>
      <w:r>
        <w:rPr>
          <w:rFonts w:hint="eastAsia" w:hAnsi="宋体" w:cs="宋体"/>
          <w:b/>
          <w:sz w:val="56"/>
          <w:szCs w:val="56"/>
        </w:rPr>
        <w:t>公开比选文件</w:t>
      </w:r>
      <w:bookmarkEnd w:id="0"/>
      <w:bookmarkEnd w:id="1"/>
    </w:p>
    <w:p>
      <w:pPr>
        <w:spacing w:line="360" w:lineRule="auto"/>
        <w:jc w:val="center"/>
        <w:rPr>
          <w:rFonts w:hAnsi="宋体" w:cs="宋体"/>
          <w:sz w:val="40"/>
          <w:szCs w:val="40"/>
        </w:rPr>
      </w:pPr>
    </w:p>
    <w:p>
      <w:pPr>
        <w:spacing w:line="360" w:lineRule="auto"/>
        <w:ind w:firstLine="2180" w:firstLineChars="545"/>
        <w:rPr>
          <w:rFonts w:hAnsi="宋体" w:cs="宋体"/>
          <w:sz w:val="40"/>
          <w:szCs w:val="40"/>
        </w:rPr>
      </w:pPr>
    </w:p>
    <w:p>
      <w:pPr>
        <w:spacing w:line="360" w:lineRule="auto"/>
        <w:ind w:firstLine="2180" w:firstLineChars="545"/>
        <w:rPr>
          <w:rFonts w:hAnsi="宋体" w:cs="宋体"/>
          <w:sz w:val="40"/>
          <w:szCs w:val="40"/>
        </w:rPr>
      </w:pPr>
    </w:p>
    <w:p>
      <w:pPr>
        <w:spacing w:line="360" w:lineRule="auto"/>
        <w:rPr>
          <w:rFonts w:hAnsi="宋体" w:cs="宋体"/>
          <w:b/>
          <w:sz w:val="28"/>
          <w:szCs w:val="28"/>
        </w:rPr>
      </w:pPr>
      <w:r>
        <w:rPr>
          <w:rFonts w:hint="eastAsia" w:hAnsi="宋体" w:cs="宋体"/>
          <w:b/>
          <w:sz w:val="28"/>
          <w:szCs w:val="28"/>
        </w:rPr>
        <w:t xml:space="preserve">            采 购 人：天津蜀物智链科技有限公司</w:t>
      </w:r>
    </w:p>
    <w:p>
      <w:pPr>
        <w:spacing w:line="360" w:lineRule="auto"/>
        <w:jc w:val="center"/>
        <w:rPr>
          <w:rFonts w:hAnsi="宋体" w:cs="宋体"/>
          <w:b/>
          <w:sz w:val="28"/>
          <w:szCs w:val="28"/>
        </w:rPr>
      </w:pPr>
    </w:p>
    <w:p>
      <w:pPr>
        <w:spacing w:line="360" w:lineRule="auto"/>
        <w:jc w:val="center"/>
        <w:rPr>
          <w:rFonts w:hAnsi="宋体" w:cs="宋体"/>
          <w:b/>
          <w:sz w:val="28"/>
          <w:szCs w:val="28"/>
        </w:rPr>
      </w:pPr>
    </w:p>
    <w:p>
      <w:pPr>
        <w:spacing w:line="360" w:lineRule="auto"/>
        <w:jc w:val="center"/>
        <w:rPr>
          <w:rFonts w:hAnsi="宋体" w:cs="宋体"/>
          <w:b/>
          <w:sz w:val="28"/>
          <w:szCs w:val="28"/>
        </w:rPr>
      </w:pPr>
      <w:r>
        <w:rPr>
          <w:rFonts w:hint="eastAsia" w:hAnsi="宋体" w:cs="宋体"/>
          <w:b/>
          <w:sz w:val="28"/>
          <w:szCs w:val="28"/>
        </w:rPr>
        <w:t>202</w:t>
      </w:r>
      <w:r>
        <w:rPr>
          <w:rFonts w:hint="eastAsia" w:hAnsi="宋体" w:cs="宋体"/>
          <w:b/>
          <w:sz w:val="28"/>
          <w:szCs w:val="28"/>
          <w:lang w:val="en-US" w:eastAsia="zh-CN"/>
        </w:rPr>
        <w:t>3</w:t>
      </w:r>
      <w:r>
        <w:rPr>
          <w:rFonts w:hint="eastAsia" w:hAnsi="宋体" w:cs="宋体"/>
          <w:b/>
          <w:sz w:val="28"/>
          <w:szCs w:val="28"/>
        </w:rPr>
        <w:t>年</w:t>
      </w:r>
      <w:r>
        <w:rPr>
          <w:rFonts w:hint="eastAsia" w:hAnsi="宋体" w:cs="宋体"/>
          <w:b/>
          <w:sz w:val="28"/>
          <w:szCs w:val="28"/>
          <w:lang w:val="en-US" w:eastAsia="zh-CN"/>
        </w:rPr>
        <w:t>12</w:t>
      </w:r>
      <w:r>
        <w:rPr>
          <w:rFonts w:hint="eastAsia" w:hAnsi="宋体" w:cs="宋体"/>
          <w:b/>
          <w:sz w:val="28"/>
          <w:szCs w:val="28"/>
        </w:rPr>
        <w:t>月</w:t>
      </w:r>
    </w:p>
    <w:p>
      <w:pPr>
        <w:autoSpaceDE w:val="0"/>
        <w:autoSpaceDN w:val="0"/>
        <w:adjustRightInd w:val="0"/>
        <w:spacing w:line="360" w:lineRule="auto"/>
        <w:jc w:val="center"/>
        <w:rPr>
          <w:rFonts w:ascii="方正大标宋简体" w:hAnsi="宋体" w:eastAsia="方正大标宋简体"/>
          <w:kern w:val="0"/>
          <w:sz w:val="32"/>
          <w:szCs w:val="18"/>
          <w:lang w:val="zh-CN"/>
        </w:rPr>
      </w:pPr>
    </w:p>
    <w:p>
      <w:pPr>
        <w:rPr>
          <w:sz w:val="20"/>
          <w:szCs w:val="18"/>
        </w:rPr>
      </w:pPr>
    </w:p>
    <w:p>
      <w:pPr>
        <w:pStyle w:val="6"/>
        <w:rPr>
          <w:sz w:val="20"/>
          <w:szCs w:val="18"/>
        </w:rPr>
      </w:pPr>
    </w:p>
    <w:p>
      <w:pPr>
        <w:pStyle w:val="6"/>
        <w:rPr>
          <w:sz w:val="20"/>
          <w:szCs w:val="18"/>
        </w:rPr>
      </w:pPr>
    </w:p>
    <w:p>
      <w:pPr>
        <w:pStyle w:val="3"/>
        <w:keepNext w:val="0"/>
        <w:keepLines w:val="0"/>
        <w:tabs>
          <w:tab w:val="left" w:pos="425"/>
          <w:tab w:val="left" w:pos="4265"/>
          <w:tab w:val="left" w:pos="5225"/>
        </w:tabs>
        <w:spacing w:line="360" w:lineRule="auto"/>
        <w:jc w:val="center"/>
        <w:rPr>
          <w:rFonts w:ascii="宋体" w:hAnsi="宋体" w:cs="宋体"/>
          <w:sz w:val="28"/>
          <w:szCs w:val="28"/>
        </w:rPr>
      </w:pPr>
      <w:r>
        <w:rPr>
          <w:rFonts w:hint="eastAsia"/>
          <w:sz w:val="40"/>
          <w:szCs w:val="40"/>
        </w:rPr>
        <w:br w:type="page"/>
      </w:r>
      <w:r>
        <w:rPr>
          <w:rFonts w:hint="eastAsia" w:ascii="宋体" w:hAnsi="宋体" w:cs="宋体"/>
          <w:sz w:val="28"/>
          <w:szCs w:val="28"/>
        </w:rPr>
        <w:t>第一章  比选公告</w:t>
      </w:r>
    </w:p>
    <w:p>
      <w:pPr>
        <w:pStyle w:val="16"/>
        <w:widowControl w:val="0"/>
        <w:numPr>
          <w:ilvl w:val="0"/>
          <w:numId w:val="3"/>
        </w:numPr>
        <w:spacing w:before="0" w:beforeAutospacing="0" w:after="0" w:line="560" w:lineRule="exact"/>
        <w:ind w:firstLine="480" w:firstLineChars="200"/>
        <w:rPr>
          <w:rFonts w:ascii="黑体" w:hAnsi="黑体" w:eastAsia="黑体" w:cs="黑体"/>
          <w:szCs w:val="24"/>
        </w:rPr>
      </w:pPr>
      <w:r>
        <w:rPr>
          <w:rFonts w:hint="eastAsia" w:ascii="黑体" w:hAnsi="黑体" w:eastAsia="黑体" w:cs="黑体"/>
          <w:szCs w:val="24"/>
        </w:rPr>
        <w:t>比选人：天津蜀物智链科技有限公司</w:t>
      </w:r>
    </w:p>
    <w:p>
      <w:pPr>
        <w:spacing w:line="560" w:lineRule="exact"/>
        <w:ind w:firstLine="480" w:firstLineChars="200"/>
        <w:rPr>
          <w:rFonts w:ascii="宋体" w:hAnsi="宋体" w:cs="宋体"/>
          <w:sz w:val="24"/>
          <w:szCs w:val="24"/>
          <w:u w:val="single"/>
        </w:rPr>
      </w:pPr>
      <w:r>
        <w:rPr>
          <w:rFonts w:hint="eastAsia" w:ascii="黑体" w:hAnsi="黑体" w:eastAsia="黑体" w:cs="黑体"/>
          <w:sz w:val="24"/>
          <w:szCs w:val="24"/>
        </w:rPr>
        <w:t>二、项目名称</w:t>
      </w:r>
      <w:r>
        <w:rPr>
          <w:rFonts w:hint="eastAsia" w:hAnsi="宋体" w:cs="宋体"/>
          <w:b/>
          <w:bCs/>
          <w:sz w:val="24"/>
          <w:szCs w:val="24"/>
        </w:rPr>
        <w:t>：</w:t>
      </w:r>
      <w:r>
        <w:rPr>
          <w:rFonts w:hint="eastAsia" w:ascii="宋体" w:hAnsi="宋体" w:cs="宋体"/>
          <w:sz w:val="24"/>
          <w:szCs w:val="24"/>
          <w:u w:val="single"/>
        </w:rPr>
        <w:t>天津蜀物智链科技有限公司</w:t>
      </w:r>
      <w:r>
        <w:rPr>
          <w:rFonts w:hint="eastAsia" w:ascii="宋体" w:hAnsi="宋体"/>
          <w:sz w:val="24"/>
          <w:szCs w:val="24"/>
          <w:u w:val="single"/>
          <w:lang w:eastAsia="zh-CN"/>
        </w:rPr>
        <w:t>产业e贷</w:t>
      </w:r>
      <w:r>
        <w:rPr>
          <w:rFonts w:hint="eastAsia" w:ascii="宋体" w:hAnsi="宋体"/>
          <w:sz w:val="24"/>
          <w:szCs w:val="24"/>
          <w:u w:val="single"/>
        </w:rPr>
        <w:t>需求研发业务外包服务采购项目</w:t>
      </w:r>
    </w:p>
    <w:p>
      <w:pPr>
        <w:autoSpaceDE w:val="0"/>
        <w:autoSpaceDN w:val="0"/>
        <w:adjustRightInd w:val="0"/>
        <w:spacing w:line="560" w:lineRule="exact"/>
        <w:ind w:firstLine="480" w:firstLineChars="200"/>
        <w:rPr>
          <w:rFonts w:ascii="宋体" w:hAnsi="宋体" w:cs="宋体"/>
          <w:sz w:val="24"/>
          <w:szCs w:val="24"/>
        </w:rPr>
      </w:pPr>
      <w:r>
        <w:rPr>
          <w:rFonts w:hint="eastAsia" w:ascii="黑体" w:hAnsi="黑体" w:eastAsia="黑体" w:cs="黑体"/>
          <w:sz w:val="24"/>
          <w:szCs w:val="24"/>
        </w:rPr>
        <w:t>三、具体服务</w:t>
      </w:r>
      <w:r>
        <w:rPr>
          <w:rFonts w:hint="eastAsia" w:hAnsi="宋体" w:cs="宋体"/>
          <w:b/>
          <w:bCs/>
          <w:sz w:val="24"/>
          <w:szCs w:val="24"/>
        </w:rPr>
        <w:t>：</w:t>
      </w:r>
      <w:r>
        <w:rPr>
          <w:rFonts w:hint="eastAsia" w:ascii="宋体" w:hAnsi="宋体" w:cs="宋体"/>
          <w:sz w:val="24"/>
          <w:szCs w:val="24"/>
        </w:rPr>
        <w:t>为确保更好的开展</w:t>
      </w:r>
      <w:r>
        <w:rPr>
          <w:rFonts w:hint="eastAsia" w:ascii="宋体" w:hAnsi="宋体" w:cs="宋体"/>
          <w:sz w:val="24"/>
          <w:szCs w:val="24"/>
          <w:lang w:val="en-US" w:eastAsia="zh-CN"/>
        </w:rPr>
        <w:t>业务</w:t>
      </w:r>
      <w:r>
        <w:rPr>
          <w:rFonts w:hint="eastAsia" w:ascii="宋体" w:hAnsi="宋体" w:cs="宋体"/>
          <w:sz w:val="24"/>
          <w:szCs w:val="24"/>
        </w:rPr>
        <w:t>管理工作，本着利用专业化分工优势，有效支撑业务拓展，公司对</w:t>
      </w:r>
      <w:r>
        <w:rPr>
          <w:rFonts w:hint="eastAsia" w:ascii="宋体" w:hAnsi="宋体" w:cs="宋体"/>
          <w:sz w:val="24"/>
          <w:szCs w:val="24"/>
          <w:lang w:val="en-US" w:eastAsia="zh-CN"/>
        </w:rPr>
        <w:t>产业e贷项目接口</w:t>
      </w:r>
      <w:r>
        <w:rPr>
          <w:rFonts w:hint="eastAsia" w:ascii="宋体" w:hAnsi="宋体" w:cs="宋体"/>
          <w:sz w:val="24"/>
          <w:szCs w:val="24"/>
        </w:rPr>
        <w:t>研发业务采用业务外包</w:t>
      </w:r>
      <w:r>
        <w:rPr>
          <w:rFonts w:hint="eastAsia" w:ascii="宋体" w:hAnsi="宋体" w:cs="宋体"/>
          <w:sz w:val="24"/>
          <w:szCs w:val="24"/>
          <w:lang w:eastAsia="zh-CN"/>
        </w:rPr>
        <w:t>，</w:t>
      </w:r>
      <w:r>
        <w:rPr>
          <w:rFonts w:hint="eastAsia" w:ascii="宋体" w:hAnsi="宋体" w:cs="宋体"/>
          <w:sz w:val="24"/>
          <w:szCs w:val="24"/>
        </w:rPr>
        <w:t>实际的业务服务以签订的专项服务合同为准。</w:t>
      </w:r>
    </w:p>
    <w:p>
      <w:pPr>
        <w:pStyle w:val="16"/>
        <w:widowControl w:val="0"/>
        <w:spacing w:before="0" w:beforeAutospacing="0" w:after="0" w:line="560" w:lineRule="exact"/>
        <w:ind w:firstLine="480" w:firstLineChars="200"/>
        <w:rPr>
          <w:rFonts w:ascii="黑体" w:hAnsi="黑体" w:eastAsia="黑体" w:cs="黑体"/>
          <w:szCs w:val="24"/>
        </w:rPr>
      </w:pPr>
      <w:r>
        <w:rPr>
          <w:rFonts w:hint="eastAsia" w:ascii="黑体" w:hAnsi="黑体" w:eastAsia="黑体" w:cs="黑体"/>
          <w:szCs w:val="24"/>
        </w:rPr>
        <w:t>四、比选报价</w:t>
      </w:r>
    </w:p>
    <w:p>
      <w:pPr>
        <w:pStyle w:val="16"/>
        <w:widowControl w:val="0"/>
        <w:spacing w:before="0" w:beforeAutospacing="0" w:after="0" w:line="560" w:lineRule="exact"/>
        <w:ind w:firstLine="480" w:firstLineChars="200"/>
        <w:rPr>
          <w:rFonts w:cs="宋体"/>
          <w:szCs w:val="24"/>
        </w:rPr>
      </w:pPr>
      <w:r>
        <w:rPr>
          <w:rFonts w:hint="eastAsia" w:cs="宋体"/>
          <w:szCs w:val="24"/>
        </w:rPr>
        <w:t>（一）比选申请人应对比选报价进行严格的费用预算。所有参加本次比选的机构应充分计算和考虑其完成项目需要支付的各项费用并计入比选报价总价。</w:t>
      </w:r>
    </w:p>
    <w:p>
      <w:pPr>
        <w:pStyle w:val="16"/>
        <w:widowControl w:val="0"/>
        <w:spacing w:before="0" w:beforeAutospacing="0" w:after="0" w:line="560" w:lineRule="exact"/>
        <w:ind w:firstLine="480" w:firstLineChars="200"/>
        <w:rPr>
          <w:rFonts w:cs="宋体"/>
          <w:szCs w:val="24"/>
        </w:rPr>
      </w:pPr>
      <w:r>
        <w:rPr>
          <w:rFonts w:hint="eastAsia" w:cs="宋体"/>
          <w:szCs w:val="24"/>
        </w:rPr>
        <w:t>（二）比选报价，为完成本外包服务的包干总价，包括但不限于：人员薪酬待遇、各类补贴、社保和公积金单位缴纳部分、培训教育费、工会费、福利费用、残疾人保障金、工伤（亡）风险金、因病或员工非因工的医疗期补偿、因病或员工非因工离职的医疗补助费、经济补偿风险金等一切费用。外包服务人员产生的劳动争议、工伤工亡、经济补偿等用工风险的法律和经济责任均与天津蜀物智链科技有限公司无关。</w:t>
      </w:r>
    </w:p>
    <w:p>
      <w:pPr>
        <w:pStyle w:val="16"/>
        <w:widowControl w:val="0"/>
        <w:spacing w:before="0" w:beforeAutospacing="0" w:after="0" w:line="560" w:lineRule="exact"/>
        <w:ind w:firstLine="480" w:firstLineChars="200"/>
        <w:rPr>
          <w:rFonts w:ascii="黑体" w:hAnsi="黑体" w:eastAsia="黑体" w:cs="黑体"/>
          <w:szCs w:val="24"/>
        </w:rPr>
      </w:pPr>
      <w:r>
        <w:rPr>
          <w:rFonts w:hint="eastAsia" w:cs="宋体"/>
          <w:szCs w:val="24"/>
        </w:rPr>
        <w:t>（三）比选申请人的比选报价应费用适中，不得以低于成本的报价进行恶性竞争，最低比选报价并非中选的唯一条件。</w:t>
      </w:r>
    </w:p>
    <w:p>
      <w:pPr>
        <w:pStyle w:val="16"/>
        <w:widowControl w:val="0"/>
        <w:spacing w:before="0" w:beforeAutospacing="0" w:after="0" w:line="560" w:lineRule="exact"/>
        <w:ind w:firstLine="480" w:firstLineChars="200"/>
        <w:rPr>
          <w:rFonts w:cs="宋体"/>
          <w:szCs w:val="24"/>
        </w:rPr>
      </w:pPr>
      <w:r>
        <w:rPr>
          <w:rFonts w:hint="eastAsia" w:cs="宋体"/>
          <w:szCs w:val="24"/>
        </w:rPr>
        <w:t>（四）比选限价：最高限价不超过人民币</w:t>
      </w:r>
      <w:r>
        <w:rPr>
          <w:rFonts w:hint="eastAsia" w:cs="宋体"/>
          <w:szCs w:val="24"/>
          <w:lang w:val="en-US" w:eastAsia="zh-CN"/>
        </w:rPr>
        <w:t>22</w:t>
      </w:r>
      <w:r>
        <w:rPr>
          <w:rFonts w:hint="eastAsia" w:cs="宋体"/>
          <w:szCs w:val="24"/>
        </w:rPr>
        <w:t xml:space="preserve">万元。包含软件私有化部署、接口开发和对接、部分二次开发等费用。 </w:t>
      </w:r>
    </w:p>
    <w:p>
      <w:pPr>
        <w:pStyle w:val="16"/>
        <w:widowControl w:val="0"/>
        <w:spacing w:before="0" w:beforeAutospacing="0" w:after="0" w:line="560" w:lineRule="exact"/>
        <w:ind w:firstLine="480" w:firstLineChars="200"/>
        <w:rPr>
          <w:rFonts w:ascii="黑体" w:hAnsi="黑体" w:eastAsia="黑体" w:cs="黑体"/>
          <w:szCs w:val="24"/>
        </w:rPr>
      </w:pPr>
      <w:r>
        <w:rPr>
          <w:rFonts w:hint="eastAsia" w:ascii="黑体" w:hAnsi="黑体" w:eastAsia="黑体" w:cs="黑体"/>
          <w:szCs w:val="24"/>
        </w:rPr>
        <w:t>五、比选申请人资格要求：</w:t>
      </w:r>
    </w:p>
    <w:p>
      <w:pPr>
        <w:numPr>
          <w:ilvl w:val="0"/>
          <w:numId w:val="4"/>
        </w:numPr>
        <w:spacing w:line="560" w:lineRule="exact"/>
        <w:ind w:firstLine="480"/>
        <w:rPr>
          <w:rFonts w:ascii="宋体" w:hAnsi="宋体" w:cs="宋体"/>
          <w:sz w:val="24"/>
          <w:szCs w:val="24"/>
        </w:rPr>
      </w:pPr>
      <w:r>
        <w:rPr>
          <w:rFonts w:hint="eastAsia" w:ascii="宋体" w:hAnsi="宋体" w:cs="宋体"/>
          <w:sz w:val="24"/>
          <w:szCs w:val="24"/>
        </w:rPr>
        <w:t>具有独立法人资格的企业，营业执照副本在有效期内；</w:t>
      </w:r>
    </w:p>
    <w:p>
      <w:pPr>
        <w:numPr>
          <w:ilvl w:val="0"/>
          <w:numId w:val="4"/>
        </w:numPr>
        <w:spacing w:line="560" w:lineRule="exact"/>
        <w:ind w:firstLine="480"/>
        <w:rPr>
          <w:rFonts w:ascii="宋体" w:hAnsi="宋体" w:cs="宋体"/>
          <w:sz w:val="24"/>
          <w:szCs w:val="24"/>
        </w:rPr>
      </w:pPr>
      <w:r>
        <w:rPr>
          <w:rFonts w:hint="eastAsia" w:ascii="宋体" w:hAnsi="宋体" w:cs="宋体"/>
          <w:sz w:val="24"/>
          <w:szCs w:val="24"/>
        </w:rPr>
        <w:t>注册资金500万以上；</w:t>
      </w:r>
    </w:p>
    <w:p>
      <w:pPr>
        <w:numPr>
          <w:ilvl w:val="0"/>
          <w:numId w:val="4"/>
        </w:numPr>
        <w:spacing w:line="560" w:lineRule="exact"/>
        <w:ind w:firstLine="480"/>
      </w:pPr>
      <w:r>
        <w:rPr>
          <w:rFonts w:hint="eastAsia" w:ascii="宋体" w:hAnsi="宋体" w:cs="宋体"/>
          <w:sz w:val="24"/>
          <w:szCs w:val="24"/>
        </w:rPr>
        <w:t>具有企业相关业务服务资质，包括但不仅限于技术服务、软件开发、电子产品研发等；</w:t>
      </w:r>
    </w:p>
    <w:p>
      <w:pPr>
        <w:numPr>
          <w:ilvl w:val="0"/>
          <w:numId w:val="4"/>
        </w:numPr>
        <w:wordWrap w:val="0"/>
        <w:spacing w:line="560" w:lineRule="exact"/>
        <w:ind w:firstLine="480"/>
        <w:jc w:val="left"/>
      </w:pPr>
      <w:r>
        <w:rPr>
          <w:rFonts w:hint="eastAsia" w:ascii="宋体" w:hAnsi="宋体" w:cs="宋体"/>
          <w:sz w:val="24"/>
          <w:szCs w:val="24"/>
        </w:rPr>
        <w:t>比选申请人具有良好信誉，在国家企业信用信息公示系统（http//www.gsxt.gov.cn）中未被列入严重违法失信企业名单，在“信用中国”网站（http：//www.creditchina.gov.cn/）、中国执行信息公开网（http://zxgk.court.gov.cn/shixin/）中未被列入失信被执行人名单。</w:t>
      </w:r>
    </w:p>
    <w:p>
      <w:pPr>
        <w:pStyle w:val="16"/>
        <w:widowControl w:val="0"/>
        <w:spacing w:before="0" w:beforeAutospacing="0" w:after="0" w:line="560" w:lineRule="exact"/>
        <w:ind w:firstLine="480" w:firstLineChars="200"/>
        <w:rPr>
          <w:rFonts w:cs="宋体"/>
          <w:szCs w:val="24"/>
        </w:rPr>
      </w:pPr>
      <w:r>
        <w:rPr>
          <w:rFonts w:hint="eastAsia" w:cs="宋体"/>
          <w:szCs w:val="24"/>
        </w:rPr>
        <w:t>本次比选不接受联合体。</w:t>
      </w:r>
    </w:p>
    <w:p>
      <w:pPr>
        <w:spacing w:line="460" w:lineRule="exact"/>
        <w:ind w:firstLine="480" w:firstLineChars="200"/>
        <w:rPr>
          <w:rFonts w:ascii="仿宋_GB2312" w:hAnsi="仿宋_GB2312" w:eastAsia="仿宋_GB2312" w:cs="仿宋_GB2312"/>
          <w:b/>
          <w:bCs/>
          <w:sz w:val="24"/>
        </w:rPr>
      </w:pPr>
      <w:r>
        <w:rPr>
          <w:rFonts w:hint="eastAsia" w:ascii="黑体" w:hAnsi="黑体" w:eastAsia="黑体" w:cs="黑体"/>
          <w:kern w:val="0"/>
          <w:sz w:val="24"/>
          <w:szCs w:val="24"/>
        </w:rPr>
        <w:t>六、比选文件获取时间及地点</w:t>
      </w:r>
    </w:p>
    <w:p>
      <w:pPr>
        <w:pStyle w:val="16"/>
        <w:ind w:firstLine="480" w:firstLineChars="200"/>
        <w:rPr>
          <w:rFonts w:cs="宋体"/>
          <w:szCs w:val="24"/>
          <w:highlight w:val="yellow"/>
        </w:rPr>
      </w:pPr>
      <w:r>
        <w:rPr>
          <w:rFonts w:hint="eastAsia" w:cs="宋体"/>
          <w:szCs w:val="24"/>
          <w:highlight w:val="none"/>
        </w:rPr>
        <w:t>1.获取比选文件开始时间：202</w:t>
      </w:r>
      <w:r>
        <w:rPr>
          <w:rFonts w:hint="eastAsia" w:cs="宋体"/>
          <w:szCs w:val="24"/>
          <w:highlight w:val="none"/>
          <w:lang w:val="en-US" w:eastAsia="zh-CN"/>
        </w:rPr>
        <w:t>3</w:t>
      </w:r>
      <w:r>
        <w:rPr>
          <w:rFonts w:hint="eastAsia" w:cs="宋体"/>
          <w:szCs w:val="24"/>
          <w:highlight w:val="none"/>
        </w:rPr>
        <w:t>年</w:t>
      </w:r>
      <w:r>
        <w:rPr>
          <w:rFonts w:hint="eastAsia" w:cs="宋体"/>
          <w:szCs w:val="24"/>
          <w:highlight w:val="none"/>
          <w:lang w:val="en-US" w:eastAsia="zh-CN"/>
        </w:rPr>
        <w:t>12</w:t>
      </w:r>
      <w:r>
        <w:rPr>
          <w:rFonts w:hint="eastAsia" w:cs="宋体"/>
          <w:szCs w:val="24"/>
          <w:highlight w:val="none"/>
        </w:rPr>
        <w:t>月</w:t>
      </w:r>
      <w:r>
        <w:rPr>
          <w:rFonts w:hint="eastAsia" w:cs="宋体"/>
          <w:szCs w:val="24"/>
          <w:highlight w:val="none"/>
          <w:lang w:val="en-US" w:eastAsia="zh-CN"/>
        </w:rPr>
        <w:t>11</w:t>
      </w:r>
      <w:r>
        <w:rPr>
          <w:rFonts w:hint="eastAsia" w:cs="宋体"/>
          <w:szCs w:val="24"/>
          <w:highlight w:val="none"/>
        </w:rPr>
        <w:t>日。</w:t>
      </w:r>
    </w:p>
    <w:p>
      <w:pPr>
        <w:pStyle w:val="16"/>
        <w:spacing w:line="560" w:lineRule="exact"/>
        <w:ind w:firstLine="480" w:firstLineChars="200"/>
        <w:rPr>
          <w:rFonts w:cs="宋体"/>
          <w:szCs w:val="24"/>
        </w:rPr>
      </w:pPr>
      <w:r>
        <w:rPr>
          <w:rFonts w:hint="eastAsia" w:cs="宋体"/>
          <w:szCs w:val="24"/>
        </w:rPr>
        <w:t>2.比选文件获取方式：比选申请人自行在蜀物智采平台https://scjt.tabe.cn/和四川蜀道物流集团有限公司官网https://www.shudaowl.com/上免费匿名下载比选文件，比选人不提供其他任何报名和比选文件获取的方式。</w:t>
      </w:r>
    </w:p>
    <w:p>
      <w:pPr>
        <w:pStyle w:val="16"/>
        <w:widowControl w:val="0"/>
        <w:spacing w:before="0" w:beforeAutospacing="0" w:after="0" w:line="560" w:lineRule="exact"/>
        <w:ind w:firstLine="480" w:firstLineChars="200"/>
        <w:rPr>
          <w:rFonts w:ascii="黑体" w:hAnsi="黑体" w:eastAsia="黑体" w:cs="黑体"/>
          <w:szCs w:val="24"/>
        </w:rPr>
      </w:pPr>
      <w:r>
        <w:rPr>
          <w:rFonts w:hint="eastAsia" w:ascii="黑体" w:hAnsi="黑体" w:eastAsia="黑体" w:cs="黑体"/>
          <w:szCs w:val="24"/>
        </w:rPr>
        <w:t>七、比选文件递交时间及地点</w:t>
      </w:r>
    </w:p>
    <w:p>
      <w:pPr>
        <w:spacing w:line="560" w:lineRule="exact"/>
        <w:ind w:firstLine="480" w:firstLineChars="200"/>
        <w:rPr>
          <w:rFonts w:ascii="宋体" w:hAnsi="宋体" w:cs="宋体"/>
          <w:sz w:val="24"/>
          <w:szCs w:val="24"/>
        </w:rPr>
      </w:pPr>
      <w:r>
        <w:rPr>
          <w:rFonts w:hint="eastAsia" w:ascii="宋体" w:hAnsi="宋体" w:cs="宋体"/>
          <w:sz w:val="24"/>
          <w:szCs w:val="24"/>
        </w:rPr>
        <w:t>比选申请</w:t>
      </w:r>
      <w:r>
        <w:rPr>
          <w:rFonts w:hint="eastAsia" w:ascii="宋体" w:hAnsi="宋体" w:cs="宋体"/>
          <w:sz w:val="24"/>
          <w:szCs w:val="24"/>
          <w:highlight w:val="none"/>
        </w:rPr>
        <w:t>人需在202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r>
        <w:rPr>
          <w:rFonts w:hint="eastAsia" w:ascii="宋体" w:hAnsi="宋体" w:cs="宋体"/>
          <w:sz w:val="24"/>
          <w:szCs w:val="24"/>
          <w:highlight w:val="none"/>
          <w:lang w:val="en-US" w:eastAsia="zh-CN"/>
        </w:rPr>
        <w:t>11</w:t>
      </w:r>
      <w:r>
        <w:rPr>
          <w:rFonts w:hint="eastAsia" w:ascii="宋体" w:hAnsi="宋体" w:cs="宋体"/>
          <w:sz w:val="24"/>
          <w:szCs w:val="24"/>
          <w:highlight w:val="none"/>
        </w:rPr>
        <w:t>日</w:t>
      </w:r>
      <w:r>
        <w:rPr>
          <w:rFonts w:hint="eastAsia" w:ascii="宋体" w:hAnsi="宋体" w:cs="宋体"/>
          <w:sz w:val="24"/>
          <w:szCs w:val="24"/>
          <w:highlight w:val="none"/>
          <w:lang w:val="en-US" w:eastAsia="zh-CN"/>
        </w:rPr>
        <w:t>9</w:t>
      </w:r>
      <w:r>
        <w:rPr>
          <w:rFonts w:hint="eastAsia" w:ascii="宋体" w:hAnsi="宋体" w:cs="宋体"/>
          <w:sz w:val="24"/>
          <w:szCs w:val="24"/>
          <w:highlight w:val="none"/>
        </w:rPr>
        <w:t>:00至202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w:t>
      </w:r>
      <w:r>
        <w:rPr>
          <w:rFonts w:hint="eastAsia" w:ascii="宋体" w:hAnsi="宋体" w:cs="宋体"/>
          <w:sz w:val="24"/>
          <w:szCs w:val="24"/>
          <w:highlight w:val="none"/>
          <w:lang w:val="en-US" w:eastAsia="zh-CN"/>
        </w:rPr>
        <w:t>12</w:t>
      </w:r>
      <w:r>
        <w:rPr>
          <w:rFonts w:hint="eastAsia" w:ascii="宋体" w:hAnsi="宋体" w:cs="宋体"/>
          <w:sz w:val="24"/>
          <w:szCs w:val="24"/>
          <w:highlight w:val="none"/>
        </w:rPr>
        <w:t>月</w:t>
      </w:r>
      <w:r>
        <w:rPr>
          <w:rFonts w:hint="eastAsia" w:ascii="宋体" w:hAnsi="宋体" w:cs="宋体"/>
          <w:sz w:val="24"/>
          <w:szCs w:val="24"/>
          <w:highlight w:val="none"/>
          <w:lang w:val="en-US" w:eastAsia="zh-CN"/>
        </w:rPr>
        <w:t>18</w:t>
      </w:r>
      <w:r>
        <w:rPr>
          <w:rFonts w:hint="eastAsia" w:ascii="宋体" w:hAnsi="宋体" w:cs="宋体"/>
          <w:sz w:val="24"/>
          <w:szCs w:val="24"/>
          <w:highlight w:val="none"/>
        </w:rPr>
        <w:t>日</w:t>
      </w:r>
      <w:r>
        <w:rPr>
          <w:rFonts w:hint="eastAsia" w:ascii="宋体" w:hAnsi="宋体" w:cs="宋体"/>
          <w:sz w:val="24"/>
          <w:szCs w:val="24"/>
          <w:highlight w:val="none"/>
          <w:lang w:val="en-US" w:eastAsia="zh-CN"/>
        </w:rPr>
        <w:t>9</w:t>
      </w:r>
      <w:r>
        <w:rPr>
          <w:rFonts w:hint="eastAsia" w:ascii="宋体" w:hAnsi="宋体" w:cs="宋体"/>
          <w:sz w:val="24"/>
          <w:szCs w:val="24"/>
          <w:highlight w:val="none"/>
        </w:rPr>
        <w:t>:00前</w:t>
      </w:r>
      <w:r>
        <w:rPr>
          <w:rFonts w:hint="eastAsia" w:ascii="宋体" w:hAnsi="宋体" w:cs="宋体"/>
          <w:sz w:val="24"/>
          <w:szCs w:val="24"/>
        </w:rPr>
        <w:t>按要求将比选申请文件递交至四川省成都市青羊区光华北五路266号青羊总部经济基地2号楼A座8楼会议室。</w:t>
      </w:r>
    </w:p>
    <w:p>
      <w:pPr>
        <w:pStyle w:val="16"/>
        <w:widowControl w:val="0"/>
        <w:spacing w:before="0" w:beforeAutospacing="0" w:after="0" w:line="560" w:lineRule="exact"/>
        <w:ind w:firstLine="480" w:firstLineChars="200"/>
        <w:rPr>
          <w:rFonts w:ascii="黑体" w:hAnsi="黑体" w:eastAsia="黑体" w:cs="黑体"/>
          <w:szCs w:val="24"/>
        </w:rPr>
      </w:pPr>
      <w:r>
        <w:rPr>
          <w:rFonts w:hint="eastAsia" w:ascii="黑体" w:hAnsi="黑体" w:eastAsia="黑体" w:cs="黑体"/>
          <w:szCs w:val="24"/>
        </w:rPr>
        <w:t>八、联系方式</w:t>
      </w:r>
    </w:p>
    <w:p>
      <w:pPr>
        <w:pStyle w:val="16"/>
        <w:widowControl w:val="0"/>
        <w:spacing w:before="0" w:beforeAutospacing="0" w:after="0" w:line="560" w:lineRule="exact"/>
        <w:ind w:firstLine="480" w:firstLineChars="200"/>
        <w:rPr>
          <w:rFonts w:cs="宋体"/>
          <w:kern w:val="2"/>
          <w:szCs w:val="24"/>
        </w:rPr>
      </w:pPr>
      <w:r>
        <w:rPr>
          <w:rFonts w:hint="eastAsia" w:cs="宋体"/>
          <w:kern w:val="2"/>
          <w:szCs w:val="24"/>
        </w:rPr>
        <w:t>比选人：天津蜀物智链科技有限公司</w:t>
      </w:r>
    </w:p>
    <w:p>
      <w:pPr>
        <w:pStyle w:val="16"/>
        <w:widowControl w:val="0"/>
        <w:spacing w:before="0" w:beforeAutospacing="0" w:after="0" w:line="560" w:lineRule="exact"/>
        <w:ind w:firstLine="480" w:firstLineChars="200"/>
        <w:rPr>
          <w:rFonts w:hint="default" w:eastAsia="宋体" w:cs="宋体"/>
          <w:kern w:val="2"/>
          <w:szCs w:val="24"/>
          <w:lang w:val="en-US" w:eastAsia="zh-CN"/>
        </w:rPr>
      </w:pPr>
      <w:r>
        <w:rPr>
          <w:rFonts w:hint="eastAsia" w:cs="宋体"/>
          <w:kern w:val="2"/>
          <w:szCs w:val="24"/>
        </w:rPr>
        <w:t>联系人：</w:t>
      </w:r>
      <w:r>
        <w:rPr>
          <w:rFonts w:hint="eastAsia" w:cs="宋体"/>
          <w:kern w:val="2"/>
          <w:szCs w:val="24"/>
          <w:lang w:val="en-US" w:eastAsia="zh-CN"/>
        </w:rPr>
        <w:t>张先生</w:t>
      </w:r>
    </w:p>
    <w:p>
      <w:pPr>
        <w:pStyle w:val="16"/>
        <w:widowControl w:val="0"/>
        <w:spacing w:before="0" w:beforeAutospacing="0" w:after="0" w:line="560" w:lineRule="exact"/>
        <w:ind w:firstLine="480" w:firstLineChars="200"/>
        <w:rPr>
          <w:rFonts w:hint="default" w:eastAsia="宋体" w:cs="宋体"/>
          <w:kern w:val="2"/>
          <w:szCs w:val="24"/>
          <w:lang w:val="en-US" w:eastAsia="zh-CN"/>
        </w:rPr>
      </w:pPr>
      <w:r>
        <w:rPr>
          <w:rFonts w:hint="eastAsia" w:cs="宋体"/>
          <w:kern w:val="2"/>
          <w:szCs w:val="24"/>
        </w:rPr>
        <w:t>电  话：</w:t>
      </w:r>
      <w:r>
        <w:rPr>
          <w:rFonts w:hint="eastAsia" w:cs="宋体"/>
          <w:kern w:val="2"/>
          <w:szCs w:val="24"/>
          <w:lang w:val="en-US" w:eastAsia="zh-CN"/>
        </w:rPr>
        <w:t>15095390761</w:t>
      </w:r>
    </w:p>
    <w:p>
      <w:pPr>
        <w:pStyle w:val="16"/>
        <w:widowControl w:val="0"/>
        <w:spacing w:before="0" w:beforeAutospacing="0" w:after="0" w:line="560" w:lineRule="exact"/>
        <w:ind w:firstLine="480" w:firstLineChars="200"/>
        <w:rPr>
          <w:rFonts w:cs="宋体"/>
          <w:b/>
          <w:sz w:val="22"/>
          <w:szCs w:val="22"/>
        </w:rPr>
      </w:pPr>
      <w:r>
        <w:rPr>
          <w:rFonts w:hint="eastAsia" w:cs="宋体"/>
          <w:kern w:val="2"/>
          <w:szCs w:val="24"/>
        </w:rPr>
        <w:t>地  址：</w:t>
      </w:r>
      <w:r>
        <w:rPr>
          <w:rFonts w:hint="eastAsia" w:cs="宋体"/>
          <w:szCs w:val="24"/>
        </w:rPr>
        <w:t>四川省成都市青羊区光华北五路266号青羊总部经济基地2号楼A座8楼</w:t>
      </w:r>
    </w:p>
    <w:p>
      <w:pPr>
        <w:pStyle w:val="3"/>
        <w:keepNext w:val="0"/>
        <w:keepLines w:val="0"/>
        <w:tabs>
          <w:tab w:val="left" w:pos="425"/>
          <w:tab w:val="left" w:pos="4265"/>
          <w:tab w:val="left" w:pos="5225"/>
        </w:tabs>
        <w:spacing w:line="360" w:lineRule="auto"/>
        <w:jc w:val="center"/>
        <w:rPr>
          <w:rFonts w:hAnsi="宋体" w:cs="宋体"/>
          <w:b w:val="0"/>
          <w:sz w:val="24"/>
          <w:szCs w:val="24"/>
        </w:rPr>
      </w:pPr>
    </w:p>
    <w:p>
      <w:pPr>
        <w:pStyle w:val="3"/>
        <w:keepNext w:val="0"/>
        <w:keepLines w:val="0"/>
        <w:tabs>
          <w:tab w:val="left" w:pos="425"/>
          <w:tab w:val="left" w:pos="4265"/>
          <w:tab w:val="left" w:pos="5225"/>
        </w:tabs>
        <w:jc w:val="center"/>
        <w:rPr>
          <w:rFonts w:ascii="宋体" w:hAnsi="宋体"/>
          <w:bCs w:val="0"/>
          <w:kern w:val="0"/>
          <w:sz w:val="32"/>
          <w:szCs w:val="40"/>
          <w:lang w:val="zh-CN"/>
        </w:rPr>
      </w:pPr>
      <w:r>
        <w:rPr>
          <w:rFonts w:hint="eastAsia" w:ascii="宋体" w:hAnsi="宋体"/>
          <w:bCs w:val="0"/>
          <w:kern w:val="0"/>
          <w:sz w:val="32"/>
          <w:szCs w:val="40"/>
          <w:lang w:val="zh-CN"/>
        </w:rPr>
        <w:br w:type="page"/>
      </w:r>
      <w:r>
        <w:rPr>
          <w:rFonts w:hint="eastAsia" w:ascii="宋体" w:hAnsi="宋体"/>
          <w:bCs w:val="0"/>
          <w:kern w:val="0"/>
          <w:sz w:val="32"/>
          <w:szCs w:val="40"/>
          <w:lang w:val="zh-CN"/>
        </w:rPr>
        <w:t>第</w:t>
      </w:r>
      <w:r>
        <w:rPr>
          <w:rFonts w:hint="eastAsia" w:ascii="宋体" w:hAnsi="宋体"/>
          <w:bCs w:val="0"/>
          <w:kern w:val="0"/>
          <w:sz w:val="32"/>
          <w:szCs w:val="40"/>
        </w:rPr>
        <w:t>二</w:t>
      </w:r>
      <w:r>
        <w:rPr>
          <w:rFonts w:hint="eastAsia" w:ascii="宋体" w:hAnsi="宋体"/>
          <w:bCs w:val="0"/>
          <w:kern w:val="0"/>
          <w:sz w:val="32"/>
          <w:szCs w:val="40"/>
          <w:lang w:val="zh-CN"/>
        </w:rPr>
        <w:t>章  比选须知</w:t>
      </w:r>
    </w:p>
    <w:p>
      <w:pPr>
        <w:autoSpaceDE w:val="0"/>
        <w:autoSpaceDN w:val="0"/>
        <w:adjustRightInd w:val="0"/>
        <w:spacing w:line="360" w:lineRule="auto"/>
        <w:jc w:val="center"/>
        <w:rPr>
          <w:rFonts w:ascii="黑体" w:hAnsi="黑体" w:eastAsia="黑体" w:cs="黑体"/>
          <w:sz w:val="32"/>
          <w:szCs w:val="32"/>
        </w:rPr>
      </w:pPr>
      <w:r>
        <w:rPr>
          <w:rFonts w:hint="eastAsia" w:ascii="黑体" w:hAnsi="黑体" w:eastAsia="黑体" w:cs="黑体"/>
          <w:sz w:val="32"/>
          <w:szCs w:val="32"/>
        </w:rPr>
        <w:t>比选须知前附表</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92"/>
        <w:gridCol w:w="793"/>
        <w:gridCol w:w="565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4" w:type="dxa"/>
          </w:tcPr>
          <w:p>
            <w:pPr>
              <w:spacing w:line="400" w:lineRule="exact"/>
              <w:jc w:val="center"/>
              <w:rPr>
                <w:rFonts w:ascii="宋体" w:hAnsi="宋体" w:cs="宋体"/>
                <w:sz w:val="20"/>
              </w:rPr>
            </w:pPr>
            <w:r>
              <w:rPr>
                <w:rFonts w:hint="eastAsia" w:ascii="宋体" w:hAnsi="宋体" w:cs="宋体"/>
                <w:sz w:val="20"/>
              </w:rPr>
              <w:t>项号</w:t>
            </w:r>
          </w:p>
        </w:tc>
        <w:tc>
          <w:tcPr>
            <w:tcW w:w="1985" w:type="dxa"/>
            <w:gridSpan w:val="2"/>
          </w:tcPr>
          <w:p>
            <w:pPr>
              <w:spacing w:line="400" w:lineRule="exact"/>
              <w:jc w:val="center"/>
              <w:rPr>
                <w:rFonts w:ascii="宋体" w:hAnsi="宋体" w:cs="宋体"/>
                <w:sz w:val="20"/>
              </w:rPr>
            </w:pPr>
            <w:r>
              <w:rPr>
                <w:rFonts w:hint="eastAsia" w:ascii="宋体" w:hAnsi="宋体" w:cs="宋体"/>
                <w:sz w:val="20"/>
              </w:rPr>
              <w:t>条款名称</w:t>
            </w:r>
          </w:p>
        </w:tc>
        <w:tc>
          <w:tcPr>
            <w:tcW w:w="5652" w:type="dxa"/>
          </w:tcPr>
          <w:p>
            <w:pPr>
              <w:spacing w:line="400" w:lineRule="exact"/>
              <w:jc w:val="center"/>
              <w:rPr>
                <w:rFonts w:ascii="宋体" w:hAnsi="宋体" w:cs="宋体"/>
                <w:b/>
                <w:sz w:val="20"/>
              </w:rPr>
            </w:pPr>
            <w:r>
              <w:rPr>
                <w:rFonts w:hint="eastAsia" w:ascii="宋体" w:hAnsi="宋体" w:cs="宋体"/>
                <w:sz w:val="20"/>
              </w:rPr>
              <w:t>编列内容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64" w:type="dxa"/>
          </w:tcPr>
          <w:p>
            <w:pPr>
              <w:spacing w:line="400" w:lineRule="exact"/>
              <w:jc w:val="center"/>
              <w:rPr>
                <w:rFonts w:ascii="宋体" w:hAnsi="宋体" w:cs="宋体"/>
                <w:sz w:val="20"/>
              </w:rPr>
            </w:pPr>
            <w:r>
              <w:rPr>
                <w:rFonts w:hint="eastAsia" w:ascii="宋体" w:hAnsi="宋体" w:cs="宋体"/>
                <w:sz w:val="20"/>
              </w:rPr>
              <w:t>1.1</w:t>
            </w:r>
          </w:p>
        </w:tc>
        <w:tc>
          <w:tcPr>
            <w:tcW w:w="1985" w:type="dxa"/>
            <w:gridSpan w:val="2"/>
          </w:tcPr>
          <w:p>
            <w:pPr>
              <w:spacing w:line="400" w:lineRule="exact"/>
              <w:jc w:val="center"/>
              <w:rPr>
                <w:rFonts w:ascii="宋体" w:hAnsi="宋体" w:cs="宋体"/>
                <w:sz w:val="20"/>
              </w:rPr>
            </w:pPr>
            <w:r>
              <w:rPr>
                <w:rFonts w:hint="eastAsia" w:ascii="宋体" w:hAnsi="宋体" w:cs="宋体"/>
                <w:sz w:val="20"/>
              </w:rPr>
              <w:t>比选人</w:t>
            </w:r>
          </w:p>
        </w:tc>
        <w:tc>
          <w:tcPr>
            <w:tcW w:w="5652" w:type="dxa"/>
          </w:tcPr>
          <w:p>
            <w:pPr>
              <w:pStyle w:val="16"/>
              <w:widowControl w:val="0"/>
              <w:spacing w:before="0" w:beforeAutospacing="0" w:after="0" w:line="400" w:lineRule="exact"/>
              <w:rPr>
                <w:rFonts w:cs="宋体"/>
                <w:kern w:val="2"/>
                <w:sz w:val="20"/>
              </w:rPr>
            </w:pPr>
            <w:r>
              <w:rPr>
                <w:rFonts w:hint="eastAsia" w:cs="宋体"/>
                <w:kern w:val="2"/>
                <w:sz w:val="20"/>
              </w:rPr>
              <w:t>比选人：天津蜀物智链科技有限公司</w:t>
            </w:r>
          </w:p>
          <w:p>
            <w:pPr>
              <w:pStyle w:val="16"/>
              <w:widowControl w:val="0"/>
              <w:spacing w:before="0" w:beforeAutospacing="0" w:after="0" w:line="400" w:lineRule="exact"/>
              <w:rPr>
                <w:rFonts w:hint="default" w:eastAsia="宋体" w:cs="宋体"/>
                <w:kern w:val="2"/>
                <w:sz w:val="20"/>
                <w:lang w:val="en-US" w:eastAsia="zh-CN"/>
              </w:rPr>
            </w:pPr>
            <w:r>
              <w:rPr>
                <w:rFonts w:hint="eastAsia" w:cs="宋体"/>
                <w:kern w:val="2"/>
                <w:sz w:val="20"/>
              </w:rPr>
              <w:t>联系人：</w:t>
            </w:r>
            <w:r>
              <w:rPr>
                <w:rFonts w:hint="eastAsia" w:cs="宋体"/>
                <w:kern w:val="2"/>
                <w:sz w:val="20"/>
                <w:lang w:val="en-US" w:eastAsia="zh-CN"/>
              </w:rPr>
              <w:t>张醒东</w:t>
            </w:r>
          </w:p>
          <w:p>
            <w:pPr>
              <w:pStyle w:val="16"/>
              <w:widowControl w:val="0"/>
              <w:spacing w:before="0" w:beforeAutospacing="0" w:after="0" w:line="400" w:lineRule="exact"/>
              <w:rPr>
                <w:rFonts w:hint="default" w:eastAsia="宋体" w:cs="宋体"/>
                <w:kern w:val="2"/>
                <w:sz w:val="16"/>
                <w:szCs w:val="16"/>
                <w:lang w:val="en-US" w:eastAsia="zh-CN"/>
              </w:rPr>
            </w:pPr>
            <w:r>
              <w:rPr>
                <w:rFonts w:hint="eastAsia" w:cs="宋体"/>
                <w:kern w:val="2"/>
                <w:sz w:val="20"/>
              </w:rPr>
              <w:t>电  话：</w:t>
            </w:r>
            <w:r>
              <w:rPr>
                <w:rFonts w:hint="eastAsia" w:cs="宋体"/>
                <w:kern w:val="2"/>
                <w:sz w:val="21"/>
                <w:szCs w:val="21"/>
                <w:lang w:val="en-US" w:eastAsia="zh-CN"/>
              </w:rPr>
              <w:t>15095390761</w:t>
            </w:r>
          </w:p>
          <w:p>
            <w:pPr>
              <w:pStyle w:val="16"/>
              <w:widowControl w:val="0"/>
              <w:spacing w:before="0" w:beforeAutospacing="0" w:after="0" w:line="400" w:lineRule="exact"/>
              <w:rPr>
                <w:rFonts w:cs="宋体"/>
                <w:sz w:val="20"/>
              </w:rPr>
            </w:pPr>
            <w:r>
              <w:rPr>
                <w:rFonts w:hint="eastAsia" w:cs="宋体"/>
                <w:kern w:val="2"/>
                <w:sz w:val="20"/>
              </w:rPr>
              <w:t>地  址：成都市青羊区</w:t>
            </w:r>
            <w:r>
              <w:rPr>
                <w:rFonts w:cs="宋体"/>
                <w:bCs/>
                <w:sz w:val="20"/>
              </w:rPr>
              <w:t>光华北五路266号青羊总部经济基地2号楼A座8楼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1.2</w:t>
            </w:r>
          </w:p>
        </w:tc>
        <w:tc>
          <w:tcPr>
            <w:tcW w:w="1985" w:type="dxa"/>
            <w:gridSpan w:val="2"/>
            <w:vAlign w:val="center"/>
          </w:tcPr>
          <w:p>
            <w:pPr>
              <w:spacing w:line="400" w:lineRule="exact"/>
              <w:jc w:val="center"/>
              <w:rPr>
                <w:rFonts w:ascii="宋体" w:hAnsi="宋体" w:cs="宋体"/>
                <w:sz w:val="20"/>
              </w:rPr>
            </w:pPr>
            <w:r>
              <w:rPr>
                <w:rFonts w:hint="eastAsia" w:ascii="宋体" w:hAnsi="宋体" w:cs="宋体"/>
                <w:sz w:val="20"/>
              </w:rPr>
              <w:t>项目名称</w:t>
            </w:r>
          </w:p>
        </w:tc>
        <w:tc>
          <w:tcPr>
            <w:tcW w:w="5652" w:type="dxa"/>
            <w:vAlign w:val="center"/>
          </w:tcPr>
          <w:p>
            <w:pPr>
              <w:spacing w:line="400" w:lineRule="exact"/>
              <w:rPr>
                <w:rFonts w:hint="eastAsia"/>
                <w:bCs/>
                <w:sz w:val="20"/>
              </w:rPr>
            </w:pPr>
            <w:r>
              <w:rPr>
                <w:rFonts w:hint="eastAsia"/>
                <w:bCs/>
                <w:sz w:val="20"/>
              </w:rPr>
              <w:t>天津蜀物智链科技有限公司</w:t>
            </w:r>
          </w:p>
          <w:p>
            <w:pPr>
              <w:spacing w:line="400" w:lineRule="exact"/>
              <w:rPr>
                <w:rFonts w:ascii="宋体" w:hAnsi="宋体" w:cs="宋体"/>
                <w:sz w:val="20"/>
              </w:rPr>
            </w:pPr>
            <w:r>
              <w:rPr>
                <w:rFonts w:hint="eastAsia"/>
                <w:bCs/>
                <w:sz w:val="20"/>
                <w:lang w:eastAsia="zh-CN"/>
              </w:rPr>
              <w:t>产业e贷</w:t>
            </w:r>
            <w:r>
              <w:rPr>
                <w:rFonts w:hint="eastAsia"/>
                <w:bCs/>
                <w:sz w:val="20"/>
              </w:rPr>
              <w:t>需求研发业务外包服务采购项目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1.3</w:t>
            </w:r>
          </w:p>
        </w:tc>
        <w:tc>
          <w:tcPr>
            <w:tcW w:w="1985" w:type="dxa"/>
            <w:gridSpan w:val="2"/>
            <w:vAlign w:val="center"/>
          </w:tcPr>
          <w:p>
            <w:pPr>
              <w:spacing w:line="400" w:lineRule="exact"/>
              <w:jc w:val="center"/>
              <w:rPr>
                <w:rFonts w:ascii="宋体" w:hAnsi="宋体" w:cs="宋体"/>
                <w:sz w:val="20"/>
              </w:rPr>
            </w:pPr>
            <w:r>
              <w:rPr>
                <w:rFonts w:hint="eastAsia" w:ascii="宋体" w:hAnsi="宋体" w:cs="宋体"/>
                <w:sz w:val="20"/>
              </w:rPr>
              <w:t>项目概况</w:t>
            </w:r>
          </w:p>
        </w:tc>
        <w:tc>
          <w:tcPr>
            <w:tcW w:w="5652" w:type="dxa"/>
            <w:vAlign w:val="center"/>
          </w:tcPr>
          <w:p>
            <w:pPr>
              <w:spacing w:line="400" w:lineRule="exact"/>
              <w:rPr>
                <w:rFonts w:ascii="宋体" w:hAnsi="宋体" w:cs="宋体"/>
                <w:sz w:val="20"/>
              </w:rPr>
            </w:pPr>
            <w:r>
              <w:rPr>
                <w:rFonts w:hint="eastAsia" w:ascii="宋体" w:hAnsi="宋体" w:cs="宋体"/>
                <w:sz w:val="20"/>
              </w:rPr>
              <w:t>中选单位作为比选人在服务周期内的合作单位，可接受天津蜀物智链科</w:t>
            </w:r>
            <w:r>
              <w:rPr>
                <w:rFonts w:hint="eastAsia" w:ascii="宋体" w:hAnsi="宋体" w:cs="宋体"/>
                <w:sz w:val="20"/>
                <w:highlight w:val="none"/>
              </w:rPr>
              <w:t>技有限公司</w:t>
            </w:r>
            <w:r>
              <w:rPr>
                <w:rFonts w:hint="eastAsia"/>
                <w:bCs/>
                <w:sz w:val="20"/>
                <w:lang w:eastAsia="zh-CN"/>
              </w:rPr>
              <w:t>产业e贷</w:t>
            </w:r>
            <w:r>
              <w:rPr>
                <w:rFonts w:hint="eastAsia"/>
                <w:bCs/>
                <w:sz w:val="20"/>
              </w:rPr>
              <w:t>需求研发业务外包服务项目</w:t>
            </w:r>
            <w:r>
              <w:rPr>
                <w:rFonts w:hint="eastAsia" w:ascii="宋体" w:hAnsi="宋体" w:cs="宋体"/>
                <w:sz w:val="20"/>
                <w:highlight w:val="none"/>
              </w:rPr>
              <w:t>，拟外包的业务包括但不仅限于以下业务：实现企业基本信息导入、完善组织框架、完善</w:t>
            </w:r>
            <w:r>
              <w:rPr>
                <w:rFonts w:hint="eastAsia" w:ascii="宋体" w:hAnsi="宋体" w:cs="宋体"/>
                <w:sz w:val="20"/>
                <w:highlight w:val="none"/>
                <w:lang w:val="en-US" w:eastAsia="zh-CN"/>
              </w:rPr>
              <w:t>系统接口开发</w:t>
            </w:r>
            <w:r>
              <w:rPr>
                <w:rFonts w:hint="eastAsia" w:ascii="宋体" w:hAnsi="宋体" w:cs="宋体"/>
                <w:sz w:val="20"/>
                <w:highlight w:val="none"/>
              </w:rPr>
              <w:t>功能等，实际的业务服务以签订的专项服务合同为准。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1.4</w:t>
            </w:r>
          </w:p>
        </w:tc>
        <w:tc>
          <w:tcPr>
            <w:tcW w:w="1985" w:type="dxa"/>
            <w:gridSpan w:val="2"/>
            <w:vAlign w:val="center"/>
          </w:tcPr>
          <w:p>
            <w:pPr>
              <w:spacing w:line="400" w:lineRule="exact"/>
              <w:jc w:val="center"/>
              <w:rPr>
                <w:rFonts w:ascii="宋体" w:hAnsi="宋体" w:cs="宋体"/>
                <w:sz w:val="20"/>
              </w:rPr>
            </w:pPr>
            <w:r>
              <w:rPr>
                <w:rFonts w:hint="eastAsia" w:ascii="宋体" w:hAnsi="宋体" w:cs="宋体"/>
                <w:sz w:val="20"/>
              </w:rPr>
              <w:t>外包服务内容</w:t>
            </w:r>
          </w:p>
        </w:tc>
        <w:tc>
          <w:tcPr>
            <w:tcW w:w="5652" w:type="dxa"/>
            <w:vAlign w:val="center"/>
          </w:tcPr>
          <w:p>
            <w:pPr>
              <w:spacing w:line="400" w:lineRule="exact"/>
              <w:rPr>
                <w:rFonts w:ascii="宋体" w:hAnsi="宋体" w:cs="宋体"/>
                <w:bCs/>
                <w:sz w:val="20"/>
              </w:rPr>
            </w:pPr>
            <w:r>
              <w:rPr>
                <w:rFonts w:hint="eastAsia" w:ascii="宋体" w:hAnsi="宋体" w:cs="宋体"/>
                <w:sz w:val="20"/>
              </w:rPr>
              <w:t>负责辅助开展天津蜀物智链科技有限公司部分技术研发活动，做好</w:t>
            </w:r>
            <w:r>
              <w:rPr>
                <w:rFonts w:hint="eastAsia" w:ascii="宋体" w:hAnsi="宋体" w:cs="宋体"/>
                <w:sz w:val="20"/>
                <w:lang w:val="en-US" w:eastAsia="zh-CN"/>
              </w:rPr>
              <w:t>产业e贷项目需求</w:t>
            </w:r>
            <w:r>
              <w:rPr>
                <w:rFonts w:hint="eastAsia" w:ascii="宋体" w:hAnsi="宋体" w:cs="宋体"/>
                <w:sz w:val="20"/>
              </w:rPr>
              <w:t>的研发工作等，以比选人实际要求的服务内容为准。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1.5</w:t>
            </w:r>
          </w:p>
        </w:tc>
        <w:tc>
          <w:tcPr>
            <w:tcW w:w="1985" w:type="dxa"/>
            <w:gridSpan w:val="2"/>
            <w:vAlign w:val="center"/>
          </w:tcPr>
          <w:p>
            <w:pPr>
              <w:spacing w:line="400" w:lineRule="exact"/>
              <w:jc w:val="center"/>
              <w:rPr>
                <w:rFonts w:ascii="宋体" w:hAnsi="宋体" w:cs="宋体"/>
                <w:sz w:val="20"/>
              </w:rPr>
            </w:pPr>
            <w:r>
              <w:rPr>
                <w:rFonts w:hint="eastAsia" w:ascii="宋体" w:hAnsi="宋体" w:cs="宋体"/>
                <w:sz w:val="20"/>
              </w:rPr>
              <w:t>比选范围</w:t>
            </w:r>
          </w:p>
        </w:tc>
        <w:tc>
          <w:tcPr>
            <w:tcW w:w="5652" w:type="dxa"/>
            <w:vAlign w:val="center"/>
          </w:tcPr>
          <w:p>
            <w:pPr>
              <w:spacing w:line="400" w:lineRule="exact"/>
              <w:rPr>
                <w:rFonts w:ascii="宋体" w:hAnsi="宋体" w:cs="宋体"/>
                <w:sz w:val="20"/>
              </w:rPr>
            </w:pPr>
            <w:r>
              <w:rPr>
                <w:rFonts w:hint="eastAsia" w:ascii="宋体" w:hAnsi="宋体" w:cs="宋体"/>
                <w:bCs/>
                <w:sz w:val="20"/>
              </w:rPr>
              <w:t>服务范围：</w:t>
            </w:r>
            <w:r>
              <w:rPr>
                <w:rFonts w:hint="eastAsia" w:ascii="宋体" w:hAnsi="宋体" w:cs="宋体"/>
                <w:sz w:val="20"/>
              </w:rPr>
              <w:t>业务外包服务项目。详见第三章项目内容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1.6</w:t>
            </w:r>
          </w:p>
        </w:tc>
        <w:tc>
          <w:tcPr>
            <w:tcW w:w="1985" w:type="dxa"/>
            <w:gridSpan w:val="2"/>
            <w:vAlign w:val="center"/>
          </w:tcPr>
          <w:p>
            <w:pPr>
              <w:spacing w:line="400" w:lineRule="exact"/>
              <w:jc w:val="center"/>
              <w:rPr>
                <w:rFonts w:ascii="宋体" w:hAnsi="宋体" w:cs="宋体"/>
                <w:sz w:val="20"/>
              </w:rPr>
            </w:pPr>
            <w:r>
              <w:rPr>
                <w:rFonts w:hint="eastAsia" w:ascii="宋体" w:hAnsi="宋体" w:cs="宋体"/>
                <w:sz w:val="20"/>
              </w:rPr>
              <w:t>资金来源</w:t>
            </w:r>
          </w:p>
        </w:tc>
        <w:tc>
          <w:tcPr>
            <w:tcW w:w="5652" w:type="dxa"/>
            <w:vAlign w:val="center"/>
          </w:tcPr>
          <w:p>
            <w:pPr>
              <w:pStyle w:val="9"/>
              <w:spacing w:line="400" w:lineRule="exact"/>
              <w:ind w:left="0" w:leftChars="0"/>
              <w:rPr>
                <w:rFonts w:ascii="宋体" w:hAnsi="宋体" w:eastAsia="宋体" w:cs="宋体"/>
                <w:sz w:val="20"/>
              </w:rPr>
            </w:pPr>
            <w:r>
              <w:rPr>
                <w:rFonts w:ascii="宋体" w:hAnsi="宋体" w:eastAsia="宋体" w:cs="宋体"/>
                <w:sz w:val="20"/>
              </w:rPr>
              <w:t>自</w:t>
            </w:r>
            <w:r>
              <w:rPr>
                <w:rFonts w:hint="eastAsia" w:ascii="宋体" w:hAnsi="宋体" w:eastAsia="宋体" w:cs="宋体"/>
                <w:sz w:val="20"/>
              </w:rPr>
              <w:t>有资金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1.7</w:t>
            </w:r>
          </w:p>
        </w:tc>
        <w:tc>
          <w:tcPr>
            <w:tcW w:w="1985" w:type="dxa"/>
            <w:gridSpan w:val="2"/>
            <w:vAlign w:val="center"/>
          </w:tcPr>
          <w:p>
            <w:pPr>
              <w:spacing w:line="400" w:lineRule="exact"/>
              <w:rPr>
                <w:rFonts w:ascii="宋体" w:hAnsi="宋体" w:cs="宋体"/>
                <w:sz w:val="20"/>
              </w:rPr>
            </w:pPr>
            <w:r>
              <w:rPr>
                <w:rFonts w:hint="eastAsia" w:ascii="宋体" w:hAnsi="宋体" w:cs="宋体"/>
                <w:sz w:val="20"/>
              </w:rPr>
              <w:t>比选申请人资质条件、能力和信誉</w:t>
            </w:r>
          </w:p>
        </w:tc>
        <w:tc>
          <w:tcPr>
            <w:tcW w:w="5652" w:type="dxa"/>
            <w:vAlign w:val="center"/>
          </w:tcPr>
          <w:p>
            <w:pPr>
              <w:numPr>
                <w:ilvl w:val="0"/>
                <w:numId w:val="5"/>
              </w:numPr>
              <w:spacing w:line="400" w:lineRule="exact"/>
              <w:rPr>
                <w:sz w:val="20"/>
                <w:szCs w:val="18"/>
              </w:rPr>
            </w:pPr>
            <w:r>
              <w:rPr>
                <w:sz w:val="20"/>
                <w:szCs w:val="18"/>
              </w:rPr>
              <w:t>参与响应的比选申请人，提供外包服务需安排</w:t>
            </w:r>
            <w:r>
              <w:rPr>
                <w:rFonts w:hint="eastAsia"/>
                <w:sz w:val="20"/>
                <w:szCs w:val="18"/>
              </w:rPr>
              <w:t>不低于2人</w:t>
            </w:r>
            <w:r>
              <w:rPr>
                <w:sz w:val="20"/>
                <w:szCs w:val="18"/>
              </w:rPr>
              <w:t>参与上述工作；</w:t>
            </w:r>
          </w:p>
          <w:p>
            <w:pPr>
              <w:numPr>
                <w:ilvl w:val="0"/>
                <w:numId w:val="5"/>
              </w:numPr>
              <w:spacing w:line="400" w:lineRule="exact"/>
              <w:rPr>
                <w:sz w:val="20"/>
                <w:szCs w:val="18"/>
              </w:rPr>
            </w:pPr>
            <w:r>
              <w:rPr>
                <w:sz w:val="20"/>
                <w:szCs w:val="18"/>
              </w:rPr>
              <w:t>见本须知附录。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1.8</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是否接受联合体比选</w:t>
            </w:r>
          </w:p>
        </w:tc>
        <w:tc>
          <w:tcPr>
            <w:tcW w:w="5652" w:type="dxa"/>
            <w:vAlign w:val="center"/>
          </w:tcPr>
          <w:p>
            <w:pPr>
              <w:pStyle w:val="8"/>
              <w:adjustRightInd w:val="0"/>
              <w:snapToGrid w:val="0"/>
              <w:spacing w:line="400" w:lineRule="exact"/>
              <w:rPr>
                <w:rFonts w:hAnsi="宋体" w:cs="宋体"/>
              </w:rPr>
            </w:pPr>
            <w:r>
              <w:rPr>
                <w:rFonts w:hint="eastAsia" w:hAnsi="宋体" w:cs="宋体"/>
                <w:b/>
              </w:rPr>
              <w:t>本次比选不接受联合体比选。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1.9</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关联关系</w:t>
            </w:r>
          </w:p>
        </w:tc>
        <w:tc>
          <w:tcPr>
            <w:tcW w:w="5652" w:type="dxa"/>
          </w:tcPr>
          <w:p>
            <w:pPr>
              <w:adjustRightInd w:val="0"/>
              <w:snapToGrid w:val="0"/>
              <w:spacing w:line="400" w:lineRule="exact"/>
              <w:rPr>
                <w:rFonts w:ascii="宋体" w:hAnsi="宋体" w:cs="宋体"/>
                <w:sz w:val="20"/>
              </w:rPr>
            </w:pPr>
            <w:r>
              <w:rPr>
                <w:rFonts w:hint="eastAsia" w:ascii="宋体" w:hAnsi="宋体" w:cs="宋体"/>
                <w:b/>
                <w:sz w:val="20"/>
              </w:rPr>
              <w:t>单位负责人为同一人或者存在控股、管理关系的不同单位，不得同时参加比选。否则，相关比选均无效。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2.1</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比选文件的</w:t>
            </w:r>
          </w:p>
          <w:p>
            <w:pPr>
              <w:pStyle w:val="8"/>
              <w:adjustRightInd w:val="0"/>
              <w:snapToGrid w:val="0"/>
              <w:spacing w:line="400" w:lineRule="exact"/>
              <w:jc w:val="center"/>
              <w:rPr>
                <w:rFonts w:hAnsi="宋体" w:cs="宋体"/>
              </w:rPr>
            </w:pPr>
            <w:r>
              <w:rPr>
                <w:rFonts w:hint="eastAsia" w:hAnsi="宋体" w:cs="宋体"/>
              </w:rPr>
              <w:t>组成</w:t>
            </w:r>
          </w:p>
        </w:tc>
        <w:tc>
          <w:tcPr>
            <w:tcW w:w="5652" w:type="dxa"/>
            <w:vAlign w:val="center"/>
          </w:tcPr>
          <w:p>
            <w:pPr>
              <w:adjustRightInd w:val="0"/>
              <w:snapToGrid w:val="0"/>
              <w:spacing w:line="400" w:lineRule="exact"/>
              <w:rPr>
                <w:rFonts w:ascii="宋体" w:hAnsi="宋体" w:cs="宋体"/>
                <w:sz w:val="20"/>
              </w:rPr>
            </w:pPr>
            <w:r>
              <w:rPr>
                <w:rFonts w:hint="eastAsia" w:ascii="宋体" w:hAnsi="宋体" w:cs="宋体"/>
                <w:sz w:val="20"/>
              </w:rPr>
              <w:t>比选文件包括以下内容：</w:t>
            </w:r>
          </w:p>
          <w:p>
            <w:pPr>
              <w:adjustRightInd w:val="0"/>
              <w:snapToGrid w:val="0"/>
              <w:spacing w:line="400" w:lineRule="exact"/>
              <w:ind w:firstLine="1000" w:firstLineChars="500"/>
              <w:rPr>
                <w:rFonts w:ascii="宋体" w:hAnsi="宋体" w:cs="宋体"/>
                <w:sz w:val="20"/>
              </w:rPr>
            </w:pPr>
            <w:r>
              <w:rPr>
                <w:rFonts w:hint="eastAsia" w:ascii="宋体" w:hAnsi="宋体" w:cs="宋体"/>
                <w:sz w:val="20"/>
              </w:rPr>
              <w:t>第一章  比选公告</w:t>
            </w:r>
          </w:p>
          <w:p>
            <w:pPr>
              <w:adjustRightInd w:val="0"/>
              <w:snapToGrid w:val="0"/>
              <w:spacing w:line="400" w:lineRule="exact"/>
              <w:ind w:firstLine="1000" w:firstLineChars="500"/>
              <w:rPr>
                <w:rFonts w:ascii="宋体" w:hAnsi="宋体" w:cs="宋体"/>
                <w:sz w:val="20"/>
              </w:rPr>
            </w:pPr>
            <w:r>
              <w:rPr>
                <w:rFonts w:hint="eastAsia" w:ascii="宋体" w:hAnsi="宋体" w:cs="宋体"/>
                <w:sz w:val="20"/>
              </w:rPr>
              <w:t>第二章  比选须知</w:t>
            </w:r>
          </w:p>
          <w:p>
            <w:pPr>
              <w:adjustRightInd w:val="0"/>
              <w:snapToGrid w:val="0"/>
              <w:spacing w:line="400" w:lineRule="exact"/>
              <w:ind w:firstLine="1000" w:firstLineChars="500"/>
              <w:rPr>
                <w:rFonts w:ascii="宋体" w:hAnsi="宋体" w:cs="宋体"/>
                <w:sz w:val="20"/>
              </w:rPr>
            </w:pPr>
            <w:r>
              <w:rPr>
                <w:rFonts w:hint="eastAsia" w:ascii="宋体" w:hAnsi="宋体" w:cs="宋体"/>
                <w:sz w:val="20"/>
              </w:rPr>
              <w:t>第三章  比选项目要求</w:t>
            </w:r>
          </w:p>
          <w:p>
            <w:pPr>
              <w:adjustRightInd w:val="0"/>
              <w:snapToGrid w:val="0"/>
              <w:spacing w:line="400" w:lineRule="exact"/>
              <w:ind w:firstLine="1000" w:firstLineChars="500"/>
              <w:rPr>
                <w:rFonts w:ascii="宋体" w:hAnsi="宋体" w:cs="宋体"/>
                <w:sz w:val="20"/>
              </w:rPr>
            </w:pPr>
            <w:r>
              <w:rPr>
                <w:rFonts w:hint="eastAsia" w:ascii="宋体" w:hAnsi="宋体" w:cs="宋体"/>
                <w:sz w:val="20"/>
              </w:rPr>
              <w:t>第四章  评审办法</w:t>
            </w:r>
          </w:p>
          <w:p>
            <w:pPr>
              <w:adjustRightInd w:val="0"/>
              <w:snapToGrid w:val="0"/>
              <w:spacing w:line="400" w:lineRule="exact"/>
              <w:ind w:firstLine="1000" w:firstLineChars="500"/>
              <w:rPr>
                <w:rFonts w:ascii="宋体" w:hAnsi="宋体" w:cs="宋体"/>
                <w:sz w:val="20"/>
              </w:rPr>
            </w:pPr>
            <w:r>
              <w:rPr>
                <w:rFonts w:hint="eastAsia" w:ascii="宋体" w:hAnsi="宋体" w:cs="宋体"/>
                <w:sz w:val="20"/>
              </w:rPr>
              <w:t>第五章  比选响应文件格式</w:t>
            </w:r>
          </w:p>
          <w:p>
            <w:pPr>
              <w:pStyle w:val="8"/>
              <w:adjustRightInd w:val="0"/>
              <w:snapToGrid w:val="0"/>
              <w:spacing w:line="400" w:lineRule="exact"/>
              <w:rPr>
                <w:rFonts w:hAnsi="宋体" w:cs="宋体"/>
                <w:b/>
              </w:rPr>
            </w:pPr>
            <w:r>
              <w:rPr>
                <w:rFonts w:hint="eastAsia" w:hAnsi="宋体" w:cs="宋体"/>
              </w:rPr>
              <w:t>以及比选文件补遗书（如有）或通知书（如有）。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2.2</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比选人对比选文件的澄清</w:t>
            </w:r>
          </w:p>
        </w:tc>
        <w:tc>
          <w:tcPr>
            <w:tcW w:w="5652" w:type="dxa"/>
            <w:vAlign w:val="center"/>
          </w:tcPr>
          <w:p>
            <w:pPr>
              <w:pStyle w:val="8"/>
              <w:adjustRightInd w:val="0"/>
              <w:snapToGrid w:val="0"/>
              <w:spacing w:line="400" w:lineRule="exact"/>
              <w:rPr>
                <w:rFonts w:hAnsi="宋体" w:cs="宋体"/>
                <w:color w:val="000000"/>
              </w:rPr>
            </w:pPr>
            <w:r>
              <w:rPr>
                <w:rFonts w:ascii="Times New Roman" w:hAnsi="Times New Roman"/>
              </w:rPr>
              <w:t>本项目如有澄清</w:t>
            </w:r>
            <w:r>
              <w:rPr>
                <w:rFonts w:ascii="Times New Roman" w:hAnsi="Times New Roman"/>
                <w:highlight w:val="none"/>
              </w:rPr>
              <w:t>，比选人将在202</w:t>
            </w:r>
            <w:r>
              <w:rPr>
                <w:rFonts w:hint="eastAsia" w:ascii="Times New Roman" w:hAnsi="Times New Roman"/>
                <w:highlight w:val="none"/>
                <w:lang w:val="en-US" w:eastAsia="zh-CN"/>
              </w:rPr>
              <w:t>3</w:t>
            </w:r>
            <w:r>
              <w:rPr>
                <w:rFonts w:ascii="Times New Roman" w:hAnsi="Times New Roman"/>
                <w:highlight w:val="none"/>
              </w:rPr>
              <w:t>年</w:t>
            </w:r>
            <w:r>
              <w:rPr>
                <w:rFonts w:hint="eastAsia" w:ascii="Times New Roman" w:hAnsi="Times New Roman"/>
                <w:highlight w:val="none"/>
                <w:lang w:val="en-US" w:eastAsia="zh-CN"/>
              </w:rPr>
              <w:t>12</w:t>
            </w:r>
            <w:r>
              <w:rPr>
                <w:rFonts w:hint="eastAsia" w:ascii="Times New Roman" w:hAnsi="Times New Roman"/>
                <w:highlight w:val="none"/>
              </w:rPr>
              <w:t>月</w:t>
            </w:r>
            <w:r>
              <w:rPr>
                <w:rFonts w:hint="eastAsia" w:ascii="Times New Roman" w:hAnsi="Times New Roman"/>
                <w:highlight w:val="none"/>
                <w:lang w:val="en-US" w:eastAsia="zh-CN"/>
              </w:rPr>
              <w:t>18</w:t>
            </w:r>
            <w:r>
              <w:rPr>
                <w:rFonts w:hint="eastAsia" w:ascii="Times New Roman" w:hAnsi="Times New Roman"/>
                <w:highlight w:val="none"/>
              </w:rPr>
              <w:t>日</w:t>
            </w:r>
            <w:r>
              <w:rPr>
                <w:rFonts w:hint="eastAsia" w:ascii="Times New Roman" w:hAnsi="Times New Roman"/>
                <w:highlight w:val="none"/>
                <w:lang w:val="en-US" w:eastAsia="zh-CN"/>
              </w:rPr>
              <w:t>9</w:t>
            </w:r>
            <w:r>
              <w:rPr>
                <w:rFonts w:hint="eastAsia" w:ascii="Times New Roman" w:hAnsi="Times New Roman"/>
                <w:highlight w:val="none"/>
              </w:rPr>
              <w:t>:00</w:t>
            </w:r>
            <w:r>
              <w:rPr>
                <w:rFonts w:ascii="Times New Roman" w:hAnsi="Times New Roman"/>
                <w:highlight w:val="none"/>
              </w:rPr>
              <w:t>前，以补遗书形式对比选文件进行澄清，</w:t>
            </w:r>
            <w:r>
              <w:rPr>
                <w:rFonts w:hint="eastAsia" w:hAnsi="宋体" w:cs="宋体"/>
                <w:color w:val="000000"/>
                <w:highlight w:val="none"/>
              </w:rPr>
              <w:t>通过公告媒介发送。</w:t>
            </w:r>
          </w:p>
          <w:p>
            <w:pPr>
              <w:pStyle w:val="8"/>
              <w:adjustRightInd w:val="0"/>
              <w:snapToGrid w:val="0"/>
              <w:spacing w:line="400" w:lineRule="exact"/>
              <w:ind w:firstLine="402" w:firstLineChars="200"/>
              <w:rPr>
                <w:rFonts w:hAnsi="宋体" w:cs="宋体"/>
              </w:rPr>
            </w:pPr>
            <w:r>
              <w:rPr>
                <w:rFonts w:hAnsi="宋体" w:cs="宋体"/>
                <w:b/>
                <w:color w:val="000000"/>
              </w:rPr>
              <w:t>比选申请人</w:t>
            </w:r>
            <w:r>
              <w:rPr>
                <w:rFonts w:hint="eastAsia" w:hAnsi="宋体" w:cs="宋体"/>
                <w:b/>
                <w:color w:val="000000"/>
              </w:rPr>
              <w:t>应在比选期间实时关注指定媒介，并及时下载相关内容，比选人不再另行通知。</w:t>
            </w:r>
            <w:r>
              <w:rPr>
                <w:rFonts w:ascii="Times New Roman" w:hAnsi="Times New Roman"/>
                <w:b/>
              </w:rPr>
              <w:t>如有疑问，应及时与比选人联系；逾期未联系的，比选人视为</w:t>
            </w:r>
            <w:r>
              <w:rPr>
                <w:rFonts w:hint="eastAsia" w:ascii="Times New Roman" w:hAnsi="Times New Roman"/>
                <w:b/>
              </w:rPr>
              <w:t>比选申请人</w:t>
            </w:r>
            <w:r>
              <w:rPr>
                <w:rFonts w:ascii="Times New Roman" w:hAnsi="Times New Roman"/>
                <w:b/>
              </w:rPr>
              <w:t>没有任何疑问，或是已收到或默认已收到。否则，造成的一切后果由</w:t>
            </w:r>
            <w:r>
              <w:rPr>
                <w:rFonts w:hint="eastAsia" w:ascii="Times New Roman" w:hAnsi="Times New Roman"/>
                <w:b/>
              </w:rPr>
              <w:t>比选申请人</w:t>
            </w:r>
            <w:r>
              <w:rPr>
                <w:rFonts w:ascii="Times New Roman" w:hAnsi="Times New Roman"/>
                <w:b/>
              </w:rPr>
              <w:t>负责</w:t>
            </w:r>
            <w:r>
              <w:rPr>
                <w:rFonts w:ascii="Times New Roman" w:hAnsi="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2.3</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比选人确认收到比选文件澄清的时间</w:t>
            </w:r>
          </w:p>
        </w:tc>
        <w:tc>
          <w:tcPr>
            <w:tcW w:w="5652" w:type="dxa"/>
            <w:vAlign w:val="center"/>
          </w:tcPr>
          <w:p>
            <w:pPr>
              <w:pStyle w:val="8"/>
              <w:adjustRightInd w:val="0"/>
              <w:snapToGrid w:val="0"/>
              <w:spacing w:line="400" w:lineRule="exact"/>
              <w:jc w:val="left"/>
              <w:rPr>
                <w:rFonts w:hAnsi="宋体" w:cs="宋体"/>
                <w:b/>
              </w:rPr>
            </w:pPr>
            <w:r>
              <w:rPr>
                <w:rFonts w:ascii="Times New Roman" w:hAnsi="Times New Roman"/>
              </w:rPr>
              <w:t>无时间要求，由</w:t>
            </w:r>
            <w:r>
              <w:rPr>
                <w:rFonts w:hint="eastAsia" w:ascii="Times New Roman" w:hAnsi="Times New Roman"/>
              </w:rPr>
              <w:t>比选申请人</w:t>
            </w:r>
            <w:r>
              <w:rPr>
                <w:rFonts w:ascii="Times New Roman" w:hAnsi="Times New Roman"/>
              </w:rPr>
              <w:t>从</w:t>
            </w:r>
            <w:r>
              <w:rPr>
                <w:rFonts w:hint="eastAsia" w:ascii="Times New Roman" w:hAnsi="Times New Roman"/>
              </w:rPr>
              <w:t>指定媒介</w:t>
            </w:r>
            <w:r>
              <w:rPr>
                <w:rFonts w:ascii="Times New Roman" w:hAnsi="Times New Roman"/>
              </w:rPr>
              <w:t>中自行查阅与下载，不要求</w:t>
            </w:r>
            <w:r>
              <w:rPr>
                <w:rFonts w:hint="eastAsia" w:ascii="Times New Roman" w:hAnsi="Times New Roman"/>
              </w:rPr>
              <w:t>比选申请人</w:t>
            </w:r>
            <w:r>
              <w:rPr>
                <w:rFonts w:ascii="Times New Roman" w:hAnsi="Times New Roman"/>
              </w:rPr>
              <w:t>向比选人发出确认函。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3.1</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比选申请文件的组成</w:t>
            </w:r>
          </w:p>
        </w:tc>
        <w:tc>
          <w:tcPr>
            <w:tcW w:w="5652" w:type="dxa"/>
            <w:vAlign w:val="center"/>
          </w:tcPr>
          <w:p>
            <w:pPr>
              <w:pStyle w:val="8"/>
              <w:adjustRightInd w:val="0"/>
              <w:snapToGrid w:val="0"/>
              <w:spacing w:line="400" w:lineRule="exact"/>
              <w:rPr>
                <w:rFonts w:hAnsi="宋体" w:cs="宋体"/>
              </w:rPr>
            </w:pPr>
            <w:r>
              <w:rPr>
                <w:rFonts w:hint="eastAsia" w:hAnsi="宋体" w:cs="宋体"/>
              </w:rPr>
              <w:t>比选申请文件见第五章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3.2</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价格调整</w:t>
            </w:r>
          </w:p>
        </w:tc>
        <w:tc>
          <w:tcPr>
            <w:tcW w:w="5652" w:type="dxa"/>
            <w:vAlign w:val="center"/>
          </w:tcPr>
          <w:p>
            <w:pPr>
              <w:pStyle w:val="8"/>
              <w:adjustRightInd w:val="0"/>
              <w:snapToGrid w:val="0"/>
              <w:spacing w:line="400" w:lineRule="exact"/>
              <w:rPr>
                <w:rFonts w:hAnsi="宋体" w:cs="宋体"/>
              </w:rPr>
            </w:pPr>
            <w:r>
              <w:rPr>
                <w:rFonts w:hint="eastAsia" w:hAnsi="宋体" w:cs="宋体"/>
              </w:rPr>
              <w:t>合同执行期间不调价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3.3</w:t>
            </w:r>
          </w:p>
        </w:tc>
        <w:tc>
          <w:tcPr>
            <w:tcW w:w="1985" w:type="dxa"/>
            <w:gridSpan w:val="2"/>
            <w:vAlign w:val="center"/>
          </w:tcPr>
          <w:p>
            <w:pPr>
              <w:pStyle w:val="12"/>
              <w:adjustRightInd w:val="0"/>
              <w:spacing w:line="400" w:lineRule="exact"/>
              <w:jc w:val="center"/>
              <w:rPr>
                <w:rFonts w:ascii="宋体" w:hAnsi="宋体" w:cs="宋体"/>
                <w:sz w:val="20"/>
              </w:rPr>
            </w:pPr>
            <w:r>
              <w:rPr>
                <w:rFonts w:hint="eastAsia" w:ascii="宋体" w:hAnsi="宋体" w:cs="宋体"/>
                <w:sz w:val="20"/>
              </w:rPr>
              <w:t>资格审查资料</w:t>
            </w:r>
          </w:p>
        </w:tc>
        <w:tc>
          <w:tcPr>
            <w:tcW w:w="5652" w:type="dxa"/>
            <w:vAlign w:val="center"/>
          </w:tcPr>
          <w:p>
            <w:pPr>
              <w:pStyle w:val="8"/>
              <w:adjustRightInd w:val="0"/>
              <w:snapToGrid w:val="0"/>
              <w:spacing w:line="400" w:lineRule="exact"/>
              <w:rPr>
                <w:rFonts w:hAnsi="宋体" w:cs="宋体"/>
              </w:rPr>
            </w:pPr>
            <w:r>
              <w:rPr>
                <w:rFonts w:hint="eastAsia" w:hAnsi="宋体" w:cs="宋体"/>
              </w:rPr>
              <w:t>比选申请人提供的资格审查资料必须满足资格审查最低条件要求，并附相关证明材料，证明材料以第五章比选文件格式中要求为准。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3.4</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近年完成的类似项目的年份要求</w:t>
            </w:r>
          </w:p>
        </w:tc>
        <w:tc>
          <w:tcPr>
            <w:tcW w:w="5652" w:type="dxa"/>
            <w:vAlign w:val="center"/>
          </w:tcPr>
          <w:p>
            <w:pPr>
              <w:pStyle w:val="8"/>
              <w:adjustRightInd w:val="0"/>
              <w:snapToGrid w:val="0"/>
              <w:spacing w:line="400" w:lineRule="exact"/>
              <w:rPr>
                <w:rFonts w:hAnsi="宋体" w:cs="宋体"/>
              </w:rPr>
            </w:pPr>
            <w:r>
              <w:rPr>
                <w:rFonts w:hint="eastAsia" w:hAnsi="宋体" w:cs="宋体"/>
              </w:rPr>
              <w:t>自20</w:t>
            </w:r>
            <w:r>
              <w:rPr>
                <w:rFonts w:hint="eastAsia" w:hAnsi="宋体" w:cs="宋体"/>
                <w:lang w:val="en-US" w:eastAsia="zh-CN"/>
              </w:rPr>
              <w:t>20</w:t>
            </w:r>
            <w:r>
              <w:rPr>
                <w:rFonts w:hint="eastAsia" w:hAnsi="宋体" w:cs="宋体"/>
              </w:rPr>
              <w:t>年1月1日起至今，以签订合同时间为准。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3.5</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近年发生的诉讼及仲裁的年份要求</w:t>
            </w:r>
          </w:p>
        </w:tc>
        <w:tc>
          <w:tcPr>
            <w:tcW w:w="5652" w:type="dxa"/>
            <w:vAlign w:val="center"/>
          </w:tcPr>
          <w:p>
            <w:pPr>
              <w:pStyle w:val="8"/>
              <w:adjustRightInd w:val="0"/>
              <w:snapToGrid w:val="0"/>
              <w:spacing w:line="400" w:lineRule="exact"/>
              <w:rPr>
                <w:rFonts w:hAnsi="宋体" w:cs="宋体"/>
              </w:rPr>
            </w:pPr>
            <w:r>
              <w:rPr>
                <w:rFonts w:hint="eastAsia" w:hAnsi="宋体" w:cs="宋体"/>
              </w:rPr>
              <w:t>近三年（20</w:t>
            </w:r>
            <w:r>
              <w:rPr>
                <w:rFonts w:hint="eastAsia" w:hAnsi="宋体" w:cs="宋体"/>
                <w:lang w:val="en-US" w:eastAsia="zh-CN"/>
              </w:rPr>
              <w:t>20</w:t>
            </w:r>
            <w:r>
              <w:rPr>
                <w:rFonts w:hint="eastAsia" w:hAnsi="宋体" w:cs="宋体"/>
              </w:rPr>
              <w:t>年1月至今）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3.6</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比选文件的真实性要求</w:t>
            </w:r>
          </w:p>
        </w:tc>
        <w:tc>
          <w:tcPr>
            <w:tcW w:w="5652" w:type="dxa"/>
          </w:tcPr>
          <w:p>
            <w:pPr>
              <w:pStyle w:val="8"/>
              <w:adjustRightInd w:val="0"/>
              <w:snapToGrid w:val="0"/>
              <w:spacing w:line="400" w:lineRule="exact"/>
              <w:ind w:firstLine="200" w:firstLineChars="100"/>
              <w:rPr>
                <w:rFonts w:hAnsi="宋体" w:cs="宋体"/>
              </w:rPr>
            </w:pPr>
            <w:r>
              <w:rPr>
                <w:rFonts w:hint="eastAsia" w:hAnsi="宋体" w:cs="宋体"/>
              </w:rPr>
              <w:t>比选申请人所递交的比选申请文件（包括资质、业绩、信用等级等信息）应真实可信，不存在虚假。如比选文件存在虚假，在评审阶段发现的，评审委员会应否决比选申请人；中选候选人确定后发现的，比选人将取消中选候选人或中选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3.7</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签字或盖章要求</w:t>
            </w:r>
          </w:p>
        </w:tc>
        <w:tc>
          <w:tcPr>
            <w:tcW w:w="5652" w:type="dxa"/>
            <w:vAlign w:val="center"/>
          </w:tcPr>
          <w:p>
            <w:pPr>
              <w:adjustRightInd w:val="0"/>
              <w:snapToGrid w:val="0"/>
              <w:spacing w:line="400" w:lineRule="exact"/>
              <w:rPr>
                <w:rFonts w:ascii="宋体" w:hAnsi="宋体" w:cs="宋体"/>
                <w:sz w:val="20"/>
              </w:rPr>
            </w:pPr>
            <w:r>
              <w:rPr>
                <w:rFonts w:hint="eastAsia" w:ascii="宋体" w:hAnsi="宋体" w:cs="宋体"/>
                <w:sz w:val="20"/>
              </w:rPr>
              <w:t>（1）单位章内容必须与单位营业执照名称一致。</w:t>
            </w:r>
          </w:p>
          <w:p>
            <w:pPr>
              <w:adjustRightInd w:val="0"/>
              <w:snapToGrid w:val="0"/>
              <w:spacing w:line="400" w:lineRule="exact"/>
              <w:rPr>
                <w:rFonts w:ascii="宋体" w:hAnsi="宋体" w:cs="宋体"/>
                <w:sz w:val="20"/>
              </w:rPr>
            </w:pPr>
            <w:r>
              <w:rPr>
                <w:rFonts w:hint="eastAsia" w:ascii="宋体" w:hAnsi="宋体" w:cs="宋体"/>
                <w:sz w:val="20"/>
              </w:rPr>
              <w:t>（2）法定代表人或授权的代理人必须在比选申请文件格式上所有要求签署的地方亲自签署，并不得用印章、签名章或电子制版章代替。</w:t>
            </w:r>
          </w:p>
          <w:p>
            <w:pPr>
              <w:adjustRightInd w:val="0"/>
              <w:snapToGrid w:val="0"/>
              <w:spacing w:line="400" w:lineRule="exact"/>
              <w:rPr>
                <w:rFonts w:ascii="宋体" w:hAnsi="宋体" w:cs="宋体"/>
                <w:sz w:val="20"/>
              </w:rPr>
            </w:pPr>
            <w:r>
              <w:rPr>
                <w:rFonts w:hint="eastAsia" w:ascii="宋体" w:hAnsi="宋体" w:cs="宋体"/>
                <w:sz w:val="20"/>
              </w:rPr>
              <w:t>（3）比选申请文件格式上所有要求盖章的地方都须加盖比选申请人单位章（法定名称），不得使用专用印章。</w:t>
            </w:r>
          </w:p>
          <w:p>
            <w:pPr>
              <w:pStyle w:val="8"/>
              <w:tabs>
                <w:tab w:val="left" w:pos="4452"/>
              </w:tabs>
              <w:adjustRightInd w:val="0"/>
              <w:snapToGrid w:val="0"/>
              <w:spacing w:line="400" w:lineRule="exact"/>
              <w:rPr>
                <w:rFonts w:hAnsi="宋体" w:cs="宋体"/>
              </w:rPr>
            </w:pPr>
            <w:r>
              <w:rPr>
                <w:rFonts w:hint="eastAsia" w:hAnsi="宋体" w:cs="宋体"/>
              </w:rPr>
              <w:t>（4）比选申请文件格式中对应内容在提交的比选申请文件中的任何改动之处应加盖单位章或由比选申请人的法定代表人或其委托代理人签字确认。</w:t>
            </w:r>
          </w:p>
          <w:p>
            <w:pPr>
              <w:pStyle w:val="8"/>
              <w:tabs>
                <w:tab w:val="left" w:pos="4452"/>
              </w:tabs>
              <w:adjustRightInd w:val="0"/>
              <w:snapToGrid w:val="0"/>
              <w:spacing w:line="400" w:lineRule="exact"/>
              <w:rPr>
                <w:rFonts w:hAnsi="宋体" w:cs="宋体"/>
              </w:rPr>
            </w:pPr>
            <w:r>
              <w:rPr>
                <w:rFonts w:hint="eastAsia" w:hAnsi="宋体" w:cs="宋体"/>
              </w:rPr>
              <w:t>（5）法定代表人身份证明、授权委托书（如有）具体要求见第五章比选申请文件格式。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3.8</w:t>
            </w:r>
          </w:p>
        </w:tc>
        <w:tc>
          <w:tcPr>
            <w:tcW w:w="1985" w:type="dxa"/>
            <w:gridSpan w:val="2"/>
            <w:vAlign w:val="center"/>
          </w:tcPr>
          <w:p>
            <w:pPr>
              <w:spacing w:line="400" w:lineRule="exact"/>
              <w:jc w:val="center"/>
              <w:rPr>
                <w:rFonts w:ascii="宋体" w:hAnsi="宋体" w:cs="宋体"/>
                <w:sz w:val="20"/>
              </w:rPr>
            </w:pPr>
            <w:r>
              <w:rPr>
                <w:rFonts w:hint="eastAsia" w:ascii="宋体" w:hAnsi="宋体" w:cs="宋体"/>
                <w:sz w:val="20"/>
              </w:rPr>
              <w:t>比选响应文件份数</w:t>
            </w:r>
          </w:p>
        </w:tc>
        <w:tc>
          <w:tcPr>
            <w:tcW w:w="5652" w:type="dxa"/>
            <w:vAlign w:val="center"/>
          </w:tcPr>
          <w:p>
            <w:pPr>
              <w:spacing w:line="400" w:lineRule="exact"/>
              <w:rPr>
                <w:rFonts w:ascii="宋体" w:hAnsi="宋体" w:cs="宋体"/>
                <w:sz w:val="20"/>
              </w:rPr>
            </w:pPr>
            <w:r>
              <w:rPr>
                <w:rFonts w:hint="eastAsia" w:ascii="宋体" w:hAnsi="宋体" w:cs="宋体"/>
                <w:sz w:val="20"/>
              </w:rPr>
              <w:t>正本壹份，副本壹份。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3.9</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装订要求</w:t>
            </w:r>
          </w:p>
        </w:tc>
        <w:tc>
          <w:tcPr>
            <w:tcW w:w="5652" w:type="dxa"/>
            <w:vAlign w:val="center"/>
          </w:tcPr>
          <w:p>
            <w:pPr>
              <w:pStyle w:val="8"/>
              <w:adjustRightInd w:val="0"/>
              <w:snapToGrid w:val="0"/>
              <w:spacing w:line="400" w:lineRule="exact"/>
              <w:rPr>
                <w:rFonts w:hAnsi="宋体" w:cs="宋体"/>
              </w:rPr>
            </w:pPr>
            <w:r>
              <w:rPr>
                <w:rFonts w:hint="eastAsia" w:hAnsi="宋体" w:cs="宋体"/>
              </w:rPr>
              <w:t>比选申请文件的正本、副本应编制目录且逐页标注连续页码，采用粘贴或装订方式分别装订成册（A4纸幅），并标明“正本”、“副本”，不得采用活页夹等可随时拆换的方式装订，副本由正本整本复印而成。由于比选申请文件页码编制和装订造成的丢失、散落、缺页或其它后果概由比选申请人自行承担。</w:t>
            </w:r>
            <w:r>
              <w:rPr>
                <w:rFonts w:hint="eastAsia" w:hAnsi="宋体" w:cs="宋体"/>
                <w:spacing w:val="-4"/>
              </w:rPr>
              <w:t>比选文件要求比选申请文件中附原件的，应一律附于比选申请文件“正本”内。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3"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4.1</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比选申请文件的密封</w:t>
            </w:r>
          </w:p>
        </w:tc>
        <w:tc>
          <w:tcPr>
            <w:tcW w:w="5652" w:type="dxa"/>
          </w:tcPr>
          <w:p>
            <w:pPr>
              <w:spacing w:line="400" w:lineRule="exact"/>
              <w:rPr>
                <w:rFonts w:ascii="宋体" w:hAnsi="宋体" w:cs="宋体"/>
                <w:bCs/>
                <w:sz w:val="20"/>
              </w:rPr>
            </w:pPr>
            <w:r>
              <w:rPr>
                <w:rFonts w:hint="eastAsia" w:ascii="宋体" w:hAnsi="宋体" w:cs="宋体"/>
                <w:bCs/>
                <w:sz w:val="20"/>
              </w:rPr>
              <w:t>比选申请文件的密封样式不限。</w:t>
            </w:r>
          </w:p>
          <w:p>
            <w:pPr>
              <w:spacing w:line="400" w:lineRule="exact"/>
              <w:rPr>
                <w:rFonts w:ascii="宋体" w:hAnsi="宋体" w:cs="宋体"/>
                <w:bCs/>
                <w:sz w:val="20"/>
              </w:rPr>
            </w:pPr>
            <w:r>
              <w:rPr>
                <w:rFonts w:hint="eastAsia" w:ascii="宋体" w:hAnsi="宋体" w:cs="宋体"/>
                <w:bCs/>
                <w:sz w:val="20"/>
              </w:rPr>
              <w:t>密封袋的封口处须加盖比选申请人单位公章。</w:t>
            </w:r>
          </w:p>
          <w:p>
            <w:pPr>
              <w:spacing w:line="400" w:lineRule="exact"/>
              <w:rPr>
                <w:rFonts w:ascii="宋体" w:hAnsi="宋体" w:cs="宋体"/>
                <w:bCs/>
                <w:sz w:val="20"/>
              </w:rPr>
            </w:pPr>
            <w:r>
              <w:rPr>
                <w:rFonts w:hint="eastAsia" w:ascii="宋体" w:hAnsi="宋体" w:cs="宋体"/>
                <w:bCs/>
                <w:sz w:val="20"/>
              </w:rPr>
              <w:t>未按照比选文件要求密封而提交的比选申请文件，比选人将拒绝其参加比选，并现场原封退回其比选申请文件。</w:t>
            </w:r>
          </w:p>
          <w:p>
            <w:pPr>
              <w:adjustRightInd w:val="0"/>
              <w:snapToGrid w:val="0"/>
              <w:spacing w:line="400" w:lineRule="exact"/>
              <w:rPr>
                <w:rFonts w:ascii="宋体" w:hAnsi="宋体" w:cs="宋体"/>
                <w:sz w:val="20"/>
              </w:rPr>
            </w:pPr>
            <w:r>
              <w:rPr>
                <w:rFonts w:hint="eastAsia" w:ascii="宋体" w:hAnsi="宋体" w:cs="宋体"/>
                <w:bCs/>
                <w:sz w:val="20"/>
              </w:rPr>
              <w:t>如果因密封不严、标记不明而造成过早启封、失密等情况，比选人概不负责。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4.2</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封套上写明</w:t>
            </w:r>
          </w:p>
        </w:tc>
        <w:tc>
          <w:tcPr>
            <w:tcW w:w="5652" w:type="dxa"/>
            <w:vAlign w:val="center"/>
          </w:tcPr>
          <w:p>
            <w:pPr>
              <w:pStyle w:val="8"/>
              <w:spacing w:line="400" w:lineRule="exact"/>
              <w:rPr>
                <w:rFonts w:hAnsi="宋体" w:cs="宋体"/>
                <w:bCs/>
                <w:highlight w:val="none"/>
              </w:rPr>
            </w:pPr>
            <w:r>
              <w:rPr>
                <w:rFonts w:hint="eastAsia" w:hAnsi="宋体" w:cs="宋体"/>
                <w:bCs/>
                <w:highlight w:val="none"/>
              </w:rPr>
              <w:t>封套上至少应写明：</w:t>
            </w:r>
          </w:p>
          <w:p>
            <w:pPr>
              <w:spacing w:line="400" w:lineRule="exact"/>
              <w:rPr>
                <w:rFonts w:ascii="宋体" w:hAnsi="宋体" w:cs="宋体"/>
                <w:bCs/>
                <w:sz w:val="20"/>
                <w:highlight w:val="none"/>
              </w:rPr>
            </w:pPr>
            <w:r>
              <w:rPr>
                <w:rFonts w:hint="eastAsia" w:ascii="宋体" w:hAnsi="宋体" w:cs="宋体"/>
                <w:bCs/>
                <w:sz w:val="20"/>
                <w:highlight w:val="none"/>
              </w:rPr>
              <w:t>（1）天津蜀物智链科技有限公司</w:t>
            </w:r>
            <w:r>
              <w:rPr>
                <w:rFonts w:hint="eastAsia" w:ascii="宋体" w:hAnsi="宋体" w:cs="宋体"/>
                <w:bCs/>
                <w:sz w:val="20"/>
                <w:highlight w:val="none"/>
                <w:lang w:val="en-US" w:eastAsia="zh-CN"/>
              </w:rPr>
              <w:t>产业e贷需求</w:t>
            </w:r>
            <w:r>
              <w:rPr>
                <w:rFonts w:hint="eastAsia" w:ascii="宋体" w:hAnsi="宋体" w:cs="宋体"/>
                <w:bCs/>
                <w:sz w:val="20"/>
                <w:highlight w:val="none"/>
              </w:rPr>
              <w:t>研发业务外包服务采购项目</w:t>
            </w:r>
            <w:r>
              <w:rPr>
                <w:rFonts w:hint="eastAsia" w:ascii="宋体" w:hAnsi="宋体" w:cs="宋体"/>
                <w:spacing w:val="-4"/>
                <w:sz w:val="20"/>
                <w:highlight w:val="none"/>
              </w:rPr>
              <w:t>比选申请文件</w:t>
            </w:r>
          </w:p>
          <w:p>
            <w:pPr>
              <w:spacing w:line="400" w:lineRule="exact"/>
              <w:rPr>
                <w:sz w:val="20"/>
                <w:szCs w:val="18"/>
                <w:highlight w:val="none"/>
              </w:rPr>
            </w:pPr>
            <w:r>
              <w:rPr>
                <w:rFonts w:hint="eastAsia" w:ascii="宋体" w:hAnsi="宋体" w:cs="宋体"/>
                <w:bCs/>
                <w:sz w:val="20"/>
                <w:highlight w:val="none"/>
              </w:rPr>
              <w:t>（2）比选申请人全称</w:t>
            </w:r>
            <w:r>
              <w:rPr>
                <w:rFonts w:hint="eastAsia" w:ascii="宋体" w:hAnsi="宋体" w:cs="宋体"/>
                <w:bCs/>
                <w:sz w:val="20"/>
                <w:highlight w:val="none"/>
                <w:u w:val="single"/>
              </w:rPr>
              <w:t xml:space="preserve">：      </w:t>
            </w:r>
            <w:r>
              <w:rPr>
                <w:rFonts w:hint="eastAsia"/>
                <w:sz w:val="20"/>
                <w:szCs w:val="18"/>
                <w:highlight w:val="none"/>
              </w:rPr>
              <w:t xml:space="preserve">                          </w:t>
            </w:r>
          </w:p>
          <w:p>
            <w:pPr>
              <w:spacing w:line="400" w:lineRule="exact"/>
              <w:rPr>
                <w:rFonts w:ascii="宋体" w:hAnsi="宋体" w:cs="宋体"/>
                <w:sz w:val="20"/>
                <w:highlight w:val="none"/>
              </w:rPr>
            </w:pPr>
            <w:r>
              <w:rPr>
                <w:rFonts w:hint="eastAsia" w:ascii="宋体" w:hAnsi="宋体" w:cs="宋体"/>
                <w:bCs/>
                <w:sz w:val="20"/>
                <w:highlight w:val="none"/>
              </w:rPr>
              <w:t>（3）在</w:t>
            </w:r>
            <w:r>
              <w:rPr>
                <w:rFonts w:hint="eastAsia" w:ascii="宋体" w:hAnsi="宋体" w:cs="宋体"/>
                <w:bCs/>
                <w:sz w:val="20"/>
                <w:highlight w:val="none"/>
                <w:u w:val="single"/>
              </w:rPr>
              <w:t xml:space="preserve"> 202</w:t>
            </w:r>
            <w:r>
              <w:rPr>
                <w:rFonts w:hint="eastAsia" w:ascii="宋体" w:hAnsi="宋体" w:cs="宋体"/>
                <w:bCs/>
                <w:sz w:val="20"/>
                <w:highlight w:val="none"/>
                <w:u w:val="single"/>
                <w:lang w:val="en-US" w:eastAsia="zh-CN"/>
              </w:rPr>
              <w:t>3</w:t>
            </w:r>
            <w:r>
              <w:rPr>
                <w:rFonts w:hint="eastAsia" w:ascii="宋体" w:hAnsi="宋体" w:cs="宋体"/>
                <w:bCs/>
                <w:sz w:val="20"/>
                <w:highlight w:val="none"/>
                <w:u w:val="single"/>
              </w:rPr>
              <w:t xml:space="preserve">  </w:t>
            </w:r>
            <w:r>
              <w:rPr>
                <w:rFonts w:hint="eastAsia" w:ascii="宋体" w:hAnsi="宋体" w:cs="宋体"/>
                <w:bCs/>
                <w:sz w:val="20"/>
                <w:highlight w:val="none"/>
              </w:rPr>
              <w:t>年</w:t>
            </w:r>
            <w:r>
              <w:rPr>
                <w:rFonts w:hint="eastAsia" w:ascii="宋体" w:hAnsi="宋体" w:cs="宋体"/>
                <w:bCs/>
                <w:sz w:val="20"/>
                <w:highlight w:val="none"/>
                <w:u w:val="single"/>
              </w:rPr>
              <w:t xml:space="preserve"> </w:t>
            </w:r>
            <w:r>
              <w:rPr>
                <w:rFonts w:hint="eastAsia" w:ascii="宋体" w:hAnsi="宋体" w:cs="宋体"/>
                <w:bCs/>
                <w:sz w:val="20"/>
                <w:highlight w:val="none"/>
                <w:u w:val="single"/>
                <w:lang w:val="en-US" w:eastAsia="zh-CN"/>
              </w:rPr>
              <w:t>12</w:t>
            </w:r>
            <w:r>
              <w:rPr>
                <w:rFonts w:hint="eastAsia" w:ascii="宋体" w:hAnsi="宋体" w:cs="宋体"/>
                <w:bCs/>
                <w:sz w:val="20"/>
                <w:highlight w:val="none"/>
              </w:rPr>
              <w:t>月</w:t>
            </w:r>
            <w:r>
              <w:rPr>
                <w:rFonts w:hint="eastAsia" w:ascii="宋体" w:hAnsi="宋体" w:cs="宋体"/>
                <w:bCs/>
                <w:sz w:val="20"/>
                <w:highlight w:val="none"/>
                <w:u w:val="single"/>
              </w:rPr>
              <w:t xml:space="preserve"> </w:t>
            </w:r>
            <w:r>
              <w:rPr>
                <w:rFonts w:hint="eastAsia" w:ascii="宋体" w:hAnsi="宋体" w:cs="宋体"/>
                <w:bCs/>
                <w:sz w:val="20"/>
                <w:highlight w:val="none"/>
                <w:u w:val="single"/>
                <w:lang w:val="en-US" w:eastAsia="zh-CN"/>
              </w:rPr>
              <w:t>18</w:t>
            </w:r>
            <w:r>
              <w:rPr>
                <w:rFonts w:hint="eastAsia" w:ascii="宋体" w:hAnsi="宋体" w:cs="宋体"/>
                <w:bCs/>
                <w:sz w:val="20"/>
                <w:highlight w:val="none"/>
              </w:rPr>
              <w:t>日</w:t>
            </w:r>
            <w:r>
              <w:rPr>
                <w:rFonts w:hint="eastAsia" w:ascii="宋体" w:hAnsi="宋体" w:cs="宋体"/>
                <w:bCs/>
                <w:sz w:val="20"/>
                <w:highlight w:val="none"/>
                <w:u w:val="single"/>
              </w:rPr>
              <w:t xml:space="preserve"> </w:t>
            </w:r>
            <w:r>
              <w:rPr>
                <w:rFonts w:hint="eastAsia" w:ascii="宋体" w:hAnsi="宋体" w:cs="宋体"/>
                <w:bCs/>
                <w:sz w:val="20"/>
                <w:highlight w:val="none"/>
                <w:u w:val="single"/>
                <w:lang w:val="en-US" w:eastAsia="zh-CN"/>
              </w:rPr>
              <w:t>15</w:t>
            </w:r>
            <w:r>
              <w:rPr>
                <w:rFonts w:hint="eastAsia" w:ascii="宋体" w:hAnsi="宋体" w:cs="宋体"/>
                <w:bCs/>
                <w:sz w:val="20"/>
                <w:highlight w:val="none"/>
              </w:rPr>
              <w:t>时</w:t>
            </w:r>
            <w:r>
              <w:rPr>
                <w:rFonts w:hint="eastAsia" w:ascii="宋体" w:hAnsi="宋体" w:cs="宋体"/>
                <w:bCs/>
                <w:sz w:val="20"/>
                <w:highlight w:val="none"/>
                <w:u w:val="single"/>
              </w:rPr>
              <w:t xml:space="preserve"> 00 </w:t>
            </w:r>
            <w:r>
              <w:rPr>
                <w:rFonts w:hint="eastAsia" w:ascii="宋体" w:hAnsi="宋体" w:cs="宋体"/>
                <w:bCs/>
                <w:sz w:val="20"/>
                <w:highlight w:val="none"/>
              </w:rPr>
              <w:t>分前不得开封。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64" w:type="dxa"/>
            <w:vAlign w:val="center"/>
          </w:tcPr>
          <w:p>
            <w:pPr>
              <w:spacing w:line="400" w:lineRule="exact"/>
              <w:jc w:val="center"/>
              <w:rPr>
                <w:rFonts w:ascii="宋体" w:hAnsi="宋体" w:cs="宋体"/>
                <w:sz w:val="20"/>
              </w:rPr>
            </w:pPr>
            <w:r>
              <w:rPr>
                <w:rFonts w:hint="eastAsia" w:ascii="宋体" w:hAnsi="宋体" w:cs="宋体"/>
                <w:sz w:val="20"/>
              </w:rPr>
              <w:t>5.1</w:t>
            </w:r>
          </w:p>
        </w:tc>
        <w:tc>
          <w:tcPr>
            <w:tcW w:w="1985" w:type="dxa"/>
            <w:gridSpan w:val="2"/>
            <w:vAlign w:val="center"/>
          </w:tcPr>
          <w:p>
            <w:pPr>
              <w:pStyle w:val="8"/>
              <w:adjustRightInd w:val="0"/>
              <w:snapToGrid w:val="0"/>
              <w:spacing w:line="400" w:lineRule="exact"/>
              <w:jc w:val="center"/>
              <w:rPr>
                <w:rFonts w:hAnsi="宋体" w:cs="宋体"/>
              </w:rPr>
            </w:pPr>
            <w:r>
              <w:rPr>
                <w:rFonts w:hint="eastAsia" w:hAnsi="宋体" w:cs="宋体"/>
              </w:rPr>
              <w:t>递交比选申请文件地点</w:t>
            </w:r>
          </w:p>
        </w:tc>
        <w:tc>
          <w:tcPr>
            <w:tcW w:w="5652" w:type="dxa"/>
            <w:vAlign w:val="center"/>
          </w:tcPr>
          <w:p>
            <w:pPr>
              <w:pStyle w:val="8"/>
              <w:adjustRightInd w:val="0"/>
              <w:snapToGrid w:val="0"/>
              <w:spacing w:line="400" w:lineRule="exact"/>
              <w:rPr>
                <w:rFonts w:hAnsi="宋体" w:cs="宋体"/>
                <w:bCs/>
              </w:rPr>
            </w:pPr>
            <w:r>
              <w:rPr>
                <w:rFonts w:hint="eastAsia" w:hAnsi="宋体" w:cs="宋体"/>
              </w:rPr>
              <w:t>同比选公告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5.2</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开标时间</w:t>
            </w:r>
          </w:p>
          <w:p>
            <w:pPr>
              <w:spacing w:line="400" w:lineRule="exact"/>
              <w:jc w:val="center"/>
              <w:rPr>
                <w:rFonts w:ascii="宋体" w:hAnsi="宋体" w:cs="宋体"/>
                <w:sz w:val="20"/>
              </w:rPr>
            </w:pPr>
            <w:r>
              <w:rPr>
                <w:rFonts w:hint="eastAsia" w:ascii="宋体" w:hAnsi="宋体" w:cs="宋体"/>
                <w:sz w:val="20"/>
              </w:rPr>
              <w:t>及地点</w:t>
            </w:r>
          </w:p>
        </w:tc>
        <w:tc>
          <w:tcPr>
            <w:tcW w:w="5652" w:type="dxa"/>
            <w:tcBorders>
              <w:top w:val="single" w:color="auto" w:sz="4" w:space="0"/>
              <w:left w:val="single" w:color="auto" w:sz="4" w:space="0"/>
              <w:bottom w:val="single" w:color="auto" w:sz="4" w:space="0"/>
              <w:right w:val="single" w:color="auto" w:sz="8" w:space="0"/>
            </w:tcBorders>
            <w:vAlign w:val="center"/>
          </w:tcPr>
          <w:p>
            <w:pPr>
              <w:spacing w:line="400" w:lineRule="exact"/>
              <w:rPr>
                <w:rFonts w:ascii="宋体" w:hAnsi="宋体" w:cs="宋体"/>
                <w:sz w:val="20"/>
                <w:highlight w:val="none"/>
              </w:rPr>
            </w:pPr>
            <w:r>
              <w:rPr>
                <w:rFonts w:hint="eastAsia" w:ascii="宋体" w:hAnsi="宋体" w:cs="宋体"/>
                <w:sz w:val="20"/>
                <w:highlight w:val="none"/>
              </w:rPr>
              <w:t>开标时间:  202</w:t>
            </w:r>
            <w:r>
              <w:rPr>
                <w:rFonts w:hint="eastAsia" w:ascii="宋体" w:hAnsi="宋体" w:cs="宋体"/>
                <w:sz w:val="20"/>
                <w:highlight w:val="none"/>
                <w:lang w:val="en-US" w:eastAsia="zh-CN"/>
              </w:rPr>
              <w:t>3</w:t>
            </w:r>
            <w:r>
              <w:rPr>
                <w:rFonts w:hint="eastAsia" w:ascii="宋体" w:hAnsi="宋体" w:cs="宋体"/>
                <w:sz w:val="20"/>
                <w:highlight w:val="none"/>
              </w:rPr>
              <w:t>年</w:t>
            </w:r>
            <w:r>
              <w:rPr>
                <w:rFonts w:hint="eastAsia" w:ascii="宋体" w:hAnsi="宋体" w:cs="宋体"/>
                <w:sz w:val="20"/>
                <w:highlight w:val="none"/>
                <w:lang w:val="en-US" w:eastAsia="zh-CN"/>
              </w:rPr>
              <w:t>12</w:t>
            </w:r>
            <w:r>
              <w:rPr>
                <w:rFonts w:hint="eastAsia" w:ascii="宋体" w:hAnsi="宋体" w:cs="宋体"/>
                <w:sz w:val="20"/>
                <w:highlight w:val="none"/>
              </w:rPr>
              <w:t>月</w:t>
            </w:r>
            <w:r>
              <w:rPr>
                <w:rFonts w:hint="eastAsia" w:ascii="宋体" w:hAnsi="宋体" w:cs="宋体"/>
                <w:sz w:val="20"/>
                <w:highlight w:val="none"/>
                <w:lang w:val="en-US" w:eastAsia="zh-CN"/>
              </w:rPr>
              <w:t>18</w:t>
            </w:r>
            <w:r>
              <w:rPr>
                <w:rFonts w:hint="eastAsia" w:ascii="宋体" w:hAnsi="宋体" w:cs="宋体"/>
                <w:sz w:val="20"/>
                <w:highlight w:val="none"/>
              </w:rPr>
              <w:t>日1</w:t>
            </w:r>
            <w:r>
              <w:rPr>
                <w:rFonts w:hint="eastAsia" w:ascii="宋体" w:hAnsi="宋体" w:cs="宋体"/>
                <w:sz w:val="20"/>
                <w:highlight w:val="none"/>
                <w:lang w:val="en-US" w:eastAsia="zh-CN"/>
              </w:rPr>
              <w:t>5</w:t>
            </w:r>
            <w:r>
              <w:rPr>
                <w:rFonts w:hint="eastAsia" w:ascii="宋体" w:hAnsi="宋体" w:cs="宋体"/>
                <w:sz w:val="20"/>
                <w:highlight w:val="none"/>
              </w:rPr>
              <w:t>：00时</w:t>
            </w:r>
          </w:p>
          <w:p>
            <w:pPr>
              <w:spacing w:line="400" w:lineRule="exact"/>
              <w:jc w:val="left"/>
              <w:rPr>
                <w:rFonts w:ascii="宋体" w:hAnsi="宋体" w:cs="宋体"/>
                <w:sz w:val="20"/>
                <w:highlight w:val="none"/>
              </w:rPr>
            </w:pPr>
            <w:r>
              <w:rPr>
                <w:rFonts w:hint="eastAsia" w:ascii="宋体" w:hAnsi="宋体" w:cs="宋体"/>
                <w:sz w:val="20"/>
                <w:highlight w:val="none"/>
              </w:rPr>
              <w:t>开标地点: 成都市青羊区光华北五路266号青羊总部经济基地2号楼A座15楼会议室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5.3</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00" w:lineRule="exact"/>
              <w:jc w:val="center"/>
              <w:rPr>
                <w:rFonts w:hAnsi="宋体" w:cs="宋体"/>
              </w:rPr>
            </w:pPr>
            <w:r>
              <w:rPr>
                <w:rFonts w:hint="eastAsia" w:hAnsi="宋体" w:cs="宋体"/>
              </w:rPr>
              <w:t>是否退还比选申请文件</w:t>
            </w:r>
          </w:p>
        </w:tc>
        <w:tc>
          <w:tcPr>
            <w:tcW w:w="5652" w:type="dxa"/>
            <w:tcBorders>
              <w:top w:val="single" w:color="auto" w:sz="4" w:space="0"/>
              <w:left w:val="single" w:color="auto" w:sz="4" w:space="0"/>
              <w:bottom w:val="single" w:color="auto" w:sz="4" w:space="0"/>
              <w:right w:val="single" w:color="auto" w:sz="8" w:space="0"/>
            </w:tcBorders>
            <w:vAlign w:val="center"/>
          </w:tcPr>
          <w:p>
            <w:pPr>
              <w:pStyle w:val="8"/>
              <w:adjustRightInd w:val="0"/>
              <w:snapToGrid w:val="0"/>
              <w:spacing w:line="400" w:lineRule="exact"/>
              <w:rPr>
                <w:rFonts w:hAnsi="宋体" w:cs="宋体"/>
              </w:rPr>
            </w:pPr>
            <w:r>
              <w:rPr>
                <w:rFonts w:hint="eastAsia" w:hAnsi="宋体" w:cs="宋体"/>
              </w:rPr>
              <w:t>送交的比选申请文件少于3个（不含3个）将不予开封，原封退还。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5.4</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00" w:lineRule="exact"/>
              <w:jc w:val="center"/>
              <w:rPr>
                <w:rFonts w:hAnsi="宋体" w:cs="宋体"/>
              </w:rPr>
            </w:pPr>
            <w:r>
              <w:rPr>
                <w:rFonts w:hint="eastAsia" w:hAnsi="宋体" w:cs="宋体"/>
              </w:rPr>
              <w:t>比选申请文件的拒收</w:t>
            </w:r>
          </w:p>
        </w:tc>
        <w:tc>
          <w:tcPr>
            <w:tcW w:w="5652"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00" w:lineRule="exact"/>
              <w:rPr>
                <w:rFonts w:ascii="宋体" w:hAnsi="宋体" w:cs="宋体"/>
                <w:b/>
                <w:sz w:val="20"/>
              </w:rPr>
            </w:pPr>
            <w:r>
              <w:rPr>
                <w:rFonts w:hint="eastAsia" w:ascii="宋体" w:hAnsi="宋体" w:cs="宋体"/>
                <w:b/>
                <w:sz w:val="20"/>
              </w:rPr>
              <w:t>比选申请文件有下列情形之一的，比选人应当拒收：</w:t>
            </w:r>
          </w:p>
          <w:p>
            <w:pPr>
              <w:adjustRightInd w:val="0"/>
              <w:snapToGrid w:val="0"/>
              <w:spacing w:line="400" w:lineRule="exact"/>
              <w:rPr>
                <w:rFonts w:ascii="宋体" w:hAnsi="宋体" w:cs="宋体"/>
                <w:b/>
                <w:sz w:val="20"/>
              </w:rPr>
            </w:pPr>
            <w:r>
              <w:rPr>
                <w:rFonts w:hint="eastAsia" w:ascii="宋体" w:hAnsi="宋体" w:cs="宋体"/>
                <w:b/>
                <w:sz w:val="20"/>
              </w:rPr>
              <w:t>（1）逾期送达或者未送达指定地点；</w:t>
            </w:r>
          </w:p>
          <w:p>
            <w:pPr>
              <w:adjustRightInd w:val="0"/>
              <w:snapToGrid w:val="0"/>
              <w:spacing w:line="400" w:lineRule="exact"/>
              <w:rPr>
                <w:rFonts w:ascii="宋体" w:hAnsi="宋体" w:cs="宋体"/>
                <w:sz w:val="20"/>
              </w:rPr>
            </w:pPr>
            <w:r>
              <w:rPr>
                <w:rFonts w:hint="eastAsia" w:ascii="宋体" w:hAnsi="宋体" w:cs="宋体"/>
                <w:b/>
                <w:sz w:val="20"/>
              </w:rPr>
              <w:t>（2）未按比选文件要求密封。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5.5</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00" w:lineRule="exact"/>
              <w:jc w:val="center"/>
              <w:rPr>
                <w:rFonts w:hAnsi="宋体" w:cs="宋体"/>
              </w:rPr>
            </w:pPr>
            <w:r>
              <w:rPr>
                <w:rFonts w:hint="eastAsia" w:hAnsi="宋体" w:cs="宋体"/>
              </w:rPr>
              <w:t>通知推迟递交比选申请文件截止时间或变更递交比选申请文件地点（如果有）</w:t>
            </w:r>
          </w:p>
        </w:tc>
        <w:tc>
          <w:tcPr>
            <w:tcW w:w="5652" w:type="dxa"/>
            <w:tcBorders>
              <w:top w:val="single" w:color="auto" w:sz="4" w:space="0"/>
              <w:left w:val="single" w:color="auto" w:sz="4" w:space="0"/>
              <w:bottom w:val="single" w:color="auto" w:sz="4" w:space="0"/>
              <w:right w:val="single" w:color="auto" w:sz="8" w:space="0"/>
            </w:tcBorders>
            <w:vAlign w:val="center"/>
          </w:tcPr>
          <w:p>
            <w:pPr>
              <w:pStyle w:val="6"/>
              <w:adjustRightInd w:val="0"/>
              <w:snapToGrid w:val="0"/>
              <w:spacing w:after="0" w:line="400" w:lineRule="exact"/>
              <w:rPr>
                <w:sz w:val="20"/>
              </w:rPr>
            </w:pPr>
            <w:r>
              <w:rPr>
                <w:rFonts w:hint="eastAsia"/>
                <w:sz w:val="20"/>
                <w:highlight w:val="none"/>
              </w:rPr>
              <w:t>202</w:t>
            </w:r>
            <w:r>
              <w:rPr>
                <w:rFonts w:hint="eastAsia"/>
                <w:sz w:val="20"/>
                <w:highlight w:val="none"/>
                <w:lang w:val="en-US" w:eastAsia="zh-CN"/>
              </w:rPr>
              <w:t>3</w:t>
            </w:r>
            <w:r>
              <w:rPr>
                <w:rFonts w:hint="eastAsia"/>
                <w:sz w:val="20"/>
                <w:highlight w:val="none"/>
              </w:rPr>
              <w:t>年</w:t>
            </w:r>
            <w:r>
              <w:rPr>
                <w:rFonts w:hint="eastAsia"/>
                <w:sz w:val="20"/>
                <w:highlight w:val="none"/>
                <w:lang w:val="en-US" w:eastAsia="zh-CN"/>
              </w:rPr>
              <w:t>12</w:t>
            </w:r>
            <w:r>
              <w:rPr>
                <w:rFonts w:hint="eastAsia"/>
                <w:sz w:val="20"/>
                <w:highlight w:val="none"/>
              </w:rPr>
              <w:t>月</w:t>
            </w:r>
            <w:r>
              <w:rPr>
                <w:rFonts w:hint="eastAsia"/>
                <w:sz w:val="20"/>
                <w:highlight w:val="none"/>
                <w:lang w:val="en-US" w:eastAsia="zh-CN"/>
              </w:rPr>
              <w:t>18</w:t>
            </w:r>
            <w:r>
              <w:rPr>
                <w:rFonts w:hint="eastAsia"/>
                <w:sz w:val="20"/>
                <w:highlight w:val="none"/>
              </w:rPr>
              <w:t>日</w:t>
            </w:r>
            <w:r>
              <w:rPr>
                <w:sz w:val="20"/>
                <w:highlight w:val="none"/>
              </w:rPr>
              <w:t>前，比选人将以书面形式</w:t>
            </w:r>
            <w:r>
              <w:rPr>
                <w:rFonts w:hint="eastAsia"/>
                <w:sz w:val="20"/>
                <w:highlight w:val="none"/>
              </w:rPr>
              <w:t>指定媒介</w:t>
            </w:r>
            <w:r>
              <w:rPr>
                <w:sz w:val="20"/>
                <w:highlight w:val="none"/>
              </w:rPr>
              <w:t>通知递交比选文件的时间和地点的变更告知各</w:t>
            </w:r>
            <w:r>
              <w:rPr>
                <w:rFonts w:hint="eastAsia"/>
                <w:sz w:val="20"/>
              </w:rPr>
              <w:t>比选申请人</w:t>
            </w:r>
            <w:r>
              <w:rPr>
                <w:sz w:val="20"/>
              </w:rPr>
              <w:t>，通知发</w:t>
            </w:r>
            <w:r>
              <w:rPr>
                <w:rFonts w:hint="eastAsia"/>
                <w:sz w:val="20"/>
              </w:rPr>
              <w:t>布</w:t>
            </w:r>
            <w:r>
              <w:rPr>
                <w:sz w:val="20"/>
              </w:rPr>
              <w:t>在</w:t>
            </w:r>
            <w:r>
              <w:rPr>
                <w:rFonts w:hint="eastAsia"/>
                <w:sz w:val="20"/>
              </w:rPr>
              <w:t>比选申请人指定媒介</w:t>
            </w:r>
            <w:r>
              <w:rPr>
                <w:sz w:val="20"/>
              </w:rPr>
              <w:t>，由</w:t>
            </w:r>
            <w:r>
              <w:rPr>
                <w:rFonts w:hint="eastAsia"/>
                <w:sz w:val="20"/>
              </w:rPr>
              <w:t>比选申请人</w:t>
            </w:r>
            <w:r>
              <w:rPr>
                <w:sz w:val="20"/>
              </w:rPr>
              <w:t>自行下载。</w:t>
            </w:r>
          </w:p>
          <w:p>
            <w:pPr>
              <w:pStyle w:val="8"/>
              <w:adjustRightInd w:val="0"/>
              <w:snapToGrid w:val="0"/>
              <w:spacing w:line="400" w:lineRule="exact"/>
              <w:rPr>
                <w:rFonts w:hAnsi="宋体" w:cs="宋体"/>
              </w:rPr>
            </w:pPr>
            <w:r>
              <w:rPr>
                <w:rFonts w:ascii="Times New Roman" w:hAnsi="Times New Roman"/>
                <w:b/>
              </w:rPr>
              <w:t>如有疑问，应及时与比选人联系；逾期未联系的，比选人视为</w:t>
            </w:r>
            <w:r>
              <w:rPr>
                <w:rFonts w:hint="eastAsia" w:ascii="Times New Roman" w:hAnsi="Times New Roman"/>
                <w:b/>
              </w:rPr>
              <w:t>比选申请人</w:t>
            </w:r>
            <w:r>
              <w:rPr>
                <w:rFonts w:ascii="Times New Roman" w:hAnsi="Times New Roman"/>
                <w:b/>
              </w:rPr>
              <w:t>没有任何疑问，或是已收到或默认已收到。否则，造成的一切后果由</w:t>
            </w:r>
            <w:r>
              <w:rPr>
                <w:rFonts w:hint="eastAsia" w:ascii="Times New Roman" w:hAnsi="Times New Roman"/>
                <w:b/>
              </w:rPr>
              <w:t>比选申请人</w:t>
            </w:r>
            <w:r>
              <w:rPr>
                <w:rFonts w:ascii="Times New Roman" w:hAnsi="Times New Roman"/>
                <w:b/>
              </w:rPr>
              <w:t>负责</w:t>
            </w:r>
            <w:r>
              <w:rPr>
                <w:rFonts w:ascii="Times New Roman" w:hAnsi="Times New Roman"/>
              </w:rPr>
              <w:t>。</w:t>
            </w:r>
            <w:r>
              <w:rPr>
                <w:rFonts w:hint="eastAsia" w:ascii="Times New Roman" w:hAnsi="Times New Roman"/>
              </w:rPr>
              <w:t>比选申请人</w:t>
            </w:r>
            <w:r>
              <w:rPr>
                <w:rFonts w:ascii="Times New Roman" w:hAnsi="Times New Roman"/>
              </w:rPr>
              <w:t>收到通知后，不再向比选人发出确认函。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5.6</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00" w:lineRule="exact"/>
              <w:jc w:val="center"/>
              <w:rPr>
                <w:rFonts w:hAnsi="宋体" w:cs="宋体"/>
              </w:rPr>
            </w:pPr>
            <w:r>
              <w:rPr>
                <w:rFonts w:hint="eastAsia" w:hAnsi="宋体" w:cs="宋体"/>
              </w:rPr>
              <w:t>比选申请文件开启时间和地点</w:t>
            </w:r>
          </w:p>
        </w:tc>
        <w:tc>
          <w:tcPr>
            <w:tcW w:w="5652" w:type="dxa"/>
            <w:tcBorders>
              <w:top w:val="single" w:color="auto" w:sz="4" w:space="0"/>
              <w:left w:val="single" w:color="auto" w:sz="4" w:space="0"/>
              <w:bottom w:val="single" w:color="auto" w:sz="4" w:space="0"/>
              <w:right w:val="single" w:color="auto" w:sz="8" w:space="0"/>
            </w:tcBorders>
            <w:vAlign w:val="center"/>
          </w:tcPr>
          <w:p>
            <w:pPr>
              <w:pStyle w:val="8"/>
              <w:adjustRightInd w:val="0"/>
              <w:snapToGrid w:val="0"/>
              <w:spacing w:line="400" w:lineRule="exact"/>
              <w:rPr>
                <w:rFonts w:hAnsi="宋体" w:cs="宋体"/>
              </w:rPr>
            </w:pPr>
            <w:r>
              <w:rPr>
                <w:rFonts w:hint="eastAsia" w:hAnsi="宋体" w:cs="宋体"/>
                <w:b/>
                <w:u w:val="single"/>
              </w:rPr>
              <w:t>同比选公告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5.7</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after="0" w:line="400" w:lineRule="exact"/>
              <w:jc w:val="center"/>
              <w:rPr>
                <w:rFonts w:ascii="宋体" w:hAnsi="宋体" w:cs="宋体"/>
                <w:sz w:val="20"/>
              </w:rPr>
            </w:pPr>
            <w:r>
              <w:rPr>
                <w:rFonts w:hint="eastAsia" w:ascii="宋体" w:hAnsi="宋体" w:cs="宋体"/>
                <w:sz w:val="20"/>
              </w:rPr>
              <w:t>开启程序</w:t>
            </w:r>
          </w:p>
        </w:tc>
        <w:tc>
          <w:tcPr>
            <w:tcW w:w="5652" w:type="dxa"/>
            <w:tcBorders>
              <w:top w:val="single" w:color="auto" w:sz="4" w:space="0"/>
              <w:left w:val="single" w:color="auto" w:sz="4" w:space="0"/>
              <w:bottom w:val="single" w:color="auto" w:sz="4" w:space="0"/>
              <w:right w:val="single" w:color="auto" w:sz="8" w:space="0"/>
            </w:tcBorders>
          </w:tcPr>
          <w:p>
            <w:pPr>
              <w:pStyle w:val="8"/>
              <w:adjustRightInd w:val="0"/>
              <w:snapToGrid w:val="0"/>
              <w:spacing w:line="400" w:lineRule="exact"/>
              <w:rPr>
                <w:rFonts w:hAnsi="宋体" w:cs="宋体"/>
              </w:rPr>
            </w:pPr>
            <w:r>
              <w:rPr>
                <w:rFonts w:hint="eastAsia" w:hAnsi="宋体" w:cs="宋体"/>
              </w:rPr>
              <w:t>（1）密封情况检查：由监督人员和比选人代表检查比选文件外包封的密封情况，并当场予以确认；当比选文件外包封未按第4.1.1、4.1.2款密封时，将当场确认，不予开封，原封退还。</w:t>
            </w:r>
          </w:p>
          <w:p>
            <w:pPr>
              <w:pStyle w:val="8"/>
              <w:adjustRightInd w:val="0"/>
              <w:snapToGrid w:val="0"/>
              <w:spacing w:line="400" w:lineRule="exact"/>
              <w:jc w:val="left"/>
              <w:rPr>
                <w:rFonts w:hAnsi="宋体" w:cs="宋体"/>
              </w:rPr>
            </w:pPr>
            <w:r>
              <w:rPr>
                <w:rFonts w:hint="eastAsia" w:hAnsi="宋体" w:cs="宋体"/>
              </w:rPr>
              <w:t>（2）开封顺序：随机。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6.1</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00" w:lineRule="exact"/>
              <w:jc w:val="center"/>
              <w:rPr>
                <w:rFonts w:hAnsi="宋体" w:cs="宋体"/>
              </w:rPr>
            </w:pPr>
            <w:r>
              <w:rPr>
                <w:rFonts w:hint="eastAsia" w:hAnsi="宋体" w:cs="宋体"/>
              </w:rPr>
              <w:t>评审委员会的组建</w:t>
            </w:r>
          </w:p>
        </w:tc>
        <w:tc>
          <w:tcPr>
            <w:tcW w:w="5652" w:type="dxa"/>
            <w:tcBorders>
              <w:top w:val="single" w:color="auto" w:sz="4" w:space="0"/>
              <w:left w:val="single" w:color="auto" w:sz="4" w:space="0"/>
              <w:bottom w:val="single" w:color="auto" w:sz="4" w:space="0"/>
              <w:right w:val="single" w:color="auto" w:sz="8" w:space="0"/>
            </w:tcBorders>
            <w:vAlign w:val="center"/>
          </w:tcPr>
          <w:p>
            <w:pPr>
              <w:pStyle w:val="8"/>
              <w:adjustRightInd w:val="0"/>
              <w:snapToGrid w:val="0"/>
              <w:spacing w:line="400" w:lineRule="exact"/>
              <w:rPr>
                <w:rFonts w:hAnsi="宋体" w:cs="宋体"/>
              </w:rPr>
            </w:pPr>
            <w:r>
              <w:rPr>
                <w:rFonts w:hint="eastAsia" w:hAnsi="宋体" w:cs="宋体"/>
              </w:rPr>
              <w:t>评审委员会由比选人依法组建，共 5 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6.2</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评审方法及标准</w:t>
            </w:r>
          </w:p>
        </w:tc>
        <w:tc>
          <w:tcPr>
            <w:tcW w:w="5652" w:type="dxa"/>
            <w:tcBorders>
              <w:top w:val="single" w:color="auto" w:sz="4" w:space="0"/>
              <w:left w:val="single" w:color="auto" w:sz="4" w:space="0"/>
              <w:bottom w:val="single" w:color="auto" w:sz="4" w:space="0"/>
              <w:right w:val="single" w:color="auto" w:sz="8" w:space="0"/>
            </w:tcBorders>
            <w:vAlign w:val="center"/>
          </w:tcPr>
          <w:p>
            <w:pPr>
              <w:spacing w:line="400" w:lineRule="exact"/>
              <w:rPr>
                <w:rFonts w:ascii="宋体" w:hAnsi="宋体" w:cs="宋体"/>
                <w:sz w:val="20"/>
              </w:rPr>
            </w:pPr>
            <w:r>
              <w:rPr>
                <w:rFonts w:hint="eastAsia" w:ascii="宋体" w:hAnsi="宋体" w:cs="宋体"/>
                <w:sz w:val="20"/>
              </w:rPr>
              <w:t>综合评审法，详见比选文件第四章。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6.3</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00" w:lineRule="exact"/>
              <w:jc w:val="center"/>
              <w:rPr>
                <w:rFonts w:hAnsi="宋体" w:cs="宋体"/>
              </w:rPr>
            </w:pPr>
            <w:r>
              <w:rPr>
                <w:rFonts w:hint="eastAsia" w:hAnsi="宋体" w:cs="宋体"/>
              </w:rPr>
              <w:t>评审方法</w:t>
            </w:r>
          </w:p>
        </w:tc>
        <w:tc>
          <w:tcPr>
            <w:tcW w:w="5652" w:type="dxa"/>
            <w:tcBorders>
              <w:top w:val="single" w:color="auto" w:sz="4" w:space="0"/>
              <w:left w:val="single" w:color="auto" w:sz="4" w:space="0"/>
              <w:bottom w:val="single" w:color="auto" w:sz="4" w:space="0"/>
              <w:right w:val="single" w:color="auto" w:sz="8" w:space="0"/>
            </w:tcBorders>
            <w:vAlign w:val="center"/>
          </w:tcPr>
          <w:p>
            <w:pPr>
              <w:pStyle w:val="8"/>
              <w:adjustRightInd w:val="0"/>
              <w:snapToGrid w:val="0"/>
              <w:spacing w:line="400" w:lineRule="exact"/>
              <w:rPr>
                <w:rFonts w:hAnsi="宋体" w:cs="宋体"/>
              </w:rPr>
            </w:pPr>
            <w:r>
              <w:rPr>
                <w:rFonts w:hint="eastAsia" w:hAnsi="宋体" w:cs="宋体"/>
              </w:rPr>
              <w:t>本次比选采用</w:t>
            </w:r>
            <w:r>
              <w:rPr>
                <w:rFonts w:hint="eastAsia" w:hAnsi="宋体" w:cs="宋体"/>
                <w:b/>
              </w:rPr>
              <w:t>资格后审，</w:t>
            </w:r>
            <w:r>
              <w:rPr>
                <w:rFonts w:hint="eastAsia" w:hAnsi="宋体" w:cs="宋体"/>
              </w:rPr>
              <w:t>评审采用综合评分法。详见第四章评审办法。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6.4</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00" w:lineRule="exact"/>
              <w:jc w:val="center"/>
              <w:rPr>
                <w:rFonts w:hAnsi="宋体" w:cs="宋体"/>
              </w:rPr>
            </w:pPr>
            <w:r>
              <w:rPr>
                <w:rFonts w:hint="eastAsia" w:hAnsi="宋体" w:cs="宋体"/>
              </w:rPr>
              <w:t>定选方式</w:t>
            </w:r>
          </w:p>
        </w:tc>
        <w:tc>
          <w:tcPr>
            <w:tcW w:w="5652"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400" w:lineRule="exact"/>
              <w:rPr>
                <w:rFonts w:ascii="宋体" w:hAnsi="宋体" w:cs="宋体"/>
                <w:sz w:val="20"/>
              </w:rPr>
            </w:pPr>
            <w:r>
              <w:rPr>
                <w:rFonts w:hint="eastAsia" w:ascii="宋体" w:hAnsi="宋体" w:cs="宋体"/>
                <w:sz w:val="20"/>
              </w:rPr>
              <w:t>（1）评审委员会推荐的中选候选人数：</w:t>
            </w:r>
            <w:r>
              <w:rPr>
                <w:rFonts w:hint="eastAsia" w:ascii="宋体" w:hAnsi="宋体" w:cs="宋体"/>
                <w:sz w:val="20"/>
                <w:lang w:val="en-US" w:eastAsia="zh-CN"/>
              </w:rPr>
              <w:t>3</w:t>
            </w:r>
            <w:r>
              <w:rPr>
                <w:rFonts w:hint="eastAsia" w:ascii="宋体" w:hAnsi="宋体" w:cs="宋体"/>
                <w:sz w:val="20"/>
              </w:rPr>
              <w:t>名（若不足3名，则按实际数量推荐）。</w:t>
            </w:r>
          </w:p>
          <w:p>
            <w:pPr>
              <w:adjustRightInd w:val="0"/>
              <w:snapToGrid w:val="0"/>
              <w:spacing w:line="400" w:lineRule="exact"/>
              <w:rPr>
                <w:rFonts w:ascii="宋体" w:hAnsi="宋体" w:cs="宋体"/>
                <w:sz w:val="20"/>
              </w:rPr>
            </w:pPr>
            <w:r>
              <w:rPr>
                <w:rFonts w:hint="eastAsia" w:ascii="宋体" w:hAnsi="宋体" w:cs="宋体"/>
                <w:sz w:val="20"/>
              </w:rPr>
              <w:t>（2）比选人不授权评审委员会确定中选人。比选人将依据评审委员会推荐的中选候选人，确定排名第一的中选候选人为中选人。</w:t>
            </w:r>
          </w:p>
          <w:p>
            <w:pPr>
              <w:pStyle w:val="8"/>
              <w:adjustRightInd w:val="0"/>
              <w:snapToGrid w:val="0"/>
              <w:spacing w:line="400" w:lineRule="exact"/>
              <w:rPr>
                <w:rFonts w:hAnsi="宋体" w:cs="宋体"/>
              </w:rPr>
            </w:pPr>
            <w:r>
              <w:rPr>
                <w:rFonts w:hint="eastAsia" w:hAnsi="宋体" w:cs="宋体"/>
              </w:rPr>
              <w:t>（3）排名第一的中选候选人放弃中选；或不能履行合同；或被查实存在影响中选结果的违法行为等情形不符合中选条件的，比选人可以按照评审委员会提出的中选候选人名单排序依次确定其他中选候选人为中选人，也可以重新比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6.5</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00" w:lineRule="exact"/>
              <w:jc w:val="center"/>
              <w:rPr>
                <w:rFonts w:hAnsi="宋体" w:cs="宋体"/>
              </w:rPr>
            </w:pPr>
            <w:r>
              <w:rPr>
                <w:rFonts w:hint="eastAsia" w:hAnsi="宋体" w:cs="宋体"/>
              </w:rPr>
              <w:t>结果公示</w:t>
            </w:r>
          </w:p>
        </w:tc>
        <w:tc>
          <w:tcPr>
            <w:tcW w:w="5652" w:type="dxa"/>
            <w:tcBorders>
              <w:top w:val="single" w:color="auto" w:sz="4" w:space="0"/>
              <w:left w:val="single" w:color="auto" w:sz="4" w:space="0"/>
              <w:bottom w:val="single" w:color="auto" w:sz="4" w:space="0"/>
              <w:right w:val="single" w:color="auto" w:sz="8" w:space="0"/>
            </w:tcBorders>
            <w:vAlign w:val="center"/>
          </w:tcPr>
          <w:p>
            <w:pPr>
              <w:pStyle w:val="4"/>
              <w:rPr>
                <w:rFonts w:hAnsi="宋体" w:cs="宋体"/>
                <w:sz w:val="20"/>
                <w:szCs w:val="20"/>
              </w:rPr>
            </w:pPr>
            <w:r>
              <w:rPr>
                <w:rFonts w:hint="eastAsia" w:ascii="宋体" w:hAnsi="宋体" w:cs="宋体"/>
                <w:b w:val="0"/>
                <w:bCs w:val="0"/>
                <w:sz w:val="20"/>
                <w:szCs w:val="20"/>
              </w:rPr>
              <w:t>比选人在收到评审报告之日起</w:t>
            </w:r>
            <w:r>
              <w:rPr>
                <w:rFonts w:hint="eastAsia" w:ascii="宋体" w:hAnsi="宋体" w:cs="宋体"/>
                <w:b w:val="0"/>
                <w:bCs w:val="0"/>
                <w:sz w:val="20"/>
                <w:szCs w:val="20"/>
                <w:lang w:val="en-US" w:eastAsia="zh-CN"/>
              </w:rPr>
              <w:t>5</w:t>
            </w:r>
            <w:r>
              <w:rPr>
                <w:rFonts w:hint="eastAsia" w:ascii="宋体" w:hAnsi="宋体" w:cs="宋体"/>
                <w:b w:val="0"/>
                <w:bCs w:val="0"/>
                <w:sz w:val="20"/>
                <w:szCs w:val="20"/>
              </w:rPr>
              <w:t>日内，将比选结果在蜀物智采平台https://scjt.tabe.cn/和四川蜀道物流集团有限公司官网https://www.shudaowl.com/公示</w:t>
            </w:r>
            <w:r>
              <w:rPr>
                <w:rFonts w:hint="eastAsia" w:ascii="宋体" w:hAnsi="宋体" w:cs="宋体"/>
                <w:b w:val="0"/>
                <w:bCs w:val="0"/>
                <w:sz w:val="20"/>
                <w:szCs w:val="20"/>
                <w:lang w:val="en-US" w:eastAsia="zh-CN"/>
              </w:rPr>
              <w:t>5</w:t>
            </w:r>
            <w:r>
              <w:rPr>
                <w:rFonts w:hint="eastAsia" w:ascii="宋体" w:hAnsi="宋体" w:cs="宋体"/>
                <w:b w:val="0"/>
                <w:bCs w:val="0"/>
                <w:sz w:val="20"/>
                <w:szCs w:val="20"/>
              </w:rPr>
              <w:t>日，以接受社会公开监督。比选申请人或者其他利害关系人对评标结果有异议的，应当在公示期间提出。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7.1</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保证金</w:t>
            </w:r>
          </w:p>
        </w:tc>
        <w:tc>
          <w:tcPr>
            <w:tcW w:w="5652" w:type="dxa"/>
            <w:tcBorders>
              <w:top w:val="single" w:color="auto" w:sz="4" w:space="0"/>
              <w:left w:val="single" w:color="auto" w:sz="4" w:space="0"/>
              <w:bottom w:val="single" w:color="auto" w:sz="4" w:space="0"/>
              <w:right w:val="single" w:color="auto" w:sz="8" w:space="0"/>
            </w:tcBorders>
            <w:vAlign w:val="center"/>
          </w:tcPr>
          <w:p>
            <w:pPr>
              <w:spacing w:line="400" w:lineRule="exact"/>
              <w:rPr>
                <w:rFonts w:ascii="宋体" w:hAnsi="宋体" w:cs="宋体"/>
                <w:sz w:val="20"/>
              </w:rPr>
            </w:pPr>
            <w:r>
              <w:rPr>
                <w:rFonts w:hint="eastAsia" w:ascii="宋体" w:hAnsi="宋体" w:cs="宋体"/>
                <w:sz w:val="20"/>
              </w:rPr>
              <w:t>本项目不收取保证金。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7.2</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00" w:lineRule="exact"/>
              <w:jc w:val="center"/>
              <w:rPr>
                <w:rFonts w:hAnsi="宋体" w:cs="宋体"/>
              </w:rPr>
            </w:pPr>
            <w:r>
              <w:rPr>
                <w:rFonts w:hint="eastAsia" w:hAnsi="宋体" w:cs="宋体"/>
              </w:rPr>
              <w:t>签订合同事项</w:t>
            </w:r>
          </w:p>
        </w:tc>
        <w:tc>
          <w:tcPr>
            <w:tcW w:w="5652" w:type="dxa"/>
            <w:tcBorders>
              <w:top w:val="single" w:color="auto" w:sz="4" w:space="0"/>
              <w:left w:val="single" w:color="auto" w:sz="4" w:space="0"/>
              <w:bottom w:val="single" w:color="auto" w:sz="4" w:space="0"/>
              <w:right w:val="single" w:color="auto" w:sz="8" w:space="0"/>
            </w:tcBorders>
          </w:tcPr>
          <w:p>
            <w:pPr>
              <w:pStyle w:val="8"/>
              <w:adjustRightInd w:val="0"/>
              <w:snapToGrid w:val="0"/>
              <w:spacing w:line="400" w:lineRule="exact"/>
              <w:rPr>
                <w:rFonts w:hAnsi="宋体" w:cs="宋体"/>
              </w:rPr>
            </w:pPr>
            <w:r>
              <w:rPr>
                <w:rFonts w:hint="eastAsia" w:hAnsi="宋体" w:cs="宋体"/>
              </w:rPr>
              <w:t>比选人和中选人在签订合同协议书的同时需按照本比选文件规定的格式和要求签订相关合同，明确双方的权利和义务以及应承担的违约责任。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64"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宋体" w:hAnsi="宋体" w:cs="宋体"/>
                <w:sz w:val="20"/>
              </w:rPr>
            </w:pPr>
            <w:r>
              <w:rPr>
                <w:rFonts w:hint="eastAsia" w:ascii="宋体" w:hAnsi="宋体" w:cs="宋体"/>
                <w:sz w:val="20"/>
              </w:rPr>
              <w:t>8.1</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pStyle w:val="8"/>
              <w:adjustRightInd w:val="0"/>
              <w:snapToGrid w:val="0"/>
              <w:spacing w:line="400" w:lineRule="exact"/>
              <w:jc w:val="center"/>
              <w:rPr>
                <w:rFonts w:hAnsi="宋体" w:cs="宋体"/>
              </w:rPr>
            </w:pPr>
            <w:r>
              <w:rPr>
                <w:rFonts w:hint="eastAsia" w:hAnsi="宋体" w:cs="宋体"/>
              </w:rPr>
              <w:t>重新比选</w:t>
            </w:r>
          </w:p>
        </w:tc>
        <w:tc>
          <w:tcPr>
            <w:tcW w:w="5652" w:type="dxa"/>
            <w:tcBorders>
              <w:top w:val="single" w:color="auto" w:sz="4" w:space="0"/>
              <w:left w:val="single" w:color="auto" w:sz="4" w:space="0"/>
              <w:bottom w:val="single" w:color="auto" w:sz="4" w:space="0"/>
              <w:right w:val="single" w:color="auto" w:sz="8" w:space="0"/>
            </w:tcBorders>
          </w:tcPr>
          <w:p>
            <w:pPr>
              <w:pStyle w:val="8"/>
              <w:adjustRightInd w:val="0"/>
              <w:snapToGrid w:val="0"/>
              <w:spacing w:line="400" w:lineRule="exact"/>
              <w:jc w:val="left"/>
              <w:rPr>
                <w:rFonts w:hAnsi="宋体" w:cs="宋体"/>
                <w:b/>
              </w:rPr>
            </w:pPr>
            <w:r>
              <w:rPr>
                <w:rFonts w:hint="eastAsia" w:hAnsi="宋体" w:cs="宋体"/>
                <w:b/>
              </w:rPr>
              <w:t>有下列情形之一的，比选人可重新比选：</w:t>
            </w:r>
          </w:p>
          <w:p>
            <w:pPr>
              <w:pStyle w:val="8"/>
              <w:adjustRightInd w:val="0"/>
              <w:snapToGrid w:val="0"/>
              <w:spacing w:line="400" w:lineRule="exact"/>
              <w:jc w:val="left"/>
              <w:rPr>
                <w:rFonts w:hAnsi="宋体" w:cs="宋体"/>
              </w:rPr>
            </w:pPr>
            <w:r>
              <w:rPr>
                <w:rFonts w:hint="eastAsia" w:hAnsi="宋体" w:cs="宋体"/>
              </w:rPr>
              <w:t>（1）比选截止时间止，递交比选申请文件的比选申请人少于三个的；</w:t>
            </w:r>
          </w:p>
          <w:p>
            <w:pPr>
              <w:pStyle w:val="8"/>
              <w:adjustRightInd w:val="0"/>
              <w:snapToGrid w:val="0"/>
              <w:spacing w:line="400" w:lineRule="exact"/>
              <w:jc w:val="left"/>
              <w:rPr>
                <w:rFonts w:hAnsi="宋体" w:cs="宋体"/>
              </w:rPr>
            </w:pPr>
            <w:r>
              <w:rPr>
                <w:rFonts w:hint="eastAsia" w:hAnsi="宋体" w:cs="宋体"/>
              </w:rPr>
              <w:t>（2）经评审委员会评审后否决所有比选申请人的；</w:t>
            </w:r>
          </w:p>
          <w:p>
            <w:pPr>
              <w:pStyle w:val="8"/>
              <w:adjustRightInd w:val="0"/>
              <w:snapToGrid w:val="0"/>
              <w:spacing w:line="400" w:lineRule="exact"/>
              <w:jc w:val="left"/>
              <w:rPr>
                <w:rFonts w:hAnsi="宋体" w:cs="宋体"/>
              </w:rPr>
            </w:pPr>
            <w:r>
              <w:rPr>
                <w:rFonts w:hint="eastAsia" w:hAnsi="宋体" w:cs="宋体"/>
              </w:rPr>
              <w:t>（3）评审委员会推荐的中选候选人均未能与比选人签订合同协议书的；</w:t>
            </w:r>
          </w:p>
          <w:p>
            <w:pPr>
              <w:pStyle w:val="8"/>
              <w:adjustRightInd w:val="0"/>
              <w:snapToGrid w:val="0"/>
              <w:spacing w:line="400" w:lineRule="exact"/>
              <w:rPr>
                <w:rFonts w:hAnsi="宋体" w:cs="宋体"/>
              </w:rPr>
            </w:pPr>
            <w:r>
              <w:rPr>
                <w:rFonts w:hint="eastAsia" w:hAnsi="宋体" w:cs="宋体"/>
              </w:rPr>
              <w:t>（4）法律规定的其他情形。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501" w:type="dxa"/>
            <w:gridSpan w:val="4"/>
            <w:tcBorders>
              <w:top w:val="single" w:color="auto" w:sz="4" w:space="0"/>
              <w:left w:val="single" w:color="auto" w:sz="8" w:space="0"/>
              <w:bottom w:val="single" w:color="auto" w:sz="4" w:space="0"/>
              <w:right w:val="single" w:color="auto" w:sz="8" w:space="0"/>
            </w:tcBorders>
            <w:vAlign w:val="center"/>
          </w:tcPr>
          <w:p>
            <w:pPr>
              <w:tabs>
                <w:tab w:val="left" w:pos="1170"/>
              </w:tabs>
              <w:adjustRightInd w:val="0"/>
              <w:snapToGrid w:val="0"/>
              <w:spacing w:line="400" w:lineRule="exact"/>
              <w:jc w:val="left"/>
              <w:rPr>
                <w:rFonts w:ascii="宋体" w:hAnsi="宋体" w:cs="宋体"/>
                <w:sz w:val="20"/>
              </w:rPr>
            </w:pPr>
            <w:r>
              <w:rPr>
                <w:rFonts w:hint="eastAsia" w:ascii="宋体" w:hAnsi="宋体" w:cs="宋体"/>
                <w:sz w:val="20"/>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rFonts w:ascii="宋体" w:hAnsi="宋体" w:cs="宋体"/>
                <w:sz w:val="20"/>
              </w:rPr>
            </w:pPr>
            <w:r>
              <w:rPr>
                <w:rFonts w:hint="eastAsia" w:ascii="宋体" w:hAnsi="宋体" w:cs="宋体"/>
                <w:sz w:val="20"/>
              </w:rPr>
              <w:t>9.1</w:t>
            </w:r>
          </w:p>
          <w:p>
            <w:pPr>
              <w:pStyle w:val="8"/>
              <w:adjustRightInd w:val="0"/>
              <w:snapToGrid w:val="0"/>
              <w:spacing w:line="360" w:lineRule="exact"/>
              <w:jc w:val="center"/>
              <w:rPr>
                <w:rFonts w:hAnsi="宋体" w:cs="宋体"/>
              </w:rPr>
            </w:pPr>
            <w:r>
              <w:rPr>
                <w:rFonts w:hint="eastAsia" w:hAnsi="宋体" w:cs="宋体"/>
              </w:rPr>
              <w:t>比选人的通讯要求</w:t>
            </w:r>
          </w:p>
        </w:tc>
        <w:tc>
          <w:tcPr>
            <w:tcW w:w="6445" w:type="dxa"/>
            <w:gridSpan w:val="2"/>
            <w:tcBorders>
              <w:top w:val="single" w:color="auto" w:sz="4" w:space="0"/>
              <w:left w:val="single" w:color="auto" w:sz="4" w:space="0"/>
              <w:bottom w:val="single" w:color="auto" w:sz="4" w:space="0"/>
              <w:right w:val="single" w:color="auto" w:sz="8" w:space="0"/>
            </w:tcBorders>
            <w:vAlign w:val="center"/>
          </w:tcPr>
          <w:p>
            <w:pPr>
              <w:pStyle w:val="8"/>
              <w:adjustRightInd w:val="0"/>
              <w:snapToGrid w:val="0"/>
              <w:spacing w:line="360" w:lineRule="exact"/>
              <w:rPr>
                <w:rFonts w:hAnsi="宋体" w:cs="宋体"/>
              </w:rPr>
            </w:pPr>
            <w:r>
              <w:rPr>
                <w:rFonts w:hint="eastAsia" w:hAnsi="宋体" w:cs="宋体"/>
              </w:rPr>
              <w:t>（1）比选申请人应按比选文件要求自行参加开标会，自行从比选人指定网站查阅和下载比选补遗书及有关通知，不能下载的应及时与比选人联系，否则后果自行承担。比选申请人收到补遗书后，不再向比选人发出确认函。</w:t>
            </w:r>
          </w:p>
          <w:p>
            <w:pPr>
              <w:pStyle w:val="8"/>
              <w:adjustRightInd w:val="0"/>
              <w:snapToGrid w:val="0"/>
              <w:spacing w:line="360" w:lineRule="exact"/>
              <w:rPr>
                <w:rFonts w:hAnsi="宋体" w:cs="宋体"/>
              </w:rPr>
            </w:pPr>
            <w:r>
              <w:rPr>
                <w:rFonts w:hint="eastAsia" w:hAnsi="宋体" w:cs="宋体"/>
              </w:rPr>
              <w:t>（2）比选申请人在送交比选申请文件时登记比选申请人信息及有效的联系方式，至评审结果公示前，</w:t>
            </w:r>
            <w:r>
              <w:rPr>
                <w:rFonts w:hint="eastAsia" w:hAnsi="宋体" w:cs="宋体"/>
                <w:b/>
              </w:rPr>
              <w:t>必须保证其提供的联系方式处于有效工作状态，否则比选人不承担由此引起的一切后果。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rFonts w:ascii="宋体" w:hAnsi="宋体" w:cs="宋体"/>
                <w:sz w:val="20"/>
              </w:rPr>
            </w:pPr>
            <w:r>
              <w:rPr>
                <w:rFonts w:hint="eastAsia" w:ascii="宋体" w:hAnsi="宋体" w:cs="宋体"/>
                <w:sz w:val="20"/>
              </w:rPr>
              <w:t>9.2</w:t>
            </w:r>
          </w:p>
          <w:p>
            <w:pPr>
              <w:adjustRightInd w:val="0"/>
              <w:snapToGrid w:val="0"/>
              <w:spacing w:line="360" w:lineRule="exact"/>
              <w:jc w:val="center"/>
              <w:rPr>
                <w:rFonts w:ascii="宋体" w:hAnsi="宋体" w:cs="宋体"/>
                <w:sz w:val="20"/>
              </w:rPr>
            </w:pPr>
            <w:r>
              <w:rPr>
                <w:rFonts w:hint="eastAsia" w:ascii="宋体" w:hAnsi="宋体" w:cs="宋体"/>
                <w:sz w:val="20"/>
              </w:rPr>
              <w:t>异议</w:t>
            </w:r>
          </w:p>
        </w:tc>
        <w:tc>
          <w:tcPr>
            <w:tcW w:w="6445"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exact"/>
              <w:rPr>
                <w:rFonts w:ascii="宋体" w:hAnsi="宋体" w:cs="宋体"/>
                <w:sz w:val="20"/>
              </w:rPr>
            </w:pPr>
            <w:r>
              <w:rPr>
                <w:rFonts w:hint="eastAsia" w:ascii="宋体" w:hAnsi="宋体" w:cs="宋体"/>
                <w:sz w:val="20"/>
              </w:rPr>
              <w:t>比选申请人或利害关系人对比选文件、评选、评审结果有异议的，应当依法先向比选人提出。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rFonts w:ascii="宋体" w:hAnsi="宋体" w:cs="宋体"/>
                <w:sz w:val="20"/>
              </w:rPr>
            </w:pPr>
            <w:r>
              <w:rPr>
                <w:rFonts w:hint="eastAsia" w:ascii="宋体" w:hAnsi="宋体" w:cs="宋体"/>
                <w:sz w:val="20"/>
              </w:rPr>
              <w:t>9.3</w:t>
            </w:r>
          </w:p>
          <w:p>
            <w:pPr>
              <w:pStyle w:val="8"/>
              <w:adjustRightInd w:val="0"/>
              <w:snapToGrid w:val="0"/>
              <w:spacing w:line="360" w:lineRule="exact"/>
              <w:jc w:val="center"/>
              <w:rPr>
                <w:rFonts w:hAnsi="宋体" w:cs="宋体"/>
              </w:rPr>
            </w:pPr>
            <w:r>
              <w:rPr>
                <w:rFonts w:hint="eastAsia" w:hAnsi="宋体" w:cs="宋体"/>
              </w:rPr>
              <w:t>公示及投诉处理制度</w:t>
            </w:r>
          </w:p>
        </w:tc>
        <w:tc>
          <w:tcPr>
            <w:tcW w:w="6445"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exact"/>
              <w:rPr>
                <w:rFonts w:ascii="宋体" w:hAnsi="宋体" w:cs="宋体"/>
                <w:sz w:val="20"/>
              </w:rPr>
            </w:pPr>
            <w:r>
              <w:rPr>
                <w:rFonts w:hint="eastAsia" w:ascii="宋体" w:hAnsi="宋体" w:cs="宋体"/>
                <w:sz w:val="20"/>
              </w:rPr>
              <w:t>投诉处理：比选人、比选人上级主管部门按照《四川省国资委及出资企业中介机构选聘管理试行办法》（川国资委办[2019]9号）相关规定处理。超出投诉或举报时效的，则不予受理。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rFonts w:ascii="宋体" w:hAnsi="宋体" w:cs="宋体"/>
                <w:sz w:val="20"/>
              </w:rPr>
            </w:pPr>
            <w:r>
              <w:rPr>
                <w:rFonts w:hint="eastAsia" w:ascii="宋体" w:hAnsi="宋体" w:cs="宋体"/>
                <w:sz w:val="20"/>
              </w:rPr>
              <w:t>9.4比选报价</w:t>
            </w:r>
          </w:p>
        </w:tc>
        <w:tc>
          <w:tcPr>
            <w:tcW w:w="6445"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exact"/>
              <w:rPr>
                <w:rFonts w:ascii="宋体" w:hAnsi="宋体" w:cs="宋体"/>
                <w:sz w:val="20"/>
              </w:rPr>
            </w:pPr>
            <w:r>
              <w:rPr>
                <w:rFonts w:hint="eastAsia" w:ascii="宋体" w:hAnsi="宋体" w:cs="宋体"/>
                <w:sz w:val="20"/>
              </w:rPr>
              <w:t>1.比选申请人的比选报价，为完成本业务外包业务的包干总价，</w:t>
            </w:r>
            <w:r>
              <w:rPr>
                <w:rFonts w:hint="eastAsia" w:ascii="宋体" w:hAnsi="宋体" w:cs="宋体"/>
                <w:b/>
                <w:sz w:val="20"/>
              </w:rPr>
              <w:t>包括</w:t>
            </w:r>
            <w:r>
              <w:rPr>
                <w:rFonts w:hint="eastAsia" w:ascii="宋体" w:hAnsi="宋体" w:cs="宋体"/>
                <w:sz w:val="20"/>
              </w:rPr>
              <w:t>上述业务外包内容及与此有关的一切费用，包括但不限于人员薪酬待遇、各类补贴、社保和公积金单位缴纳部分、培训教育费、工会费、福利费用、残疾人保障金、工伤（亡）风险金、因病或非因工员工的医疗期补偿、因病或非因工员工离职的医疗补助费、经济补偿风险金等一切费用。外包服务人员产生的劳动争议、工伤工亡、经济补偿等用工风险的法律和经济责任均与天津蜀物智链科技</w:t>
            </w:r>
            <w:r>
              <w:rPr>
                <w:rFonts w:hint="eastAsia" w:cs="宋体"/>
                <w:sz w:val="20"/>
              </w:rPr>
              <w:t>有限公司</w:t>
            </w:r>
            <w:r>
              <w:rPr>
                <w:rFonts w:hint="eastAsia" w:ascii="宋体" w:hAnsi="宋体" w:cs="宋体"/>
                <w:sz w:val="20"/>
              </w:rPr>
              <w:t>无关。</w:t>
            </w:r>
          </w:p>
          <w:p>
            <w:pPr>
              <w:pStyle w:val="8"/>
              <w:adjustRightInd w:val="0"/>
              <w:snapToGrid w:val="0"/>
              <w:spacing w:line="360" w:lineRule="exact"/>
              <w:rPr>
                <w:rFonts w:hAnsi="宋体" w:cs="宋体"/>
              </w:rPr>
            </w:pPr>
            <w:r>
              <w:rPr>
                <w:rFonts w:hint="eastAsia" w:hAnsi="宋体" w:cs="宋体"/>
              </w:rPr>
              <w:t>2.</w:t>
            </w:r>
            <w:r>
              <w:rPr>
                <w:rFonts w:hint="eastAsia" w:hAnsi="宋体" w:cs="宋体"/>
                <w:b/>
                <w:bCs/>
              </w:rPr>
              <w:t>最高比选限价是指</w:t>
            </w:r>
            <w:r>
              <w:rPr>
                <w:rFonts w:hint="eastAsia" w:hAnsi="宋体" w:cs="宋体"/>
              </w:rPr>
              <w:t>比选人根据本项目的比选控制价上限。</w:t>
            </w:r>
          </w:p>
          <w:p>
            <w:pPr>
              <w:pStyle w:val="16"/>
              <w:spacing w:before="0" w:beforeAutospacing="0" w:after="0" w:line="560" w:lineRule="exact"/>
              <w:ind w:firstLine="640"/>
              <w:rPr>
                <w:rFonts w:cs="宋体"/>
                <w:sz w:val="20"/>
              </w:rPr>
            </w:pPr>
            <w:r>
              <w:rPr>
                <w:rFonts w:hint="eastAsia" w:cs="宋体"/>
                <w:b/>
                <w:bCs/>
                <w:sz w:val="20"/>
              </w:rPr>
              <w:t>本项目的最高比</w:t>
            </w:r>
            <w:r>
              <w:rPr>
                <w:rFonts w:hint="eastAsia" w:cs="宋体"/>
                <w:b/>
                <w:bCs/>
                <w:sz w:val="20"/>
                <w:highlight w:val="none"/>
              </w:rPr>
              <w:t>选限价为</w:t>
            </w:r>
            <w:r>
              <w:rPr>
                <w:rFonts w:hint="eastAsia" w:cs="宋体"/>
                <w:b/>
                <w:bCs/>
                <w:sz w:val="20"/>
                <w:highlight w:val="none"/>
                <w:lang w:val="en-US" w:eastAsia="zh-CN"/>
              </w:rPr>
              <w:t>22</w:t>
            </w:r>
            <w:r>
              <w:rPr>
                <w:rFonts w:hint="eastAsia" w:cs="宋体"/>
                <w:b/>
                <w:bCs/>
                <w:sz w:val="20"/>
                <w:highlight w:val="none"/>
              </w:rPr>
              <w:t>万元（大写：</w:t>
            </w:r>
            <w:r>
              <w:rPr>
                <w:rFonts w:hint="eastAsia" w:cs="宋体"/>
                <w:b/>
                <w:bCs/>
                <w:sz w:val="20"/>
                <w:highlight w:val="none"/>
                <w:lang w:val="en-US" w:eastAsia="zh-CN"/>
              </w:rPr>
              <w:t>贰拾贰</w:t>
            </w:r>
            <w:r>
              <w:rPr>
                <w:rFonts w:hint="eastAsia" w:cs="宋体"/>
                <w:b/>
                <w:bCs/>
                <w:color w:val="333333"/>
                <w:sz w:val="20"/>
                <w:highlight w:val="none"/>
                <w:shd w:val="clear" w:color="auto" w:fill="FFFFFF"/>
              </w:rPr>
              <w:t>万元整</w:t>
            </w:r>
            <w:r>
              <w:rPr>
                <w:rFonts w:hint="eastAsia" w:cs="宋体"/>
                <w:b/>
                <w:bCs/>
                <w:sz w:val="20"/>
                <w:highlight w:val="none"/>
              </w:rPr>
              <w:t>），</w:t>
            </w:r>
            <w:r>
              <w:rPr>
                <w:rFonts w:hint="eastAsia" w:cs="宋体"/>
                <w:b/>
                <w:bCs/>
                <w:sz w:val="20"/>
              </w:rPr>
              <w:t>包含软件</w:t>
            </w:r>
            <w:r>
              <w:rPr>
                <w:rFonts w:hint="eastAsia" w:cs="宋体"/>
                <w:b/>
                <w:bCs/>
                <w:sz w:val="20"/>
                <w:lang w:eastAsia="zh-Hans"/>
              </w:rPr>
              <w:t>私有化</w:t>
            </w:r>
            <w:r>
              <w:rPr>
                <w:rFonts w:hint="eastAsia" w:cs="宋体"/>
                <w:b/>
                <w:bCs/>
                <w:sz w:val="20"/>
              </w:rPr>
              <w:t>部署、接口开发和对接、部分二次开发等费用。 比选报价超过</w:t>
            </w:r>
            <w:r>
              <w:rPr>
                <w:rFonts w:hint="eastAsia" w:cs="宋体"/>
                <w:b/>
                <w:spacing w:val="-4"/>
                <w:sz w:val="20"/>
              </w:rPr>
              <w:t>最高比选限价</w:t>
            </w:r>
            <w:r>
              <w:rPr>
                <w:rFonts w:hint="eastAsia" w:cs="宋体"/>
                <w:b/>
                <w:bCs/>
                <w:sz w:val="20"/>
              </w:rPr>
              <w:t>的，其比选申请将被否决</w:t>
            </w:r>
            <w:r>
              <w:rPr>
                <w:rFonts w:hint="eastAsia" w:cs="宋体"/>
                <w:b/>
                <w:sz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exact"/>
              <w:jc w:val="center"/>
              <w:rPr>
                <w:rFonts w:ascii="宋体" w:hAnsi="宋体" w:cs="宋体"/>
                <w:sz w:val="20"/>
              </w:rPr>
            </w:pPr>
            <w:r>
              <w:rPr>
                <w:rFonts w:hint="eastAsia" w:ascii="宋体" w:hAnsi="宋体" w:cs="宋体"/>
                <w:sz w:val="20"/>
              </w:rPr>
              <w:t>9.5</w:t>
            </w:r>
          </w:p>
          <w:p>
            <w:pPr>
              <w:pStyle w:val="8"/>
              <w:adjustRightInd w:val="0"/>
              <w:snapToGrid w:val="0"/>
              <w:spacing w:line="360" w:lineRule="exact"/>
              <w:jc w:val="center"/>
              <w:rPr>
                <w:rFonts w:hAnsi="宋体" w:cs="宋体"/>
              </w:rPr>
            </w:pPr>
            <w:r>
              <w:rPr>
                <w:rFonts w:hint="eastAsia" w:hAnsi="宋体" w:cs="宋体"/>
              </w:rPr>
              <w:t>放弃中选的处理</w:t>
            </w:r>
          </w:p>
        </w:tc>
        <w:tc>
          <w:tcPr>
            <w:tcW w:w="6445" w:type="dxa"/>
            <w:gridSpan w:val="2"/>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exact"/>
              <w:rPr>
                <w:rFonts w:ascii="宋体" w:hAnsi="宋体" w:cs="宋体"/>
                <w:kern w:val="0"/>
                <w:sz w:val="20"/>
              </w:rPr>
            </w:pPr>
            <w:r>
              <w:rPr>
                <w:rFonts w:hint="eastAsia" w:ascii="宋体" w:hAnsi="宋体" w:cs="宋体"/>
                <w:sz w:val="20"/>
              </w:rPr>
              <w:t>（1）</w:t>
            </w:r>
            <w:r>
              <w:rPr>
                <w:rFonts w:hint="eastAsia" w:ascii="宋体" w:hAnsi="宋体" w:cs="宋体"/>
                <w:kern w:val="0"/>
                <w:sz w:val="20"/>
              </w:rPr>
              <w:t>比选截止时间后比选申请人不得撤销比选文件。</w:t>
            </w:r>
          </w:p>
          <w:p>
            <w:pPr>
              <w:adjustRightInd w:val="0"/>
              <w:snapToGrid w:val="0"/>
              <w:spacing w:line="360" w:lineRule="exact"/>
              <w:rPr>
                <w:rFonts w:ascii="宋体" w:hAnsi="宋体" w:cs="宋体"/>
                <w:sz w:val="20"/>
              </w:rPr>
            </w:pPr>
            <w:r>
              <w:rPr>
                <w:rFonts w:hint="eastAsia" w:ascii="宋体" w:hAnsi="宋体" w:cs="宋体"/>
                <w:sz w:val="20"/>
              </w:rPr>
              <w:t>（2）中选人在收到中选通知书后，拒签合同协议书，比选人将取消其中选资格。</w:t>
            </w:r>
          </w:p>
          <w:p>
            <w:pPr>
              <w:adjustRightInd w:val="0"/>
              <w:snapToGrid w:val="0"/>
              <w:spacing w:line="360" w:lineRule="exact"/>
              <w:rPr>
                <w:rFonts w:ascii="宋体" w:hAnsi="宋体" w:cs="宋体"/>
                <w:sz w:val="20"/>
              </w:rPr>
            </w:pPr>
            <w:r>
              <w:rPr>
                <w:rFonts w:hint="eastAsia" w:ascii="宋体" w:hAnsi="宋体" w:cs="宋体"/>
                <w:sz w:val="20"/>
              </w:rPr>
              <w:t>（3）合同协议书签订后，中选人放弃合同，</w:t>
            </w:r>
            <w:r>
              <w:rPr>
                <w:rFonts w:hint="eastAsia" w:ascii="宋体" w:hAnsi="宋体" w:cs="宋体"/>
                <w:b/>
                <w:sz w:val="20"/>
              </w:rPr>
              <w:t>比选申请人将承担相应的法律责任。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vAlign w:val="center"/>
          </w:tcPr>
          <w:p>
            <w:pPr>
              <w:pStyle w:val="8"/>
              <w:adjustRightInd w:val="0"/>
              <w:snapToGrid w:val="0"/>
              <w:spacing w:line="360" w:lineRule="exact"/>
              <w:jc w:val="center"/>
              <w:rPr>
                <w:rFonts w:hAnsi="宋体" w:cs="宋体"/>
              </w:rPr>
            </w:pPr>
            <w:r>
              <w:rPr>
                <w:rFonts w:hint="eastAsia" w:hAnsi="宋体" w:cs="宋体"/>
              </w:rPr>
              <w:t xml:space="preserve">9.6中选情况解释说明 </w:t>
            </w:r>
          </w:p>
        </w:tc>
        <w:tc>
          <w:tcPr>
            <w:tcW w:w="6445" w:type="dxa"/>
            <w:gridSpan w:val="2"/>
            <w:tcBorders>
              <w:top w:val="single" w:color="auto" w:sz="4" w:space="0"/>
              <w:left w:val="single" w:color="auto" w:sz="4" w:space="0"/>
              <w:bottom w:val="single" w:color="auto" w:sz="4" w:space="0"/>
              <w:right w:val="single" w:color="auto" w:sz="8" w:space="0"/>
            </w:tcBorders>
            <w:vAlign w:val="center"/>
          </w:tcPr>
          <w:p>
            <w:pPr>
              <w:spacing w:line="400" w:lineRule="exact"/>
              <w:rPr>
                <w:rFonts w:ascii="宋体" w:hAnsi="宋体" w:cs="宋体"/>
                <w:sz w:val="20"/>
              </w:rPr>
            </w:pPr>
            <w:r>
              <w:rPr>
                <w:rFonts w:hint="eastAsia" w:ascii="宋体" w:hAnsi="宋体" w:cs="宋体"/>
                <w:sz w:val="20"/>
              </w:rPr>
              <w:t>比选人、评审委员会不负有向未中选方解释落选原因的责任，除比选资料规定情形外。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vAlign w:val="center"/>
          </w:tcPr>
          <w:p>
            <w:pPr>
              <w:pStyle w:val="8"/>
              <w:adjustRightInd w:val="0"/>
              <w:snapToGrid w:val="0"/>
              <w:spacing w:line="360" w:lineRule="exact"/>
              <w:jc w:val="center"/>
              <w:rPr>
                <w:rFonts w:hAnsi="宋体" w:cs="宋体"/>
              </w:rPr>
            </w:pPr>
            <w:r>
              <w:rPr>
                <w:rFonts w:hint="eastAsia" w:hAnsi="宋体" w:cs="宋体"/>
              </w:rPr>
              <w:t>10.1知识产权</w:t>
            </w:r>
          </w:p>
        </w:tc>
        <w:tc>
          <w:tcPr>
            <w:tcW w:w="6445" w:type="dxa"/>
            <w:gridSpan w:val="2"/>
            <w:tcBorders>
              <w:top w:val="single" w:color="auto" w:sz="4" w:space="0"/>
              <w:left w:val="single" w:color="auto" w:sz="4" w:space="0"/>
              <w:bottom w:val="single" w:color="auto" w:sz="4" w:space="0"/>
              <w:right w:val="single" w:color="auto" w:sz="8" w:space="0"/>
            </w:tcBorders>
            <w:vAlign w:val="center"/>
          </w:tcPr>
          <w:p>
            <w:pPr>
              <w:spacing w:line="400" w:lineRule="exact"/>
              <w:rPr>
                <w:rFonts w:ascii="宋体" w:hAnsi="宋体" w:cs="宋体"/>
                <w:sz w:val="20"/>
              </w:rPr>
            </w:pPr>
            <w:r>
              <w:rPr>
                <w:rFonts w:hint="eastAsia" w:ascii="宋体" w:hAnsi="宋体" w:cs="宋体"/>
                <w:sz w:val="20"/>
              </w:rPr>
              <w:t>构成本比选文件各个组成部分的文件，未经比选人书面同意，比选申请人不得擅自复印和用于非本招标项目所需的其他目的。除比选文件有明确约定外，比选人全部或者部分使用未中选人比选文件中的</w:t>
            </w:r>
            <w:r>
              <w:rPr>
                <w:rFonts w:hint="eastAsia" w:ascii="宋体" w:hAnsi="宋体" w:cs="宋体"/>
                <w:sz w:val="20"/>
                <w:lang w:eastAsia="zh-Hans"/>
              </w:rPr>
              <w:t>服务</w:t>
            </w:r>
            <w:r>
              <w:rPr>
                <w:rFonts w:hint="eastAsia" w:ascii="宋体" w:hAnsi="宋体" w:cs="宋体"/>
                <w:sz w:val="20"/>
              </w:rPr>
              <w:t>成果或</w:t>
            </w:r>
            <w:r>
              <w:rPr>
                <w:rFonts w:hint="eastAsia" w:ascii="宋体" w:hAnsi="宋体" w:cs="宋体"/>
                <w:sz w:val="20"/>
                <w:lang w:eastAsia="zh-Hans"/>
              </w:rPr>
              <w:t>服务</w:t>
            </w:r>
            <w:r>
              <w:rPr>
                <w:rFonts w:hint="eastAsia" w:ascii="宋体" w:hAnsi="宋体" w:cs="宋体"/>
                <w:sz w:val="20"/>
              </w:rPr>
              <w:t>方案时，需征得其书面同意，并不得擅自复印或提供给第三人。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603" w:hRule="atLeast"/>
          <w:jc w:val="center"/>
        </w:trPr>
        <w:tc>
          <w:tcPr>
            <w:tcW w:w="2056" w:type="dxa"/>
            <w:gridSpan w:val="2"/>
            <w:tcBorders>
              <w:top w:val="single" w:color="auto" w:sz="4" w:space="0"/>
              <w:left w:val="single" w:color="auto" w:sz="8" w:space="0"/>
              <w:bottom w:val="single" w:color="auto" w:sz="4" w:space="0"/>
              <w:right w:val="single" w:color="auto" w:sz="4" w:space="0"/>
            </w:tcBorders>
            <w:vAlign w:val="center"/>
          </w:tcPr>
          <w:p>
            <w:pPr>
              <w:pStyle w:val="8"/>
              <w:adjustRightInd w:val="0"/>
              <w:snapToGrid w:val="0"/>
              <w:spacing w:line="360" w:lineRule="exact"/>
              <w:jc w:val="center"/>
              <w:rPr>
                <w:rFonts w:hAnsi="宋体" w:cs="宋体"/>
              </w:rPr>
            </w:pPr>
            <w:r>
              <w:rPr>
                <w:rFonts w:hint="eastAsia" w:hAnsi="宋体" w:cs="宋体"/>
              </w:rPr>
              <w:t>11.1监督部门</w:t>
            </w:r>
          </w:p>
        </w:tc>
        <w:tc>
          <w:tcPr>
            <w:tcW w:w="6445" w:type="dxa"/>
            <w:gridSpan w:val="2"/>
            <w:tcBorders>
              <w:top w:val="single" w:color="auto" w:sz="4" w:space="0"/>
              <w:left w:val="single" w:color="auto" w:sz="4" w:space="0"/>
              <w:bottom w:val="single" w:color="auto" w:sz="4" w:space="0"/>
              <w:right w:val="single" w:color="auto" w:sz="8" w:space="0"/>
            </w:tcBorders>
            <w:vAlign w:val="center"/>
          </w:tcPr>
          <w:p>
            <w:pPr>
              <w:spacing w:line="400" w:lineRule="exact"/>
              <w:jc w:val="left"/>
              <w:rPr>
                <w:rFonts w:ascii="宋体" w:hAnsi="宋体" w:cs="宋体"/>
                <w:sz w:val="20"/>
              </w:rPr>
            </w:pPr>
            <w:r>
              <w:rPr>
                <w:rFonts w:hint="eastAsia" w:ascii="宋体" w:hAnsi="宋体" w:cs="宋体"/>
                <w:sz w:val="20"/>
              </w:rPr>
              <w:t>纪检监督部门：天津蜀物智链科技有限公司纪检办公室。</w:t>
            </w:r>
          </w:p>
          <w:p>
            <w:pPr>
              <w:pStyle w:val="16"/>
              <w:widowControl w:val="0"/>
              <w:spacing w:before="0" w:beforeAutospacing="0" w:after="0" w:line="560" w:lineRule="exact"/>
              <w:rPr>
                <w:rFonts w:cs="宋体"/>
                <w:sz w:val="20"/>
              </w:rPr>
            </w:pPr>
            <w:r>
              <w:rPr>
                <w:rFonts w:hint="eastAsia" w:cs="宋体"/>
                <w:sz w:val="20"/>
              </w:rPr>
              <w:t>地址：</w:t>
            </w:r>
            <w:r>
              <w:rPr>
                <w:rFonts w:cs="宋体"/>
                <w:bCs/>
                <w:sz w:val="20"/>
              </w:rPr>
              <w:t>四川省成都市青羊区光华北五路266号青羊总部经济基地2号楼A座8楼</w:t>
            </w:r>
          </w:p>
        </w:tc>
      </w:tr>
    </w:tbl>
    <w:p>
      <w:pPr>
        <w:autoSpaceDE w:val="0"/>
        <w:autoSpaceDN w:val="0"/>
        <w:jc w:val="left"/>
        <w:rPr>
          <w:rFonts w:ascii="宋体" w:hAnsi="宋体"/>
          <w:b/>
          <w:kern w:val="0"/>
          <w:sz w:val="24"/>
          <w:szCs w:val="18"/>
        </w:rPr>
      </w:pPr>
      <w:r>
        <w:rPr>
          <w:rFonts w:hint="eastAsia" w:ascii="宋体" w:hAnsi="宋体"/>
          <w:b/>
          <w:kern w:val="0"/>
          <w:sz w:val="24"/>
          <w:szCs w:val="18"/>
        </w:rPr>
        <w:t xml:space="preserve">  </w:t>
      </w:r>
    </w:p>
    <w:p>
      <w:pPr>
        <w:spacing w:line="380" w:lineRule="exact"/>
        <w:jc w:val="center"/>
        <w:rPr>
          <w:b/>
          <w:bCs/>
          <w:kern w:val="0"/>
          <w:sz w:val="24"/>
          <w:szCs w:val="18"/>
        </w:rPr>
      </w:pPr>
    </w:p>
    <w:p>
      <w:pPr>
        <w:spacing w:line="380" w:lineRule="exact"/>
        <w:jc w:val="center"/>
        <w:rPr>
          <w:b/>
          <w:bCs/>
          <w:kern w:val="0"/>
          <w:sz w:val="24"/>
          <w:szCs w:val="18"/>
        </w:rPr>
      </w:pPr>
      <w:r>
        <w:rPr>
          <w:b/>
          <w:bCs/>
          <w:kern w:val="0"/>
          <w:sz w:val="24"/>
          <w:szCs w:val="18"/>
        </w:rPr>
        <w:t>附录1 资格审查条件（资质最低条件要求）</w:t>
      </w:r>
    </w:p>
    <w:tbl>
      <w:tblPr>
        <w:tblStyle w:val="18"/>
        <w:tblW w:w="0" w:type="auto"/>
        <w:jc w:val="center"/>
        <w:tblLayout w:type="fixed"/>
        <w:tblCellMar>
          <w:top w:w="0" w:type="dxa"/>
          <w:left w:w="0" w:type="dxa"/>
          <w:bottom w:w="0" w:type="dxa"/>
          <w:right w:w="0" w:type="dxa"/>
        </w:tblCellMar>
      </w:tblPr>
      <w:tblGrid>
        <w:gridCol w:w="7660"/>
      </w:tblGrid>
      <w:tr>
        <w:tblPrEx>
          <w:tblCellMar>
            <w:top w:w="0" w:type="dxa"/>
            <w:left w:w="0" w:type="dxa"/>
            <w:bottom w:w="0" w:type="dxa"/>
            <w:right w:w="0" w:type="dxa"/>
          </w:tblCellMar>
        </w:tblPrEx>
        <w:trPr>
          <w:trHeight w:val="228" w:hRule="atLeast"/>
          <w:jc w:val="center"/>
        </w:trPr>
        <w:tc>
          <w:tcPr>
            <w:tcW w:w="766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360" w:lineRule="auto"/>
              <w:jc w:val="center"/>
              <w:rPr>
                <w:b/>
                <w:sz w:val="20"/>
              </w:rPr>
            </w:pPr>
            <w:r>
              <w:rPr>
                <w:b/>
                <w:sz w:val="20"/>
              </w:rPr>
              <w:t>企业资质</w:t>
            </w:r>
          </w:p>
        </w:tc>
      </w:tr>
      <w:tr>
        <w:tblPrEx>
          <w:tblCellMar>
            <w:top w:w="0" w:type="dxa"/>
            <w:left w:w="0" w:type="dxa"/>
            <w:bottom w:w="0" w:type="dxa"/>
            <w:right w:w="0" w:type="dxa"/>
          </w:tblCellMar>
        </w:tblPrEx>
        <w:trPr>
          <w:trHeight w:val="1769" w:hRule="atLeast"/>
          <w:jc w:val="center"/>
        </w:trPr>
        <w:tc>
          <w:tcPr>
            <w:tcW w:w="7660" w:type="dxa"/>
            <w:tcBorders>
              <w:top w:val="single" w:color="000000" w:sz="4" w:space="0"/>
              <w:left w:val="single" w:color="000000" w:sz="4" w:space="0"/>
              <w:bottom w:val="single" w:color="auto" w:sz="4" w:space="0"/>
              <w:right w:val="single" w:color="000000" w:sz="4" w:space="0"/>
            </w:tcBorders>
            <w:tcMar>
              <w:top w:w="0" w:type="dxa"/>
              <w:left w:w="80" w:type="dxa"/>
              <w:bottom w:w="0" w:type="dxa"/>
              <w:right w:w="0" w:type="dxa"/>
            </w:tcMar>
            <w:vAlign w:val="center"/>
          </w:tcPr>
          <w:p>
            <w:pPr>
              <w:numPr>
                <w:ilvl w:val="0"/>
                <w:numId w:val="6"/>
              </w:numPr>
              <w:spacing w:line="540" w:lineRule="exact"/>
              <w:rPr>
                <w:sz w:val="20"/>
                <w:szCs w:val="18"/>
              </w:rPr>
            </w:pPr>
            <w:r>
              <w:rPr>
                <w:rFonts w:hint="eastAsia"/>
                <w:sz w:val="20"/>
                <w:szCs w:val="18"/>
              </w:rPr>
              <w:t>具有独立法人资格，具有有效</w:t>
            </w:r>
            <w:r>
              <w:rPr>
                <w:sz w:val="20"/>
                <w:szCs w:val="18"/>
              </w:rPr>
              <w:t>营业执照或事业单位法人证书，</w:t>
            </w:r>
            <w:r>
              <w:rPr>
                <w:rFonts w:hint="eastAsia"/>
                <w:sz w:val="20"/>
                <w:szCs w:val="18"/>
              </w:rPr>
              <w:t>营业执照副本在有效期内；</w:t>
            </w:r>
          </w:p>
          <w:p>
            <w:pPr>
              <w:numPr>
                <w:ilvl w:val="0"/>
                <w:numId w:val="6"/>
              </w:numPr>
              <w:spacing w:line="540" w:lineRule="exact"/>
              <w:rPr>
                <w:sz w:val="20"/>
                <w:szCs w:val="18"/>
              </w:rPr>
            </w:pPr>
            <w:r>
              <w:rPr>
                <w:sz w:val="20"/>
                <w:szCs w:val="18"/>
              </w:rPr>
              <w:t>企业营业范围载有</w:t>
            </w:r>
            <w:r>
              <w:rPr>
                <w:rFonts w:hint="eastAsia"/>
                <w:sz w:val="20"/>
                <w:szCs w:val="18"/>
              </w:rPr>
              <w:t>企业相关业务服务资质，包括但不仅限于技术服务、软件开发、电子产品研发等</w:t>
            </w:r>
            <w:r>
              <w:rPr>
                <w:rFonts w:hint="eastAsia"/>
                <w:sz w:val="20"/>
                <w:szCs w:val="18"/>
                <w:lang w:eastAsia="zh-CN"/>
              </w:rPr>
              <w:t>。</w:t>
            </w:r>
          </w:p>
        </w:tc>
      </w:tr>
    </w:tbl>
    <w:p>
      <w:pPr>
        <w:pStyle w:val="6"/>
        <w:rPr>
          <w:b/>
          <w:bCs/>
          <w:spacing w:val="-20"/>
          <w:kern w:val="0"/>
          <w:sz w:val="24"/>
          <w:szCs w:val="18"/>
        </w:rPr>
      </w:pPr>
    </w:p>
    <w:p>
      <w:pPr>
        <w:spacing w:line="276" w:lineRule="auto"/>
        <w:jc w:val="center"/>
        <w:rPr>
          <w:b/>
          <w:bCs/>
          <w:spacing w:val="-20"/>
          <w:kern w:val="0"/>
          <w:sz w:val="24"/>
          <w:szCs w:val="18"/>
        </w:rPr>
      </w:pPr>
      <w:r>
        <w:rPr>
          <w:b/>
          <w:bCs/>
          <w:spacing w:val="-20"/>
          <w:kern w:val="0"/>
          <w:sz w:val="24"/>
          <w:szCs w:val="18"/>
        </w:rPr>
        <w:t>附录2 资格审查条件（业绩最低条件要求）</w:t>
      </w:r>
    </w:p>
    <w:tbl>
      <w:tblPr>
        <w:tblStyle w:val="18"/>
        <w:tblW w:w="0" w:type="auto"/>
        <w:jc w:val="center"/>
        <w:tblLayout w:type="fixed"/>
        <w:tblCellMar>
          <w:top w:w="0" w:type="dxa"/>
          <w:left w:w="0" w:type="dxa"/>
          <w:bottom w:w="0" w:type="dxa"/>
          <w:right w:w="0" w:type="dxa"/>
        </w:tblCellMar>
      </w:tblPr>
      <w:tblGrid>
        <w:gridCol w:w="7534"/>
      </w:tblGrid>
      <w:tr>
        <w:trPr>
          <w:trHeight w:val="470" w:hRule="atLeast"/>
          <w:jc w:val="center"/>
        </w:trPr>
        <w:tc>
          <w:tcPr>
            <w:tcW w:w="7534"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360" w:lineRule="auto"/>
              <w:jc w:val="center"/>
              <w:rPr>
                <w:b/>
                <w:sz w:val="20"/>
              </w:rPr>
            </w:pPr>
            <w:r>
              <w:rPr>
                <w:b/>
                <w:sz w:val="20"/>
              </w:rPr>
              <w:t>业绩最低要求</w:t>
            </w:r>
          </w:p>
        </w:tc>
      </w:tr>
      <w:tr>
        <w:tblPrEx>
          <w:tblCellMar>
            <w:top w:w="0" w:type="dxa"/>
            <w:left w:w="0" w:type="dxa"/>
            <w:bottom w:w="0" w:type="dxa"/>
            <w:right w:w="0" w:type="dxa"/>
          </w:tblCellMar>
        </w:tblPrEx>
        <w:trPr>
          <w:trHeight w:val="1327" w:hRule="atLeast"/>
          <w:jc w:val="center"/>
        </w:trPr>
        <w:tc>
          <w:tcPr>
            <w:tcW w:w="7534"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adjustRightInd w:val="0"/>
              <w:snapToGrid w:val="0"/>
              <w:spacing w:line="360" w:lineRule="auto"/>
              <w:rPr>
                <w:sz w:val="20"/>
              </w:rPr>
            </w:pPr>
          </w:p>
          <w:p>
            <w:pPr>
              <w:adjustRightInd w:val="0"/>
              <w:snapToGrid w:val="0"/>
              <w:spacing w:line="360" w:lineRule="auto"/>
              <w:rPr>
                <w:sz w:val="20"/>
                <w:szCs w:val="18"/>
              </w:rPr>
            </w:pPr>
            <w:r>
              <w:rPr>
                <w:rFonts w:hint="eastAsia"/>
                <w:sz w:val="20"/>
              </w:rPr>
              <w:t>20</w:t>
            </w:r>
            <w:r>
              <w:rPr>
                <w:rFonts w:hint="eastAsia"/>
                <w:sz w:val="20"/>
                <w:lang w:val="en-US" w:eastAsia="zh-CN"/>
              </w:rPr>
              <w:t>20</w:t>
            </w:r>
            <w:r>
              <w:rPr>
                <w:rFonts w:hint="eastAsia"/>
                <w:sz w:val="20"/>
              </w:rPr>
              <w:t>年1月</w:t>
            </w:r>
            <w:r>
              <w:rPr>
                <w:sz w:val="20"/>
              </w:rPr>
              <w:t>1</w:t>
            </w:r>
            <w:r>
              <w:rPr>
                <w:rFonts w:hint="eastAsia"/>
                <w:sz w:val="20"/>
              </w:rPr>
              <w:t>日</w:t>
            </w:r>
            <w:r>
              <w:rPr>
                <w:sz w:val="20"/>
              </w:rPr>
              <w:t>以来（以合同签订时间为准），比选人至少已完成1个及以上</w:t>
            </w:r>
            <w:r>
              <w:rPr>
                <w:rFonts w:hint="eastAsia"/>
                <w:sz w:val="20"/>
              </w:rPr>
              <w:t>业务外包服务项目工作</w:t>
            </w:r>
            <w:r>
              <w:rPr>
                <w:sz w:val="20"/>
              </w:rPr>
              <w:t>业绩</w:t>
            </w:r>
            <w:r>
              <w:rPr>
                <w:rFonts w:hint="eastAsia"/>
                <w:sz w:val="20"/>
              </w:rPr>
              <w:t>，需提供至少一个业绩合同。</w:t>
            </w:r>
          </w:p>
        </w:tc>
      </w:tr>
    </w:tbl>
    <w:p>
      <w:pPr>
        <w:spacing w:line="320" w:lineRule="atLeast"/>
        <w:rPr>
          <w:b/>
          <w:bCs/>
          <w:kern w:val="0"/>
          <w:sz w:val="24"/>
          <w:szCs w:val="18"/>
        </w:rPr>
      </w:pPr>
    </w:p>
    <w:p>
      <w:pPr>
        <w:pStyle w:val="6"/>
        <w:rPr>
          <w:b/>
          <w:bCs/>
          <w:kern w:val="0"/>
          <w:sz w:val="24"/>
          <w:szCs w:val="18"/>
        </w:rPr>
      </w:pPr>
    </w:p>
    <w:p>
      <w:pPr>
        <w:spacing w:line="320" w:lineRule="atLeast"/>
        <w:jc w:val="center"/>
        <w:rPr>
          <w:b/>
          <w:bCs/>
          <w:kern w:val="0"/>
          <w:sz w:val="24"/>
          <w:szCs w:val="18"/>
        </w:rPr>
      </w:pPr>
      <w:r>
        <w:rPr>
          <w:b/>
          <w:bCs/>
          <w:kern w:val="0"/>
          <w:sz w:val="24"/>
          <w:szCs w:val="18"/>
        </w:rPr>
        <w:t>附录3 资格审查条件（信誉最低条件要求）</w:t>
      </w:r>
    </w:p>
    <w:tbl>
      <w:tblPr>
        <w:tblStyle w:val="18"/>
        <w:tblW w:w="0" w:type="auto"/>
        <w:jc w:val="center"/>
        <w:tblLayout w:type="fixed"/>
        <w:tblCellMar>
          <w:top w:w="0" w:type="dxa"/>
          <w:left w:w="0" w:type="dxa"/>
          <w:bottom w:w="0" w:type="dxa"/>
          <w:right w:w="0" w:type="dxa"/>
        </w:tblCellMar>
      </w:tblPr>
      <w:tblGrid>
        <w:gridCol w:w="7508"/>
      </w:tblGrid>
      <w:tr>
        <w:trPr>
          <w:trHeight w:val="470" w:hRule="atLeast"/>
          <w:jc w:val="center"/>
        </w:trPr>
        <w:tc>
          <w:tcPr>
            <w:tcW w:w="750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pacing w:line="360" w:lineRule="auto"/>
              <w:jc w:val="center"/>
              <w:rPr>
                <w:b/>
                <w:sz w:val="20"/>
              </w:rPr>
            </w:pPr>
            <w:r>
              <w:rPr>
                <w:b/>
                <w:sz w:val="20"/>
              </w:rPr>
              <w:t>信誉最低要求</w:t>
            </w:r>
          </w:p>
        </w:tc>
      </w:tr>
      <w:tr>
        <w:trPr>
          <w:trHeight w:val="1327" w:hRule="atLeast"/>
          <w:jc w:val="center"/>
        </w:trPr>
        <w:tc>
          <w:tcPr>
            <w:tcW w:w="7508"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snapToGrid w:val="0"/>
              <w:spacing w:line="540" w:lineRule="exact"/>
              <w:rPr>
                <w:sz w:val="20"/>
              </w:rPr>
            </w:pPr>
            <w:r>
              <w:rPr>
                <w:rFonts w:hint="eastAsia"/>
                <w:sz w:val="20"/>
              </w:rPr>
              <w:t>（</w:t>
            </w:r>
            <w:r>
              <w:rPr>
                <w:sz w:val="20"/>
              </w:rPr>
              <w:t>1</w:t>
            </w:r>
            <w:r>
              <w:rPr>
                <w:rFonts w:hint="eastAsia"/>
                <w:sz w:val="20"/>
              </w:rPr>
              <w:t>）比选申请人具有良好信誉，在国家企业信用信息公示系统（</w:t>
            </w:r>
            <w:r>
              <w:rPr>
                <w:sz w:val="20"/>
              </w:rPr>
              <w:t>http//www.gsxt.gov.cn</w:t>
            </w:r>
            <w:r>
              <w:rPr>
                <w:rFonts w:hint="eastAsia"/>
                <w:sz w:val="20"/>
              </w:rPr>
              <w:t>）中未被列入严重违法失信企业名单。</w:t>
            </w:r>
          </w:p>
          <w:p>
            <w:pPr>
              <w:snapToGrid w:val="0"/>
              <w:spacing w:line="540" w:lineRule="exact"/>
              <w:rPr>
                <w:sz w:val="20"/>
              </w:rPr>
            </w:pPr>
            <w:r>
              <w:rPr>
                <w:rFonts w:hint="eastAsia"/>
                <w:sz w:val="20"/>
              </w:rPr>
              <w:t>（</w:t>
            </w:r>
            <w:r>
              <w:rPr>
                <w:sz w:val="20"/>
              </w:rPr>
              <w:t>2</w:t>
            </w:r>
            <w:r>
              <w:rPr>
                <w:rFonts w:hint="eastAsia"/>
                <w:sz w:val="20"/>
              </w:rPr>
              <w:t>）在“信用中国”网站（</w:t>
            </w:r>
            <w:r>
              <w:rPr>
                <w:sz w:val="20"/>
              </w:rPr>
              <w:t>http</w:t>
            </w:r>
            <w:r>
              <w:rPr>
                <w:rFonts w:hint="eastAsia"/>
                <w:sz w:val="20"/>
              </w:rPr>
              <w:t>：</w:t>
            </w:r>
            <w:r>
              <w:rPr>
                <w:sz w:val="20"/>
              </w:rPr>
              <w:t>//www.creditchina.gov.cn/</w:t>
            </w:r>
            <w:r>
              <w:rPr>
                <w:rFonts w:hint="eastAsia"/>
                <w:sz w:val="20"/>
              </w:rPr>
              <w:t>）、中国执行信息公开网（</w:t>
            </w:r>
            <w:r>
              <w:rPr>
                <w:sz w:val="20"/>
              </w:rPr>
              <w:t>http://zxgk.court.gov.cn/shixin/</w:t>
            </w:r>
            <w:r>
              <w:rPr>
                <w:rFonts w:hint="eastAsia"/>
                <w:sz w:val="20"/>
              </w:rPr>
              <w:t>）中未被列入失信被执行人名单。</w:t>
            </w:r>
          </w:p>
          <w:p>
            <w:pPr>
              <w:snapToGrid w:val="0"/>
              <w:spacing w:line="540" w:lineRule="exact"/>
              <w:rPr>
                <w:sz w:val="20"/>
              </w:rPr>
            </w:pPr>
          </w:p>
        </w:tc>
      </w:tr>
    </w:tbl>
    <w:p>
      <w:pPr>
        <w:pStyle w:val="3"/>
        <w:keepNext w:val="0"/>
        <w:keepLines w:val="0"/>
        <w:spacing w:line="240" w:lineRule="auto"/>
        <w:jc w:val="center"/>
        <w:rPr>
          <w:rFonts w:ascii="宋体" w:hAnsi="宋体" w:cs="宋体"/>
          <w:sz w:val="28"/>
          <w:szCs w:val="28"/>
        </w:rPr>
      </w:pPr>
      <w:bookmarkStart w:id="2" w:name="_Toc459026492"/>
      <w:bookmarkStart w:id="3" w:name="_Toc18842"/>
      <w:bookmarkStart w:id="4" w:name="_Toc6806"/>
      <w:bookmarkStart w:id="5" w:name="_Toc485041390"/>
      <w:bookmarkStart w:id="6" w:name="_Toc459026530"/>
      <w:bookmarkStart w:id="7" w:name="_Toc458683925"/>
      <w:r>
        <w:rPr>
          <w:rFonts w:hint="eastAsia" w:ascii="宋体" w:hAnsi="宋体" w:cs="宋体"/>
          <w:sz w:val="28"/>
          <w:szCs w:val="28"/>
        </w:rPr>
        <w:br w:type="page"/>
      </w:r>
      <w:r>
        <w:rPr>
          <w:rFonts w:hint="eastAsia" w:ascii="宋体" w:hAnsi="宋体" w:cs="宋体"/>
          <w:sz w:val="28"/>
          <w:szCs w:val="28"/>
        </w:rPr>
        <w:t>第三章  比选项目要求</w:t>
      </w:r>
    </w:p>
    <w:bookmarkEnd w:id="2"/>
    <w:bookmarkEnd w:id="3"/>
    <w:bookmarkEnd w:id="4"/>
    <w:bookmarkEnd w:id="5"/>
    <w:bookmarkEnd w:id="6"/>
    <w:bookmarkEnd w:id="7"/>
    <w:p>
      <w:pPr>
        <w:tabs>
          <w:tab w:val="left" w:pos="0"/>
          <w:tab w:val="left" w:pos="3255"/>
        </w:tabs>
        <w:autoSpaceDE w:val="0"/>
        <w:autoSpaceDN w:val="0"/>
        <w:spacing w:line="560" w:lineRule="exact"/>
        <w:ind w:firstLine="402" w:firstLineChars="200"/>
        <w:jc w:val="left"/>
        <w:rPr>
          <w:rFonts w:ascii="宋体" w:hAnsi="宋体" w:cs="宋体"/>
          <w:b/>
          <w:kern w:val="0"/>
          <w:sz w:val="20"/>
          <w:lang w:val="zh-CN"/>
        </w:rPr>
      </w:pPr>
      <w:bookmarkStart w:id="8" w:name="_Toc408836438"/>
      <w:r>
        <w:rPr>
          <w:rFonts w:hint="eastAsia" w:ascii="宋体" w:hAnsi="宋体" w:cs="宋体"/>
          <w:b/>
          <w:kern w:val="0"/>
          <w:sz w:val="20"/>
          <w:lang w:val="zh-CN"/>
        </w:rPr>
        <w:t>1</w:t>
      </w:r>
      <w:r>
        <w:rPr>
          <w:rFonts w:hint="eastAsia" w:ascii="宋体" w:hAnsi="宋体" w:cs="宋体"/>
          <w:b/>
          <w:kern w:val="0"/>
          <w:sz w:val="20"/>
        </w:rPr>
        <w:t>.</w:t>
      </w:r>
      <w:r>
        <w:rPr>
          <w:rFonts w:hint="eastAsia" w:ascii="宋体" w:hAnsi="宋体" w:cs="宋体"/>
          <w:b/>
          <w:kern w:val="0"/>
          <w:sz w:val="20"/>
          <w:lang w:val="zh-CN"/>
        </w:rPr>
        <w:t>项目概述</w:t>
      </w:r>
      <w:bookmarkEnd w:id="8"/>
    </w:p>
    <w:p>
      <w:pPr>
        <w:autoSpaceDE w:val="0"/>
        <w:autoSpaceDN w:val="0"/>
        <w:adjustRightInd w:val="0"/>
        <w:spacing w:line="560" w:lineRule="exact"/>
        <w:ind w:firstLine="400" w:firstLineChars="200"/>
        <w:rPr>
          <w:rFonts w:ascii="宋体" w:hAnsi="宋体" w:cs="宋体"/>
          <w:sz w:val="20"/>
          <w:highlight w:val="yellow"/>
        </w:rPr>
      </w:pPr>
      <w:bookmarkStart w:id="9" w:name="_Toc408836439"/>
      <w:r>
        <w:rPr>
          <w:rFonts w:hint="eastAsia" w:ascii="宋体" w:hAnsi="宋体" w:cs="宋体"/>
          <w:sz w:val="20"/>
        </w:rPr>
        <w:t>为确保更好的开展</w:t>
      </w:r>
      <w:r>
        <w:rPr>
          <w:rFonts w:hint="eastAsia" w:ascii="宋体" w:hAnsi="宋体" w:cs="宋体"/>
          <w:sz w:val="20"/>
          <w:lang w:val="en-US" w:eastAsia="zh-CN"/>
        </w:rPr>
        <w:t>供应链极其相关</w:t>
      </w:r>
      <w:r>
        <w:rPr>
          <w:rFonts w:hint="eastAsia" w:ascii="宋体" w:hAnsi="宋体" w:cs="宋体"/>
          <w:sz w:val="20"/>
        </w:rPr>
        <w:t>管理工作，本着利用专业化分工优势，有效支撑业务拓展，公司对</w:t>
      </w:r>
      <w:r>
        <w:rPr>
          <w:rFonts w:hint="eastAsia" w:ascii="宋体" w:hAnsi="宋体" w:cs="宋体"/>
          <w:sz w:val="20"/>
          <w:lang w:val="en-US" w:eastAsia="zh-CN"/>
        </w:rPr>
        <w:t>产业e贷项目</w:t>
      </w:r>
      <w:r>
        <w:rPr>
          <w:rFonts w:hint="eastAsia" w:ascii="宋体" w:hAnsi="宋体" w:cs="宋体"/>
          <w:sz w:val="20"/>
        </w:rPr>
        <w:t>研发业务采用业务</w:t>
      </w:r>
      <w:r>
        <w:rPr>
          <w:rFonts w:hint="eastAsia" w:ascii="宋体" w:hAnsi="宋体" w:cs="宋体"/>
          <w:sz w:val="20"/>
          <w:highlight w:val="none"/>
        </w:rPr>
        <w:t>外包，实际的业务服务以签订的专项服务合同为准。</w:t>
      </w:r>
    </w:p>
    <w:p>
      <w:pPr>
        <w:tabs>
          <w:tab w:val="left" w:pos="0"/>
          <w:tab w:val="left" w:pos="3255"/>
        </w:tabs>
        <w:autoSpaceDE w:val="0"/>
        <w:autoSpaceDN w:val="0"/>
        <w:spacing w:line="560" w:lineRule="exact"/>
        <w:ind w:firstLine="402" w:firstLineChars="200"/>
        <w:jc w:val="left"/>
        <w:rPr>
          <w:rFonts w:ascii="宋体" w:hAnsi="宋体" w:cs="宋体"/>
          <w:b/>
          <w:kern w:val="0"/>
          <w:sz w:val="20"/>
          <w:lang w:val="zh-CN"/>
        </w:rPr>
      </w:pPr>
      <w:r>
        <w:rPr>
          <w:rFonts w:hint="eastAsia" w:ascii="宋体" w:hAnsi="宋体" w:cs="宋体"/>
          <w:b/>
          <w:kern w:val="0"/>
          <w:sz w:val="20"/>
          <w:lang w:val="zh-CN"/>
        </w:rPr>
        <w:t>2</w:t>
      </w:r>
      <w:bookmarkEnd w:id="9"/>
      <w:r>
        <w:rPr>
          <w:rFonts w:hint="eastAsia" w:ascii="宋体" w:hAnsi="宋体" w:cs="宋体"/>
          <w:b/>
          <w:kern w:val="0"/>
          <w:sz w:val="20"/>
        </w:rPr>
        <w:t>.比选主体</w:t>
      </w:r>
    </w:p>
    <w:p>
      <w:pPr>
        <w:spacing w:line="400" w:lineRule="exact"/>
        <w:rPr>
          <w:rFonts w:ascii="宋体" w:hAnsi="宋体" w:cs="宋体"/>
          <w:kern w:val="0"/>
          <w:sz w:val="20"/>
          <w:lang w:val="zh-CN"/>
        </w:rPr>
      </w:pPr>
      <w:r>
        <w:rPr>
          <w:rFonts w:hint="eastAsia" w:ascii="宋体" w:hAnsi="宋体" w:cs="宋体"/>
          <w:kern w:val="0"/>
          <w:sz w:val="20"/>
          <w:lang w:val="zh-CN"/>
        </w:rPr>
        <w:t>“</w:t>
      </w:r>
      <w:r>
        <w:rPr>
          <w:rFonts w:hint="eastAsia"/>
          <w:bCs/>
          <w:sz w:val="20"/>
        </w:rPr>
        <w:t>天津蜀物智链科技有限公司</w:t>
      </w:r>
      <w:r>
        <w:rPr>
          <w:rFonts w:hint="eastAsia"/>
          <w:bCs/>
          <w:sz w:val="20"/>
          <w:lang w:eastAsia="zh-CN"/>
        </w:rPr>
        <w:t>产业e贷</w:t>
      </w:r>
      <w:r>
        <w:rPr>
          <w:rFonts w:hint="eastAsia"/>
          <w:bCs/>
          <w:sz w:val="20"/>
        </w:rPr>
        <w:t>需求研发业务外包服务采购项目</w:t>
      </w:r>
      <w:r>
        <w:rPr>
          <w:rFonts w:hint="eastAsia" w:ascii="宋体" w:hAnsi="宋体" w:cs="宋体"/>
          <w:kern w:val="0"/>
          <w:sz w:val="20"/>
          <w:lang w:val="zh-CN"/>
        </w:rPr>
        <w:t>”业主为</w:t>
      </w:r>
      <w:r>
        <w:rPr>
          <w:rFonts w:hint="eastAsia" w:ascii="宋体" w:hAnsi="宋体" w:cs="宋体"/>
          <w:kern w:val="0"/>
          <w:sz w:val="20"/>
        </w:rPr>
        <w:t>天津蜀物智链科技有限公司</w:t>
      </w:r>
      <w:r>
        <w:rPr>
          <w:rFonts w:hint="eastAsia" w:ascii="宋体" w:hAnsi="宋体" w:cs="宋体"/>
          <w:kern w:val="0"/>
          <w:sz w:val="20"/>
          <w:lang w:val="zh-CN"/>
        </w:rPr>
        <w:t>。</w:t>
      </w:r>
    </w:p>
    <w:p>
      <w:pPr>
        <w:autoSpaceDE w:val="0"/>
        <w:autoSpaceDN w:val="0"/>
        <w:spacing w:line="560" w:lineRule="exact"/>
        <w:ind w:firstLine="402" w:firstLineChars="200"/>
        <w:jc w:val="left"/>
        <w:rPr>
          <w:rFonts w:ascii="宋体" w:hAnsi="宋体" w:cs="宋体"/>
          <w:b/>
          <w:kern w:val="0"/>
          <w:sz w:val="20"/>
          <w:lang w:val="zh-CN"/>
        </w:rPr>
      </w:pPr>
      <w:r>
        <w:rPr>
          <w:rFonts w:hint="eastAsia" w:ascii="宋体" w:hAnsi="宋体" w:cs="宋体"/>
          <w:b/>
          <w:kern w:val="0"/>
          <w:sz w:val="20"/>
        </w:rPr>
        <w:t>3.</w:t>
      </w:r>
      <w:r>
        <w:rPr>
          <w:rFonts w:hint="eastAsia" w:ascii="宋体" w:hAnsi="宋体" w:cs="宋体"/>
          <w:b/>
          <w:kern w:val="0"/>
          <w:sz w:val="20"/>
          <w:lang w:val="zh-CN"/>
        </w:rPr>
        <w:t>项目内容</w:t>
      </w:r>
    </w:p>
    <w:p>
      <w:pPr>
        <w:spacing w:line="560" w:lineRule="exact"/>
        <w:ind w:firstLine="400" w:firstLineChars="200"/>
        <w:rPr>
          <w:rFonts w:ascii="宋体" w:hAnsi="宋体" w:cs="宋体"/>
          <w:bCs/>
          <w:kern w:val="0"/>
          <w:sz w:val="20"/>
          <w:highlight w:val="none"/>
        </w:rPr>
      </w:pPr>
      <w:r>
        <w:rPr>
          <w:rFonts w:hint="eastAsia" w:ascii="宋体" w:hAnsi="宋体" w:cs="宋体"/>
          <w:bCs/>
          <w:kern w:val="0"/>
          <w:sz w:val="20"/>
          <w:highlight w:val="none"/>
        </w:rPr>
        <w:t>根据天津蜀物智链科技有限公司工作进度安排，开展技术研发</w:t>
      </w:r>
      <w:r>
        <w:rPr>
          <w:rFonts w:hint="eastAsia" w:ascii="宋体" w:hAnsi="宋体" w:cs="宋体"/>
          <w:bCs/>
          <w:sz w:val="20"/>
          <w:highlight w:val="none"/>
        </w:rPr>
        <w:t>服务等相关工作，提</w:t>
      </w:r>
      <w:r>
        <w:rPr>
          <w:rFonts w:hint="eastAsia" w:ascii="宋体" w:hAnsi="宋体" w:cs="宋体"/>
          <w:bCs/>
          <w:kern w:val="0"/>
          <w:sz w:val="20"/>
          <w:highlight w:val="none"/>
        </w:rPr>
        <w:t>供拟外包的业务服务，包括以下业务：实现企业基本信息导入、完善组织框架、完善</w:t>
      </w:r>
      <w:r>
        <w:rPr>
          <w:rFonts w:hint="eastAsia" w:ascii="宋体" w:hAnsi="宋体" w:cs="宋体"/>
          <w:bCs/>
          <w:kern w:val="0"/>
          <w:sz w:val="20"/>
          <w:highlight w:val="none"/>
          <w:lang w:val="en-US" w:eastAsia="zh-CN"/>
        </w:rPr>
        <w:t>产业e贷项目接口</w:t>
      </w:r>
      <w:r>
        <w:rPr>
          <w:rFonts w:hint="eastAsia" w:ascii="宋体" w:hAnsi="宋体" w:cs="宋体"/>
          <w:bCs/>
          <w:kern w:val="0"/>
          <w:sz w:val="20"/>
          <w:highlight w:val="none"/>
        </w:rPr>
        <w:t>新增功能</w:t>
      </w:r>
      <w:r>
        <w:rPr>
          <w:rFonts w:hint="eastAsia" w:ascii="宋体" w:hAnsi="宋体" w:cs="宋体"/>
          <w:sz w:val="20"/>
          <w:highlight w:val="none"/>
        </w:rPr>
        <w:t>，</w:t>
      </w:r>
      <w:r>
        <w:rPr>
          <w:rFonts w:hint="eastAsia" w:ascii="宋体" w:hAnsi="宋体" w:cs="宋体"/>
          <w:bCs/>
          <w:kern w:val="0"/>
          <w:sz w:val="20"/>
          <w:highlight w:val="none"/>
        </w:rPr>
        <w:t>具体的业务服务以签订的专项服务合同为准。</w:t>
      </w:r>
    </w:p>
    <w:p>
      <w:pPr>
        <w:spacing w:line="560" w:lineRule="exact"/>
        <w:ind w:firstLine="400" w:firstLineChars="200"/>
        <w:rPr>
          <w:rFonts w:ascii="宋体" w:hAnsi="宋体" w:cs="宋体"/>
          <w:sz w:val="20"/>
        </w:rPr>
      </w:pPr>
      <w:r>
        <w:rPr>
          <w:rFonts w:hint="eastAsia" w:ascii="宋体" w:hAnsi="宋体" w:cs="宋体"/>
          <w:sz w:val="20"/>
        </w:rPr>
        <w:t>外包服务内容：负责辅助开展天津蜀物智链科技有限公司部分技术研发活动，做好</w:t>
      </w:r>
      <w:r>
        <w:rPr>
          <w:rFonts w:hint="eastAsia" w:ascii="宋体" w:hAnsi="宋体" w:cs="宋体"/>
          <w:sz w:val="20"/>
          <w:lang w:val="en-US" w:eastAsia="zh-CN"/>
        </w:rPr>
        <w:t>产业e贷项目需求</w:t>
      </w:r>
      <w:r>
        <w:rPr>
          <w:rFonts w:hint="eastAsia" w:ascii="宋体" w:hAnsi="宋体" w:cs="宋体"/>
          <w:sz w:val="20"/>
        </w:rPr>
        <w:t>的研发工作等，以比选人实际要求的服务内容为准。</w:t>
      </w:r>
    </w:p>
    <w:p>
      <w:pPr>
        <w:tabs>
          <w:tab w:val="left" w:pos="0"/>
          <w:tab w:val="left" w:pos="3255"/>
        </w:tabs>
        <w:spacing w:line="560" w:lineRule="exact"/>
        <w:ind w:firstLine="400" w:firstLineChars="200"/>
        <w:rPr>
          <w:rFonts w:ascii="宋体" w:hAnsi="宋体" w:cs="宋体"/>
          <w:bCs/>
          <w:kern w:val="0"/>
          <w:sz w:val="20"/>
        </w:rPr>
      </w:pPr>
      <w:r>
        <w:rPr>
          <w:rFonts w:hint="eastAsia" w:ascii="宋体" w:hAnsi="宋体" w:cs="宋体"/>
          <w:bCs/>
          <w:kern w:val="0"/>
          <w:sz w:val="20"/>
        </w:rPr>
        <w:t>按期保质保量完成的业务服务项目内容，出具相关合规的全额业务服务发票。</w:t>
      </w:r>
    </w:p>
    <w:p>
      <w:pPr>
        <w:tabs>
          <w:tab w:val="left" w:pos="0"/>
          <w:tab w:val="left" w:pos="3255"/>
        </w:tabs>
        <w:autoSpaceDE w:val="0"/>
        <w:autoSpaceDN w:val="0"/>
        <w:spacing w:line="560" w:lineRule="exact"/>
        <w:ind w:firstLine="400" w:firstLineChars="200"/>
        <w:jc w:val="left"/>
        <w:rPr>
          <w:rFonts w:ascii="宋体" w:hAnsi="宋体" w:cs="宋体"/>
          <w:bCs/>
          <w:kern w:val="0"/>
          <w:sz w:val="20"/>
        </w:rPr>
      </w:pPr>
      <w:r>
        <w:rPr>
          <w:rFonts w:hint="eastAsia" w:ascii="宋体" w:hAnsi="宋体" w:cs="宋体"/>
          <w:bCs/>
          <w:kern w:val="0"/>
          <w:sz w:val="20"/>
        </w:rPr>
        <w:t>业务服务项目所涉及的人员管理以及风险责任均由业务服务供应商承担。业务服务项目实施过程中包括但不仅限于人员薪酬待遇、社保和公积金单位缴纳部分、培训教育费、工会费、福利费用、残疾人保障金、工伤（亡）风险金、因病或员工非因工的医疗期补偿、因病或员工非因工离职的医疗补助费、经济补偿风险金以及业务服务人员劳动争议、工伤工亡、经济补偿等用工风险的法律和经济责任均与业主天津蜀物智链科技有限公司无关。</w:t>
      </w:r>
    </w:p>
    <w:p>
      <w:pPr>
        <w:tabs>
          <w:tab w:val="left" w:pos="0"/>
          <w:tab w:val="left" w:pos="3255"/>
        </w:tabs>
        <w:autoSpaceDE w:val="0"/>
        <w:autoSpaceDN w:val="0"/>
        <w:spacing w:line="560" w:lineRule="exact"/>
        <w:ind w:firstLine="402" w:firstLineChars="200"/>
        <w:jc w:val="left"/>
        <w:rPr>
          <w:rFonts w:ascii="宋体" w:hAnsi="宋体" w:cs="宋体"/>
          <w:b/>
          <w:kern w:val="0"/>
          <w:sz w:val="20"/>
          <w:lang w:val="zh-CN"/>
        </w:rPr>
      </w:pPr>
      <w:r>
        <w:rPr>
          <w:rFonts w:hint="eastAsia" w:ascii="宋体" w:hAnsi="宋体" w:cs="宋体"/>
          <w:b/>
          <w:kern w:val="0"/>
          <w:sz w:val="20"/>
          <w:lang w:val="zh-CN"/>
        </w:rPr>
        <w:t>3.项目实施过程要求</w:t>
      </w:r>
    </w:p>
    <w:p>
      <w:pPr>
        <w:tabs>
          <w:tab w:val="left" w:pos="0"/>
          <w:tab w:val="left" w:pos="3255"/>
        </w:tabs>
        <w:autoSpaceDE w:val="0"/>
        <w:autoSpaceDN w:val="0"/>
        <w:spacing w:line="560" w:lineRule="exact"/>
        <w:ind w:firstLine="400" w:firstLineChars="200"/>
        <w:jc w:val="left"/>
        <w:rPr>
          <w:rFonts w:ascii="宋体" w:hAnsi="宋体" w:cs="宋体"/>
          <w:bCs/>
          <w:kern w:val="0"/>
          <w:sz w:val="20"/>
        </w:rPr>
      </w:pPr>
      <w:r>
        <w:rPr>
          <w:rFonts w:hint="eastAsia" w:ascii="宋体" w:hAnsi="宋体" w:cs="宋体"/>
          <w:bCs/>
          <w:kern w:val="0"/>
          <w:sz w:val="20"/>
        </w:rPr>
        <w:t>3.1项目实施时间：在比选文件要求的时间内完成业务外包服务工作任务。</w:t>
      </w:r>
    </w:p>
    <w:p>
      <w:pPr>
        <w:tabs>
          <w:tab w:val="left" w:pos="0"/>
          <w:tab w:val="left" w:pos="3255"/>
        </w:tabs>
        <w:autoSpaceDE w:val="0"/>
        <w:autoSpaceDN w:val="0"/>
        <w:spacing w:line="560" w:lineRule="exact"/>
        <w:ind w:firstLine="400" w:firstLineChars="200"/>
        <w:jc w:val="left"/>
        <w:rPr>
          <w:rFonts w:ascii="宋体" w:hAnsi="宋体" w:cs="宋体"/>
          <w:bCs/>
          <w:kern w:val="0"/>
          <w:sz w:val="20"/>
        </w:rPr>
      </w:pPr>
      <w:r>
        <w:rPr>
          <w:rFonts w:hint="eastAsia" w:ascii="宋体" w:hAnsi="宋体" w:cs="宋体"/>
          <w:bCs/>
          <w:kern w:val="0"/>
          <w:sz w:val="20"/>
        </w:rPr>
        <w:t>3.2项目实施地点：天津蜀物智链科技有限公司指定地点。</w:t>
      </w:r>
      <w:bookmarkStart w:id="10" w:name="_Toc259023361"/>
      <w:bookmarkStart w:id="11" w:name="_Toc330567052"/>
    </w:p>
    <w:p>
      <w:pPr>
        <w:tabs>
          <w:tab w:val="left" w:pos="0"/>
          <w:tab w:val="left" w:pos="3255"/>
        </w:tabs>
        <w:autoSpaceDE w:val="0"/>
        <w:autoSpaceDN w:val="0"/>
        <w:spacing w:line="560" w:lineRule="exact"/>
        <w:ind w:firstLine="402" w:firstLineChars="200"/>
        <w:jc w:val="left"/>
        <w:rPr>
          <w:rFonts w:ascii="宋体" w:hAnsi="宋体" w:cs="宋体"/>
          <w:b/>
          <w:kern w:val="0"/>
          <w:sz w:val="20"/>
          <w:lang w:val="zh-CN"/>
        </w:rPr>
      </w:pPr>
      <w:r>
        <w:rPr>
          <w:rFonts w:hint="eastAsia" w:ascii="宋体" w:hAnsi="宋体" w:cs="宋体"/>
          <w:b/>
          <w:kern w:val="0"/>
          <w:sz w:val="20"/>
        </w:rPr>
        <w:t>4</w:t>
      </w:r>
      <w:r>
        <w:rPr>
          <w:rFonts w:hint="eastAsia" w:ascii="宋体" w:hAnsi="宋体" w:cs="宋体"/>
          <w:b/>
          <w:kern w:val="0"/>
          <w:sz w:val="20"/>
          <w:lang w:val="zh-CN"/>
        </w:rPr>
        <w:t>.服务承诺</w:t>
      </w:r>
      <w:bookmarkEnd w:id="10"/>
      <w:bookmarkEnd w:id="11"/>
    </w:p>
    <w:p>
      <w:pPr>
        <w:tabs>
          <w:tab w:val="left" w:pos="0"/>
          <w:tab w:val="left" w:pos="3255"/>
        </w:tabs>
        <w:autoSpaceDE w:val="0"/>
        <w:autoSpaceDN w:val="0"/>
        <w:spacing w:line="560" w:lineRule="exact"/>
        <w:ind w:firstLine="400" w:firstLineChars="200"/>
        <w:jc w:val="left"/>
        <w:rPr>
          <w:rFonts w:ascii="宋体" w:hAnsi="宋体" w:cs="宋体"/>
          <w:bCs/>
          <w:kern w:val="0"/>
          <w:sz w:val="20"/>
        </w:rPr>
      </w:pPr>
      <w:r>
        <w:rPr>
          <w:rFonts w:hint="eastAsia" w:ascii="宋体" w:hAnsi="宋体" w:cs="宋体"/>
          <w:bCs/>
          <w:kern w:val="0"/>
          <w:sz w:val="20"/>
        </w:rPr>
        <w:t>比选申请人的服务承诺应按不低于比选文件中提出的所有服务要求标准做出响应。其基本服务要求如下：</w:t>
      </w:r>
    </w:p>
    <w:p>
      <w:pPr>
        <w:tabs>
          <w:tab w:val="left" w:pos="0"/>
          <w:tab w:val="left" w:pos="3255"/>
        </w:tabs>
        <w:autoSpaceDE w:val="0"/>
        <w:autoSpaceDN w:val="0"/>
        <w:spacing w:line="560" w:lineRule="exact"/>
        <w:ind w:firstLine="400" w:firstLineChars="200"/>
        <w:jc w:val="left"/>
        <w:rPr>
          <w:rFonts w:ascii="宋体" w:hAnsi="宋体" w:cs="宋体"/>
          <w:bCs/>
          <w:kern w:val="0"/>
          <w:sz w:val="20"/>
        </w:rPr>
      </w:pPr>
      <w:r>
        <w:rPr>
          <w:rFonts w:hint="eastAsia" w:ascii="宋体" w:hAnsi="宋体" w:cs="宋体"/>
          <w:bCs/>
          <w:kern w:val="0"/>
          <w:sz w:val="20"/>
        </w:rPr>
        <w:t>4.1提供系统化的培训，确保工作人员能充分了解工作内容，完成相关业务工作。</w:t>
      </w:r>
    </w:p>
    <w:p>
      <w:pPr>
        <w:tabs>
          <w:tab w:val="left" w:pos="0"/>
          <w:tab w:val="left" w:pos="3255"/>
        </w:tabs>
        <w:autoSpaceDE w:val="0"/>
        <w:autoSpaceDN w:val="0"/>
        <w:spacing w:line="560" w:lineRule="exact"/>
        <w:ind w:firstLine="400" w:firstLineChars="200"/>
        <w:jc w:val="left"/>
        <w:rPr>
          <w:rFonts w:ascii="宋体" w:hAnsi="宋体" w:cs="宋体"/>
          <w:bCs/>
          <w:kern w:val="0"/>
          <w:sz w:val="20"/>
        </w:rPr>
      </w:pPr>
      <w:r>
        <w:rPr>
          <w:rFonts w:hint="eastAsia" w:ascii="宋体" w:hAnsi="宋体" w:cs="宋体"/>
          <w:bCs/>
          <w:kern w:val="0"/>
          <w:sz w:val="20"/>
        </w:rPr>
        <w:t>4.2人员配备能满足本次项目提供有效服务的需求，有后期服务方案。</w:t>
      </w:r>
    </w:p>
    <w:p>
      <w:pPr>
        <w:tabs>
          <w:tab w:val="left" w:pos="0"/>
          <w:tab w:val="left" w:pos="3255"/>
        </w:tabs>
        <w:autoSpaceDE w:val="0"/>
        <w:autoSpaceDN w:val="0"/>
        <w:spacing w:line="560" w:lineRule="exact"/>
        <w:ind w:firstLine="400" w:firstLineChars="200"/>
        <w:jc w:val="left"/>
        <w:rPr>
          <w:rFonts w:ascii="宋体" w:hAnsi="宋体" w:cs="宋体"/>
          <w:bCs/>
          <w:kern w:val="0"/>
          <w:sz w:val="20"/>
        </w:rPr>
      </w:pPr>
      <w:r>
        <w:rPr>
          <w:rFonts w:hint="eastAsia" w:ascii="宋体" w:hAnsi="宋体" w:cs="宋体"/>
          <w:bCs/>
          <w:kern w:val="0"/>
          <w:sz w:val="20"/>
        </w:rPr>
        <w:t>4.3其他服务。</w:t>
      </w:r>
      <w:bookmarkStart w:id="12" w:name="_Toc259023362"/>
      <w:bookmarkStart w:id="13" w:name="_Toc330567053"/>
    </w:p>
    <w:p>
      <w:pPr>
        <w:tabs>
          <w:tab w:val="left" w:pos="0"/>
          <w:tab w:val="left" w:pos="3255"/>
        </w:tabs>
        <w:autoSpaceDE w:val="0"/>
        <w:autoSpaceDN w:val="0"/>
        <w:spacing w:line="560" w:lineRule="exact"/>
        <w:ind w:firstLine="402" w:firstLineChars="200"/>
        <w:jc w:val="left"/>
        <w:rPr>
          <w:rFonts w:ascii="宋体" w:hAnsi="宋体" w:cs="宋体"/>
          <w:b/>
          <w:kern w:val="0"/>
          <w:sz w:val="20"/>
        </w:rPr>
      </w:pPr>
      <w:r>
        <w:rPr>
          <w:rFonts w:hint="eastAsia" w:ascii="宋体" w:hAnsi="宋体" w:cs="宋体"/>
          <w:b/>
          <w:kern w:val="0"/>
          <w:sz w:val="20"/>
        </w:rPr>
        <w:t>5</w:t>
      </w:r>
      <w:r>
        <w:rPr>
          <w:rFonts w:hint="eastAsia" w:ascii="宋体" w:hAnsi="宋体" w:cs="宋体"/>
          <w:b/>
          <w:kern w:val="0"/>
          <w:sz w:val="20"/>
          <w:lang w:val="zh-CN"/>
        </w:rPr>
        <w:t>.</w:t>
      </w:r>
      <w:r>
        <w:rPr>
          <w:rFonts w:hint="eastAsia" w:ascii="宋体" w:hAnsi="宋体" w:cs="宋体"/>
          <w:b/>
          <w:kern w:val="0"/>
          <w:sz w:val="20"/>
        </w:rPr>
        <w:t>知识产权</w:t>
      </w:r>
    </w:p>
    <w:p>
      <w:pPr>
        <w:pStyle w:val="6"/>
        <w:spacing w:line="560" w:lineRule="exact"/>
        <w:ind w:firstLine="400" w:firstLineChars="200"/>
        <w:rPr>
          <w:rFonts w:ascii="宋体" w:hAnsi="宋体" w:cs="宋体"/>
          <w:sz w:val="20"/>
        </w:rPr>
      </w:pPr>
      <w:r>
        <w:rPr>
          <w:rFonts w:hint="eastAsia" w:ascii="宋体" w:hAnsi="宋体" w:cs="宋体"/>
          <w:sz w:val="20"/>
        </w:rPr>
        <w:t>5.1比选申请人应保证在本项目中使用的任何产品和服务（包括部分使用），不会产生因第三方提出侵犯其专利权、商标权或其它知识产权而引起的法律和经济纠纷，如因专利权、商标权或其它知识产权而引起法律和经济纠纷，由比选申请人承担所有相关责任。</w:t>
      </w:r>
    </w:p>
    <w:p>
      <w:pPr>
        <w:pStyle w:val="6"/>
        <w:spacing w:line="560" w:lineRule="exact"/>
        <w:ind w:firstLine="400" w:firstLineChars="200"/>
        <w:rPr>
          <w:rFonts w:ascii="宋体" w:hAnsi="宋体" w:cs="宋体"/>
          <w:sz w:val="20"/>
        </w:rPr>
      </w:pPr>
      <w:r>
        <w:rPr>
          <w:rFonts w:hint="eastAsia" w:ascii="宋体" w:hAnsi="宋体" w:cs="宋体"/>
          <w:sz w:val="20"/>
        </w:rPr>
        <w:t>5.2除非比选文件特别规定，比选人享有本项目实施过程中产生的知识成果及知识产权。</w:t>
      </w:r>
    </w:p>
    <w:p>
      <w:pPr>
        <w:pStyle w:val="6"/>
        <w:spacing w:line="560" w:lineRule="exact"/>
        <w:ind w:firstLine="400" w:firstLineChars="200"/>
        <w:rPr>
          <w:rFonts w:ascii="宋体" w:hAnsi="宋体" w:cs="宋体"/>
          <w:sz w:val="20"/>
        </w:rPr>
      </w:pPr>
      <w:r>
        <w:rPr>
          <w:rFonts w:hint="eastAsia" w:ascii="宋体" w:hAnsi="宋体" w:cs="宋体"/>
          <w:sz w:val="20"/>
        </w:rPr>
        <w:t>5.3比选申请人将在比选项目实施过程中釆用自有或者第三方知识成果的，应当在比选申请文件中载明，并提供相关知识产权证明文件。</w:t>
      </w:r>
    </w:p>
    <w:p>
      <w:pPr>
        <w:pStyle w:val="6"/>
        <w:spacing w:line="560" w:lineRule="exact"/>
        <w:ind w:firstLine="400" w:firstLineChars="200"/>
        <w:rPr>
          <w:rFonts w:ascii="宋体" w:hAnsi="宋体" w:cs="宋体"/>
          <w:sz w:val="20"/>
        </w:rPr>
      </w:pPr>
      <w:r>
        <w:rPr>
          <w:rFonts w:hint="eastAsia" w:ascii="宋体" w:hAnsi="宋体" w:cs="宋体"/>
          <w:sz w:val="20"/>
        </w:rPr>
        <w:t>5.4如采用比选申请人所不拥有的知识产权，则在报价中必须包括合法获取该知识产权的相关费用。</w:t>
      </w:r>
    </w:p>
    <w:p>
      <w:pPr>
        <w:pStyle w:val="6"/>
        <w:spacing w:line="560" w:lineRule="exact"/>
      </w:pPr>
    </w:p>
    <w:bookmarkEnd w:id="12"/>
    <w:bookmarkEnd w:id="13"/>
    <w:p>
      <w:pPr>
        <w:pStyle w:val="3"/>
        <w:keepNext w:val="0"/>
        <w:keepLines w:val="0"/>
        <w:jc w:val="center"/>
        <w:rPr>
          <w:rFonts w:ascii="宋体" w:hAnsi="宋体"/>
          <w:b w:val="0"/>
          <w:kern w:val="0"/>
          <w:sz w:val="32"/>
          <w:szCs w:val="40"/>
          <w:lang w:val="zh-CN"/>
        </w:rPr>
      </w:pPr>
      <w:r>
        <w:rPr>
          <w:rFonts w:hint="eastAsia" w:ascii="宋体" w:hAnsi="宋体" w:cs="宋体"/>
          <w:sz w:val="24"/>
          <w:szCs w:val="24"/>
        </w:rPr>
        <w:br w:type="page"/>
      </w:r>
      <w:r>
        <w:rPr>
          <w:rFonts w:hint="eastAsia" w:ascii="宋体" w:hAnsi="宋体" w:cs="宋体"/>
          <w:sz w:val="28"/>
          <w:szCs w:val="28"/>
        </w:rPr>
        <w:t xml:space="preserve">第四章  </w:t>
      </w:r>
      <w:r>
        <w:rPr>
          <w:rFonts w:hint="eastAsia" w:ascii="宋体" w:hAnsi="宋体" w:cs="宋体"/>
          <w:bCs w:val="0"/>
          <w:sz w:val="28"/>
          <w:szCs w:val="28"/>
          <w:lang w:val="zh-CN"/>
        </w:rPr>
        <w:t>评审</w:t>
      </w:r>
      <w:r>
        <w:rPr>
          <w:rFonts w:hint="eastAsia" w:ascii="宋体" w:hAnsi="宋体"/>
          <w:bCs w:val="0"/>
          <w:kern w:val="0"/>
          <w:sz w:val="28"/>
          <w:szCs w:val="28"/>
          <w:lang w:val="zh-CN"/>
        </w:rPr>
        <w:t>办法</w:t>
      </w:r>
    </w:p>
    <w:p>
      <w:pPr>
        <w:autoSpaceDE w:val="0"/>
        <w:autoSpaceDN w:val="0"/>
        <w:adjustRightInd w:val="0"/>
        <w:spacing w:line="560" w:lineRule="exact"/>
        <w:ind w:firstLine="402" w:firstLineChars="200"/>
        <w:rPr>
          <w:rFonts w:ascii="宋体" w:hAnsi="宋体"/>
          <w:kern w:val="0"/>
          <w:sz w:val="20"/>
          <w:lang w:val="zh-CN"/>
        </w:rPr>
      </w:pPr>
      <w:r>
        <w:rPr>
          <w:rFonts w:hint="eastAsia" w:ascii="宋体" w:hAnsi="宋体"/>
          <w:b/>
          <w:kern w:val="0"/>
          <w:sz w:val="20"/>
          <w:lang w:val="zh-CN"/>
        </w:rPr>
        <w:t>一、本次比选评审采用综合评分法</w:t>
      </w:r>
      <w:r>
        <w:rPr>
          <w:rFonts w:hint="eastAsia" w:ascii="宋体" w:hAnsi="宋体"/>
          <w:kern w:val="0"/>
          <w:sz w:val="20"/>
          <w:lang w:val="zh-CN"/>
        </w:rPr>
        <w:t>。</w:t>
      </w:r>
    </w:p>
    <w:p>
      <w:pPr>
        <w:autoSpaceDE w:val="0"/>
        <w:autoSpaceDN w:val="0"/>
        <w:adjustRightInd w:val="0"/>
        <w:spacing w:line="560" w:lineRule="exact"/>
        <w:ind w:firstLine="400" w:firstLineChars="200"/>
        <w:rPr>
          <w:rFonts w:ascii="宋体" w:hAnsi="宋体"/>
          <w:kern w:val="0"/>
          <w:sz w:val="20"/>
          <w:highlight w:val="none"/>
          <w:lang w:val="zh-CN"/>
        </w:rPr>
      </w:pPr>
      <w:r>
        <w:rPr>
          <w:rFonts w:hint="eastAsia" w:ascii="宋体" w:hAnsi="宋体"/>
          <w:kern w:val="0"/>
          <w:sz w:val="20"/>
          <w:lang w:val="zh-CN"/>
        </w:rPr>
        <w:t>1.比选组织机构</w:t>
      </w:r>
      <w:r>
        <w:rPr>
          <w:rFonts w:hint="eastAsia" w:ascii="宋体" w:hAnsi="宋体"/>
          <w:kern w:val="0"/>
          <w:sz w:val="20"/>
          <w:highlight w:val="none"/>
          <w:lang w:val="zh-CN"/>
        </w:rPr>
        <w:t>定于202</w:t>
      </w:r>
      <w:r>
        <w:rPr>
          <w:rFonts w:hint="eastAsia" w:ascii="宋体" w:hAnsi="宋体"/>
          <w:kern w:val="0"/>
          <w:sz w:val="20"/>
          <w:highlight w:val="none"/>
          <w:lang w:val="en-US" w:eastAsia="zh-CN"/>
        </w:rPr>
        <w:t>3</w:t>
      </w:r>
      <w:r>
        <w:rPr>
          <w:rFonts w:hint="eastAsia" w:ascii="宋体" w:hAnsi="宋体"/>
          <w:kern w:val="0"/>
          <w:sz w:val="20"/>
          <w:highlight w:val="none"/>
          <w:lang w:val="zh-CN"/>
        </w:rPr>
        <w:t>年</w:t>
      </w:r>
      <w:r>
        <w:rPr>
          <w:rFonts w:hint="eastAsia" w:ascii="宋体" w:hAnsi="宋体"/>
          <w:kern w:val="0"/>
          <w:sz w:val="20"/>
          <w:highlight w:val="none"/>
          <w:lang w:val="en-US" w:eastAsia="zh-CN"/>
        </w:rPr>
        <w:t>12</w:t>
      </w:r>
      <w:r>
        <w:rPr>
          <w:rFonts w:hint="eastAsia" w:ascii="宋体" w:hAnsi="宋体"/>
          <w:kern w:val="0"/>
          <w:sz w:val="20"/>
          <w:highlight w:val="none"/>
          <w:lang w:val="zh-CN"/>
        </w:rPr>
        <w:t>月</w:t>
      </w:r>
      <w:r>
        <w:rPr>
          <w:rFonts w:hint="eastAsia" w:ascii="宋体" w:hAnsi="宋体"/>
          <w:kern w:val="0"/>
          <w:sz w:val="20"/>
          <w:highlight w:val="none"/>
          <w:lang w:val="en-US" w:eastAsia="zh-CN"/>
        </w:rPr>
        <w:t>18</w:t>
      </w:r>
      <w:r>
        <w:rPr>
          <w:rFonts w:hint="eastAsia" w:ascii="宋体" w:hAnsi="宋体"/>
          <w:kern w:val="0"/>
          <w:sz w:val="20"/>
          <w:highlight w:val="none"/>
          <w:lang w:val="zh-CN"/>
        </w:rPr>
        <w:t>日1</w:t>
      </w:r>
      <w:r>
        <w:rPr>
          <w:rFonts w:hint="eastAsia" w:ascii="宋体" w:hAnsi="宋体"/>
          <w:kern w:val="0"/>
          <w:sz w:val="20"/>
          <w:highlight w:val="none"/>
          <w:lang w:val="en-US" w:eastAsia="zh-CN"/>
        </w:rPr>
        <w:t>5</w:t>
      </w:r>
      <w:r>
        <w:rPr>
          <w:rFonts w:hint="eastAsia" w:ascii="宋体" w:hAnsi="宋体"/>
          <w:kern w:val="0"/>
          <w:sz w:val="20"/>
          <w:highlight w:val="none"/>
          <w:lang w:val="zh-CN"/>
        </w:rPr>
        <w:t>时00分在</w:t>
      </w:r>
      <w:r>
        <w:rPr>
          <w:rFonts w:hint="eastAsia" w:ascii="宋体" w:hAnsi="宋体" w:cs="宋体"/>
          <w:sz w:val="20"/>
          <w:highlight w:val="none"/>
        </w:rPr>
        <w:t>四川省成都市青羊区光华北五路266号青羊总部经济基地2号楼A座</w:t>
      </w:r>
      <w:r>
        <w:rPr>
          <w:rFonts w:hint="eastAsia" w:ascii="宋体" w:hAnsi="宋体" w:cs="宋体"/>
          <w:sz w:val="20"/>
          <w:highlight w:val="none"/>
          <w:lang w:val="en-US" w:eastAsia="zh-CN"/>
        </w:rPr>
        <w:t>8</w:t>
      </w:r>
      <w:r>
        <w:rPr>
          <w:rFonts w:hint="eastAsia" w:ascii="宋体" w:hAnsi="宋体" w:cs="宋体"/>
          <w:sz w:val="20"/>
          <w:highlight w:val="none"/>
        </w:rPr>
        <w:t>楼会议室</w:t>
      </w:r>
      <w:r>
        <w:rPr>
          <w:rFonts w:hint="eastAsia" w:ascii="宋体" w:hAnsi="宋体"/>
          <w:kern w:val="0"/>
          <w:sz w:val="20"/>
          <w:highlight w:val="none"/>
          <w:lang w:val="zh-CN"/>
        </w:rPr>
        <w:t>进行比选。</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highlight w:val="none"/>
          <w:lang w:val="zh-CN"/>
        </w:rPr>
        <w:t>2.比选时，比选组织机构将当众查验比选申请文</w:t>
      </w:r>
      <w:r>
        <w:rPr>
          <w:rFonts w:hint="eastAsia" w:ascii="宋体" w:hAnsi="宋体"/>
          <w:kern w:val="0"/>
          <w:sz w:val="20"/>
          <w:lang w:val="zh-CN"/>
        </w:rPr>
        <w:t>件密封情况，确认无误后拆封，宣读参选机构名称、撤销比选申请通知(如果有)以及比选组织机构认为合适的其他内容并加以记录。</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3.对按本比选文件规定的格式、内容和要求制作的比选申请文件进行符合性审查，只有通过符合性审查的比选申请文件才能进入下一阶段的评审，符合性审查的主要内容如下：</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（1）比选申请文件是否齐全，是否按照比选文件规定的格式、内容填写；</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（2）比选申请文件正、副本是否按比选文件规定分别密封、标注，是否签字和加盖公章；</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（3）比选申请文件正、副本主要条款是否—致；</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（4）比选报价为</w:t>
      </w:r>
      <w:r>
        <w:rPr>
          <w:rFonts w:hint="eastAsia" w:ascii="宋体" w:hAnsi="宋体"/>
          <w:kern w:val="0"/>
          <w:sz w:val="20"/>
        </w:rPr>
        <w:t>服务验收合格后的业务外包服务费用总价格</w:t>
      </w:r>
      <w:r>
        <w:rPr>
          <w:rFonts w:hint="eastAsia" w:ascii="宋体" w:hAnsi="宋体"/>
          <w:kern w:val="0"/>
          <w:sz w:val="20"/>
          <w:lang w:val="zh-CN"/>
        </w:rPr>
        <w:t>；</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（5）比选申请文件是否按时递交；</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（6）是否符合国家有关法规、文件和标准要求；</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（7）比选申请文件是否附有比选组织机构不能接受的条件。</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4.对参选机构进行资格审查，填写资格评审记录表，只有通过资格评审的比选文件才能进入综合评分阶段。</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5.无论何种原因，在比选时没有启封和宣读的比选申请文件在比选时将不予考虑，比选组织机构对此不承担任何责任。</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6.比选评审组判断比选申请文件的响应性仅基于比选申请文件本身而不能依靠外部证据。</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7.为有助于对比选申请文件进行审查、评估和比较，比选组织机构有权向参选机构质疑，请参选机构澄清其比选申请内容。参选机构须按照比选组织机构通知的时间、地点指派专人进行答疑和澄清。</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8.比选评审组评委根据比选文件规定对各参选机构的比选申请文件进行评议比较和打分。汇总各评委的评分结果，比选机构按得分高低次序顺序排出各项目比选名次。综合评分相同的，按</w:t>
      </w:r>
      <w:r>
        <w:rPr>
          <w:rFonts w:hint="eastAsia" w:ascii="宋体" w:hAnsi="宋体"/>
          <w:kern w:val="0"/>
          <w:sz w:val="20"/>
        </w:rPr>
        <w:t>资质与业绩</w:t>
      </w:r>
      <w:r>
        <w:rPr>
          <w:rFonts w:hint="eastAsia" w:ascii="宋体" w:hAnsi="宋体"/>
          <w:kern w:val="0"/>
          <w:sz w:val="20"/>
          <w:lang w:val="zh-CN"/>
        </w:rPr>
        <w:t>评分由高到低顺序排列；综合评分相同，且</w:t>
      </w:r>
      <w:r>
        <w:rPr>
          <w:rFonts w:hint="eastAsia" w:ascii="宋体" w:hAnsi="宋体"/>
          <w:kern w:val="0"/>
          <w:sz w:val="20"/>
        </w:rPr>
        <w:t>资质与业绩</w:t>
      </w:r>
      <w:r>
        <w:rPr>
          <w:rFonts w:hint="eastAsia" w:ascii="宋体" w:hAnsi="宋体"/>
          <w:kern w:val="0"/>
          <w:sz w:val="20"/>
          <w:lang w:val="zh-CN"/>
        </w:rPr>
        <w:t>评分相同的，按</w:t>
      </w:r>
      <w:r>
        <w:rPr>
          <w:rFonts w:hint="eastAsia" w:ascii="宋体" w:hAnsi="宋体"/>
          <w:kern w:val="0"/>
          <w:sz w:val="20"/>
        </w:rPr>
        <w:t>价格</w:t>
      </w:r>
      <w:r>
        <w:rPr>
          <w:rFonts w:hint="eastAsia" w:ascii="宋体" w:hAnsi="宋体"/>
          <w:kern w:val="0"/>
          <w:sz w:val="20"/>
          <w:lang w:val="zh-CN"/>
        </w:rPr>
        <w:t>评分由高到低顺序排列；综合评分相同，且</w:t>
      </w:r>
      <w:r>
        <w:rPr>
          <w:rFonts w:hint="eastAsia" w:ascii="宋体" w:hAnsi="宋体"/>
          <w:kern w:val="0"/>
          <w:sz w:val="20"/>
        </w:rPr>
        <w:t>资质与业绩</w:t>
      </w:r>
      <w:r>
        <w:rPr>
          <w:rFonts w:hint="eastAsia" w:ascii="宋体" w:hAnsi="宋体"/>
          <w:kern w:val="0"/>
          <w:sz w:val="20"/>
          <w:lang w:val="zh-CN"/>
        </w:rPr>
        <w:t>评分、</w:t>
      </w:r>
      <w:r>
        <w:rPr>
          <w:rFonts w:hint="eastAsia" w:ascii="宋体" w:hAnsi="宋体"/>
          <w:kern w:val="0"/>
          <w:sz w:val="20"/>
        </w:rPr>
        <w:t>价格</w:t>
      </w:r>
      <w:r>
        <w:rPr>
          <w:rFonts w:hint="eastAsia" w:ascii="宋体" w:hAnsi="宋体"/>
          <w:kern w:val="0"/>
          <w:sz w:val="20"/>
          <w:lang w:val="zh-CN"/>
        </w:rPr>
        <w:t>评分均相同的，按</w:t>
      </w:r>
      <w:r>
        <w:rPr>
          <w:rFonts w:hint="eastAsia" w:ascii="宋体" w:hAnsi="宋体"/>
          <w:kern w:val="0"/>
          <w:sz w:val="20"/>
        </w:rPr>
        <w:t>服务</w:t>
      </w:r>
      <w:r>
        <w:rPr>
          <w:rFonts w:hint="eastAsia" w:ascii="宋体" w:hAnsi="宋体"/>
          <w:kern w:val="0"/>
          <w:sz w:val="20"/>
          <w:lang w:val="zh-CN"/>
        </w:rPr>
        <w:t>评分由高到低顺序排列；综合评分相同，且</w:t>
      </w:r>
      <w:r>
        <w:rPr>
          <w:rFonts w:hint="eastAsia" w:ascii="宋体" w:hAnsi="宋体"/>
          <w:kern w:val="0"/>
          <w:sz w:val="20"/>
        </w:rPr>
        <w:t>资质与业绩</w:t>
      </w:r>
      <w:r>
        <w:rPr>
          <w:rFonts w:hint="eastAsia" w:ascii="宋体" w:hAnsi="宋体"/>
          <w:kern w:val="0"/>
          <w:sz w:val="20"/>
          <w:lang w:val="zh-CN"/>
        </w:rPr>
        <w:t>评分、</w:t>
      </w:r>
      <w:r>
        <w:rPr>
          <w:rFonts w:hint="eastAsia" w:ascii="宋体" w:hAnsi="宋体"/>
          <w:kern w:val="0"/>
          <w:sz w:val="20"/>
        </w:rPr>
        <w:t>价格</w:t>
      </w:r>
      <w:r>
        <w:rPr>
          <w:rFonts w:hint="eastAsia" w:ascii="宋体" w:hAnsi="宋体"/>
          <w:kern w:val="0"/>
          <w:sz w:val="20"/>
          <w:lang w:val="zh-CN"/>
        </w:rPr>
        <w:t>评分、服务评分均相同，由评审组抽签决定，评审组按上述排列顺序向比选人推荐中选候选人。</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9.比选实行综合评分法。</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lang w:val="zh-CN"/>
        </w:rPr>
        <w:t>10.比选评审中，一个计分内容出现2个或2个以上计分，或评分高出单项分值明显不合理，或违反比选文件规定的评分，均为无效计分。</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11.比选评审组成员采用记名评分的方式，在评分表中的任何改写处，均必须由该评分人员小签。</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12.比选评审组通过比选报告推荐标有排序的前3位为中选候选人，同时报告比选过程中的其他事项，比选报告应由比选评审组全体评委和监督人员签字。</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13.比选组织机构确定得分排名第1位的为中选人，排名前面的中选人主动放弃中选或因不可抗力提出不能履行合同的，比选组织机构可以确定排名在其后的为中选人，依次类推。</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14.评比结束，比选组织机构应在五个工作日内向比选参选机构发出《中选通知书》。</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15.经批准，</w:t>
      </w:r>
      <w:r>
        <w:rPr>
          <w:rFonts w:hint="eastAsia" w:ascii="宋体" w:hAnsi="宋体"/>
          <w:kern w:val="0"/>
          <w:sz w:val="20"/>
        </w:rPr>
        <w:t>天津蜀物智链科技</w:t>
      </w:r>
      <w:r>
        <w:rPr>
          <w:rFonts w:hint="eastAsia" w:ascii="宋体" w:hAnsi="宋体"/>
          <w:kern w:val="0"/>
          <w:sz w:val="20"/>
          <w:lang w:val="zh-CN"/>
        </w:rPr>
        <w:t>有限公司应依据《中选通知书》，</w:t>
      </w:r>
      <w:r>
        <w:rPr>
          <w:rFonts w:hint="eastAsia" w:ascii="宋体" w:hAnsi="宋体"/>
          <w:kern w:val="0"/>
          <w:sz w:val="20"/>
        </w:rPr>
        <w:t>分别</w:t>
      </w:r>
      <w:r>
        <w:rPr>
          <w:rFonts w:hint="eastAsia" w:ascii="宋体" w:hAnsi="宋体"/>
          <w:kern w:val="0"/>
          <w:sz w:val="20"/>
          <w:lang w:val="zh-CN"/>
        </w:rPr>
        <w:t>与</w:t>
      </w:r>
      <w:r>
        <w:rPr>
          <w:rFonts w:hint="eastAsia" w:ascii="宋体" w:hAnsi="宋体"/>
          <w:kern w:val="0"/>
          <w:sz w:val="20"/>
        </w:rPr>
        <w:t>业务服务供应商</w:t>
      </w:r>
      <w:r>
        <w:rPr>
          <w:rFonts w:hint="eastAsia" w:ascii="宋体" w:hAnsi="宋体"/>
          <w:kern w:val="0"/>
          <w:sz w:val="20"/>
          <w:lang w:val="zh-CN"/>
        </w:rPr>
        <w:t>协商</w:t>
      </w:r>
      <w:r>
        <w:rPr>
          <w:rFonts w:hint="eastAsia" w:ascii="宋体" w:hAnsi="宋体"/>
          <w:kern w:val="0"/>
          <w:sz w:val="20"/>
        </w:rPr>
        <w:t>业务外包具体</w:t>
      </w:r>
      <w:r>
        <w:rPr>
          <w:rFonts w:hint="eastAsia" w:ascii="宋体" w:hAnsi="宋体"/>
          <w:kern w:val="0"/>
          <w:sz w:val="20"/>
          <w:lang w:val="zh-CN"/>
        </w:rPr>
        <w:t>相关事宜。中选人因故放弃中选或提出不能履行合同的，</w:t>
      </w:r>
      <w:r>
        <w:rPr>
          <w:rFonts w:hint="eastAsia" w:ascii="宋体" w:hAnsi="宋体"/>
          <w:kern w:val="0"/>
          <w:sz w:val="20"/>
        </w:rPr>
        <w:t>天津蜀物智链科技</w:t>
      </w:r>
      <w:r>
        <w:rPr>
          <w:rFonts w:hint="eastAsia" w:ascii="宋体" w:hAnsi="宋体"/>
          <w:kern w:val="0"/>
          <w:sz w:val="20"/>
          <w:lang w:val="zh-CN"/>
        </w:rPr>
        <w:t>有限公司应依据比选报告确定该比选项目排名第二的替补为中选候选人，</w:t>
      </w:r>
      <w:r>
        <w:rPr>
          <w:rFonts w:hint="eastAsia" w:ascii="宋体" w:hAnsi="宋体"/>
          <w:kern w:val="0"/>
          <w:sz w:val="20"/>
        </w:rPr>
        <w:t>组织业务服务工作</w:t>
      </w:r>
      <w:r>
        <w:rPr>
          <w:rFonts w:hint="eastAsia" w:ascii="宋体" w:hAnsi="宋体"/>
          <w:kern w:val="0"/>
          <w:sz w:val="20"/>
          <w:lang w:val="zh-CN"/>
        </w:rPr>
        <w:t>相关事宜，并依次类推。</w:t>
      </w:r>
    </w:p>
    <w:p>
      <w:pPr>
        <w:autoSpaceDE w:val="0"/>
        <w:autoSpaceDN w:val="0"/>
        <w:adjustRightInd w:val="0"/>
        <w:spacing w:line="560" w:lineRule="exact"/>
        <w:ind w:firstLine="400" w:firstLineChars="200"/>
        <w:rPr>
          <w:rFonts w:ascii="宋体" w:hAnsi="宋体"/>
          <w:kern w:val="0"/>
          <w:sz w:val="20"/>
          <w:lang w:val="zh-CN"/>
        </w:rPr>
      </w:pPr>
      <w:r>
        <w:rPr>
          <w:rFonts w:hint="eastAsia" w:ascii="宋体" w:hAnsi="宋体"/>
          <w:kern w:val="0"/>
          <w:sz w:val="20"/>
          <w:lang w:val="zh-CN"/>
        </w:rPr>
        <w:t>16.</w:t>
      </w:r>
      <w:r>
        <w:rPr>
          <w:rFonts w:hint="eastAsia" w:ascii="宋体" w:hAnsi="宋体"/>
          <w:kern w:val="0"/>
          <w:sz w:val="20"/>
        </w:rPr>
        <w:t>天津蜀物智链科技</w:t>
      </w:r>
      <w:r>
        <w:rPr>
          <w:rFonts w:hint="eastAsia" w:ascii="宋体" w:hAnsi="宋体"/>
          <w:kern w:val="0"/>
          <w:sz w:val="20"/>
          <w:lang w:val="zh-CN"/>
        </w:rPr>
        <w:t>有限公司根据比选结果和协商情况，最终确定委托的</w:t>
      </w:r>
      <w:r>
        <w:rPr>
          <w:rFonts w:hint="eastAsia" w:ascii="宋体" w:hAnsi="宋体"/>
          <w:kern w:val="0"/>
          <w:sz w:val="20"/>
        </w:rPr>
        <w:t>业务服务供应商</w:t>
      </w:r>
      <w:r>
        <w:rPr>
          <w:rFonts w:hint="eastAsia" w:ascii="宋体" w:hAnsi="宋体"/>
          <w:kern w:val="0"/>
          <w:sz w:val="20"/>
          <w:lang w:val="zh-CN"/>
        </w:rPr>
        <w:t>签订服务合同。合同履行过程中，比选人需要追加与合同标的相同服务的，在不改变合同其他条款的前提下，可以与中选人协商签订补充合同，且采购服务的名称、履约方式、验收标准等必须与原采购合同一致。</w:t>
      </w:r>
    </w:p>
    <w:p>
      <w:pPr>
        <w:numPr>
          <w:ilvl w:val="0"/>
          <w:numId w:val="7"/>
        </w:numPr>
        <w:autoSpaceDE w:val="0"/>
        <w:autoSpaceDN w:val="0"/>
        <w:adjustRightInd w:val="0"/>
        <w:spacing w:line="560" w:lineRule="exact"/>
        <w:ind w:firstLine="402" w:firstLineChars="200"/>
        <w:jc w:val="left"/>
        <w:rPr>
          <w:rFonts w:ascii="宋体" w:hAnsi="宋体"/>
          <w:b/>
          <w:kern w:val="0"/>
          <w:sz w:val="20"/>
        </w:rPr>
      </w:pPr>
      <w:r>
        <w:rPr>
          <w:rFonts w:hint="eastAsia" w:ascii="宋体" w:hAnsi="宋体"/>
          <w:b/>
          <w:kern w:val="0"/>
          <w:sz w:val="20"/>
        </w:rPr>
        <w:t>评审标准</w:t>
      </w:r>
    </w:p>
    <w:p>
      <w:pPr>
        <w:spacing w:line="560" w:lineRule="exact"/>
        <w:ind w:firstLine="400" w:firstLineChars="200"/>
        <w:rPr>
          <w:rFonts w:ascii="黑体" w:hAnsi="黑体" w:eastAsia="黑体"/>
          <w:sz w:val="20"/>
        </w:rPr>
      </w:pPr>
      <w:r>
        <w:rPr>
          <w:rFonts w:hint="eastAsia" w:ascii="黑体" w:hAnsi="黑体" w:eastAsia="黑体"/>
          <w:sz w:val="20"/>
        </w:rPr>
        <w:t>（一）比选组织机构组建评审组</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评审组由5人组成。</w:t>
      </w:r>
    </w:p>
    <w:p>
      <w:pPr>
        <w:spacing w:line="560" w:lineRule="exact"/>
        <w:ind w:firstLine="400" w:firstLineChars="200"/>
        <w:rPr>
          <w:rFonts w:ascii="黑体" w:hAnsi="黑体" w:eastAsia="黑体"/>
          <w:sz w:val="20"/>
        </w:rPr>
      </w:pPr>
      <w:bookmarkStart w:id="14" w:name="_Ref77046541"/>
      <w:r>
        <w:rPr>
          <w:rFonts w:hint="eastAsia" w:ascii="黑体" w:hAnsi="黑体" w:eastAsia="黑体"/>
          <w:sz w:val="20"/>
        </w:rPr>
        <w:t>（二）比选响应文件的资格条件核实</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评审组将审查比选响应人是否有资格圆满地履行合同，如果比选响应人被确定为无资格履行合同，其比选响应文件将被拒绝。</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审查将根据比选响应人按规定提交的资格证明文件进行审查。</w:t>
      </w:r>
    </w:p>
    <w:p>
      <w:pPr>
        <w:spacing w:line="560" w:lineRule="exact"/>
        <w:ind w:firstLine="400" w:firstLineChars="200"/>
        <w:rPr>
          <w:rFonts w:ascii="黑体" w:hAnsi="黑体" w:eastAsia="黑体"/>
          <w:sz w:val="20"/>
        </w:rPr>
      </w:pPr>
      <w:r>
        <w:rPr>
          <w:rFonts w:hint="eastAsia" w:ascii="黑体" w:hAnsi="黑体" w:eastAsia="黑体"/>
          <w:sz w:val="20"/>
        </w:rPr>
        <w:t>（三）比选响应文件的</w:t>
      </w:r>
      <w:bookmarkEnd w:id="14"/>
      <w:r>
        <w:rPr>
          <w:rFonts w:hint="eastAsia" w:ascii="黑体" w:hAnsi="黑体" w:eastAsia="黑体"/>
          <w:sz w:val="20"/>
        </w:rPr>
        <w:t>初步评审</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在详细审查之前，评审组要审查每份比选响应书是否实质上响应了比选文件的要求，是否存在重大偏差。</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下列情况属于重大偏差：</w:t>
      </w:r>
    </w:p>
    <w:p>
      <w:pPr>
        <w:tabs>
          <w:tab w:val="left" w:pos="482"/>
        </w:tabs>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1.未按比选文件要求加盖单位公章或法定代表人（或授权代表）未签字；</w:t>
      </w:r>
    </w:p>
    <w:p>
      <w:pPr>
        <w:tabs>
          <w:tab w:val="left" w:pos="482"/>
        </w:tabs>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2.授权委托书未满足比选文件的要求；</w:t>
      </w:r>
    </w:p>
    <w:p>
      <w:pPr>
        <w:tabs>
          <w:tab w:val="left" w:pos="482"/>
        </w:tabs>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授权委托书相关要求如下：</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（1）本授权书在比选申请代表不是比选申请法定代表人时办理，如由比选申请人法定代表人亲自签署比选文件并参与比选相关活动，则不需办理本授权书。</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（2）如果有委托代理人的，应同时附法定代表人身份证明、授权委托书、委托代理人身份证复印件。否则不通过其初步评审。</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（3）委托代理人只能是一个人，且不能再授予他人，否则比选人将认为其授权无效。</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（4）比选申请法定代表人授权书应加盖比选申请人公章，授权人和委托代理人均须在授权书上签字，不得使用签名章代替。</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（5）授权书后须附授权人和委托代理人身份证复印件（加盖申请人公章），并保证清晰有效。</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3.比选响应人未按规定的格式填写，内容不完整或关键字迹模糊、无法辨认的；</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4.比选响应人递交两份或多份内容不同的比选响应文件，或在一份比选响应文件中对同一比选响应范围报有两个或多个报价，且未声明哪一个为最终报价的；</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5.不符合比选文件及相关法律法规中规定的其它实质性要求。</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如果比选响应文件存在上述重大偏差，比选人将予以拒绝或作为无效比选响应文件处理。递交比选响应文件后，比选响应人不得通过修正从而使其未完全响应的比选响应文件成为实际上完全响应的比选响应文件。</w:t>
      </w:r>
    </w:p>
    <w:p>
      <w:pPr>
        <w:spacing w:line="560" w:lineRule="exact"/>
        <w:ind w:firstLine="400" w:firstLineChars="200"/>
        <w:rPr>
          <w:rFonts w:ascii="黑体" w:hAnsi="黑体" w:eastAsia="黑体"/>
          <w:sz w:val="20"/>
        </w:rPr>
      </w:pPr>
      <w:r>
        <w:rPr>
          <w:rFonts w:hint="eastAsia" w:ascii="黑体" w:hAnsi="黑体" w:eastAsia="黑体"/>
          <w:sz w:val="20"/>
        </w:rPr>
        <w:t>（四）比选响应文件的详细评审</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1.评审组成员只能按以下确定的评分项目、内容、要求进行评分，不能另行列项，否则视为废票；</w:t>
      </w:r>
    </w:p>
    <w:p>
      <w:pPr>
        <w:autoSpaceDE w:val="0"/>
        <w:autoSpaceDN w:val="0"/>
        <w:adjustRightInd w:val="0"/>
        <w:spacing w:line="560" w:lineRule="exact"/>
        <w:ind w:firstLine="400" w:firstLineChars="200"/>
        <w:rPr>
          <w:rFonts w:ascii="宋体" w:hAnsi="宋体"/>
          <w:kern w:val="0"/>
          <w:sz w:val="20"/>
        </w:rPr>
      </w:pPr>
      <w:r>
        <w:rPr>
          <w:rFonts w:hint="eastAsia" w:ascii="宋体" w:hAnsi="宋体"/>
          <w:kern w:val="0"/>
          <w:sz w:val="20"/>
        </w:rPr>
        <w:t>2.评分由评审组成员在充分讨论、沟通的基础上，各自独立进行；评分以记名方式进行；</w:t>
      </w:r>
    </w:p>
    <w:p>
      <w:pPr>
        <w:autoSpaceDE w:val="0"/>
        <w:autoSpaceDN w:val="0"/>
        <w:adjustRightInd w:val="0"/>
        <w:spacing w:line="560" w:lineRule="exact"/>
        <w:ind w:firstLine="400" w:firstLineChars="200"/>
        <w:rPr>
          <w:rFonts w:ascii="宋体" w:hAnsi="宋体"/>
          <w:kern w:val="0"/>
          <w:sz w:val="24"/>
          <w:szCs w:val="24"/>
        </w:rPr>
      </w:pPr>
      <w:r>
        <w:rPr>
          <w:rFonts w:hint="eastAsia" w:ascii="宋体" w:hAnsi="宋体"/>
          <w:kern w:val="0"/>
          <w:sz w:val="20"/>
        </w:rPr>
        <w:t>3.比选采用综合评分法。满分为100分。</w:t>
      </w:r>
    </w:p>
    <w:p>
      <w:pPr>
        <w:autoSpaceDE w:val="0"/>
        <w:autoSpaceDN w:val="0"/>
        <w:adjustRightInd w:val="0"/>
        <w:ind w:firstLine="480" w:firstLineChars="200"/>
        <w:jc w:val="both"/>
        <w:rPr>
          <w:rFonts w:ascii="宋体" w:hAnsi="宋体"/>
          <w:b/>
          <w:kern w:val="0"/>
          <w:sz w:val="24"/>
          <w:szCs w:val="24"/>
          <w:lang w:val="zh-CN"/>
        </w:rPr>
      </w:pPr>
      <w:r>
        <w:rPr>
          <w:rFonts w:hint="eastAsia" w:ascii="宋体" w:hAnsi="宋体"/>
          <w:kern w:val="0"/>
          <w:sz w:val="24"/>
          <w:szCs w:val="24"/>
        </w:rPr>
        <w:t>服务机构比选评审标</w:t>
      </w:r>
      <w:r>
        <w:rPr>
          <w:rFonts w:hint="eastAsia" w:ascii="宋体" w:hAnsi="宋体"/>
          <w:kern w:val="0"/>
          <w:sz w:val="24"/>
          <w:szCs w:val="18"/>
        </w:rPr>
        <w:t>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359"/>
        <w:gridCol w:w="5019"/>
        <w:gridCol w:w="1380"/>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22"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序号</w:t>
            </w:r>
          </w:p>
        </w:tc>
        <w:tc>
          <w:tcPr>
            <w:tcW w:w="1359"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评分</w:t>
            </w:r>
          </w:p>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项目</w:t>
            </w:r>
          </w:p>
        </w:tc>
        <w:tc>
          <w:tcPr>
            <w:tcW w:w="5019"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评分标准</w:t>
            </w:r>
          </w:p>
        </w:tc>
        <w:tc>
          <w:tcPr>
            <w:tcW w:w="1380"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评分依据</w:t>
            </w:r>
          </w:p>
        </w:tc>
        <w:tc>
          <w:tcPr>
            <w:tcW w:w="1007"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restart"/>
            <w:vAlign w:val="center"/>
          </w:tcPr>
          <w:p>
            <w:pPr>
              <w:pStyle w:val="42"/>
              <w:kinsoku w:val="0"/>
              <w:overflowPunct w:val="0"/>
              <w:autoSpaceDE w:val="0"/>
              <w:autoSpaceDN w:val="0"/>
              <w:snapToGrid w:val="0"/>
              <w:spacing w:before="0" w:after="0" w:line="600" w:lineRule="exact"/>
              <w:jc w:val="center"/>
              <w:textAlignment w:val="bottom"/>
              <w:rPr>
                <w:rFonts w:hint="eastAsia" w:ascii="宋体" w:hAnsi="宋体" w:eastAsia="宋体" w:cs="宋体"/>
                <w:b w:val="0"/>
                <w:bCs/>
                <w:snapToGrid w:val="0"/>
                <w:spacing w:val="0"/>
                <w:kern w:val="2"/>
                <w:sz w:val="22"/>
                <w:szCs w:val="22"/>
                <w:lang w:val="en-US" w:eastAsia="zh-CN" w:bidi="ar-SA"/>
              </w:rPr>
            </w:pPr>
          </w:p>
        </w:tc>
        <w:tc>
          <w:tcPr>
            <w:tcW w:w="1359" w:type="dxa"/>
            <w:vAlign w:val="center"/>
          </w:tcPr>
          <w:p>
            <w:pPr>
              <w:kinsoku w:val="0"/>
              <w:overflowPunct w:val="0"/>
              <w:autoSpaceDE w:val="0"/>
              <w:autoSpaceDN w:val="0"/>
              <w:snapToGrid w:val="0"/>
              <w:spacing w:line="600" w:lineRule="exact"/>
              <w:jc w:val="center"/>
              <w:rPr>
                <w:rFonts w:hint="default" w:ascii="宋体" w:hAnsi="宋体" w:cs="宋体"/>
                <w:bCs/>
                <w:snapToGrid w:val="0"/>
                <w:sz w:val="22"/>
                <w:szCs w:val="22"/>
                <w:lang w:val="en-US" w:eastAsia="zh-CN"/>
              </w:rPr>
            </w:pPr>
            <w:r>
              <w:rPr>
                <w:rFonts w:hint="eastAsia" w:ascii="宋体" w:hAnsi="宋体" w:cs="宋体"/>
                <w:bCs/>
                <w:snapToGrid w:val="0"/>
                <w:sz w:val="22"/>
                <w:szCs w:val="22"/>
                <w:lang w:val="en-US" w:eastAsia="zh-CN"/>
              </w:rPr>
              <w:t xml:space="preserve">公司资质 （20分）                                                                                                              </w:t>
            </w:r>
          </w:p>
        </w:tc>
        <w:tc>
          <w:tcPr>
            <w:tcW w:w="5019" w:type="dxa"/>
            <w:vAlign w:val="center"/>
          </w:tcPr>
          <w:p>
            <w:pPr>
              <w:kinsoku w:val="0"/>
              <w:overflowPunct w:val="0"/>
              <w:autoSpaceDE w:val="0"/>
              <w:autoSpaceDN w:val="0"/>
              <w:snapToGrid w:val="0"/>
              <w:spacing w:line="600" w:lineRule="exact"/>
              <w:jc w:val="center"/>
              <w:rPr>
                <w:rFonts w:hint="eastAsia" w:ascii="宋体" w:hAnsi="宋体" w:cs="宋体"/>
                <w:bCs/>
                <w:snapToGrid w:val="0"/>
                <w:sz w:val="22"/>
                <w:szCs w:val="22"/>
              </w:rPr>
            </w:pPr>
            <w:r>
              <w:rPr>
                <w:rFonts w:hint="eastAsia" w:ascii="宋体" w:hAnsi="宋体" w:cs="宋体"/>
                <w:bCs/>
                <w:snapToGrid w:val="0"/>
                <w:sz w:val="22"/>
                <w:szCs w:val="22"/>
              </w:rPr>
              <w:t>企业相关业务服务资质</w:t>
            </w:r>
            <w:r>
              <w:rPr>
                <w:rFonts w:hint="eastAsia" w:ascii="宋体" w:hAnsi="宋体" w:cs="宋体"/>
                <w:bCs/>
                <w:snapToGrid w:val="0"/>
                <w:sz w:val="22"/>
                <w:szCs w:val="22"/>
                <w:lang w:eastAsia="zh-CN"/>
              </w:rPr>
              <w:t>（</w:t>
            </w:r>
            <w:r>
              <w:rPr>
                <w:rFonts w:hint="eastAsia" w:ascii="宋体" w:hAnsi="宋体" w:cs="宋体"/>
                <w:bCs/>
                <w:snapToGrid w:val="0"/>
                <w:sz w:val="22"/>
                <w:szCs w:val="22"/>
                <w:lang w:val="en-US" w:eastAsia="zh-CN"/>
              </w:rPr>
              <w:t>包括但不限于：高新企业认证、中小科技型企业认证、</w:t>
            </w:r>
            <w:r>
              <w:rPr>
                <w:rFonts w:hint="eastAsia" w:ascii="宋体" w:hAnsi="宋体" w:eastAsia="宋体" w:cs="宋体"/>
                <w:sz w:val="21"/>
                <w:szCs w:val="21"/>
                <w:highlight w:val="none"/>
                <w:lang w:eastAsia="zh-CN"/>
              </w:rPr>
              <w:t>具有省级或省级以上质量技术监督部门颁发的检验检测机构资质认定证书</w:t>
            </w:r>
            <w:r>
              <w:rPr>
                <w:rFonts w:hint="eastAsia" w:ascii="宋体" w:hAnsi="宋体" w:cs="宋体"/>
                <w:bCs/>
                <w:snapToGrid w:val="0"/>
                <w:sz w:val="22"/>
                <w:szCs w:val="22"/>
                <w:lang w:eastAsia="zh-CN"/>
              </w:rPr>
              <w:t>）</w:t>
            </w:r>
            <w:r>
              <w:rPr>
                <w:rFonts w:hint="eastAsia" w:ascii="宋体" w:hAnsi="宋体" w:cs="宋体"/>
                <w:bCs/>
                <w:snapToGrid w:val="0"/>
                <w:sz w:val="22"/>
                <w:szCs w:val="22"/>
              </w:rPr>
              <w:t>，3项及以上20分，2项12分，1项目5分，0项目0分。</w:t>
            </w:r>
          </w:p>
        </w:tc>
        <w:tc>
          <w:tcPr>
            <w:tcW w:w="1380" w:type="dxa"/>
            <w:vAlign w:val="center"/>
          </w:tcPr>
          <w:p>
            <w:pPr>
              <w:kinsoku w:val="0"/>
              <w:overflowPunct w:val="0"/>
              <w:autoSpaceDE w:val="0"/>
              <w:autoSpaceDN w:val="0"/>
              <w:snapToGrid w:val="0"/>
              <w:spacing w:line="600" w:lineRule="exact"/>
              <w:jc w:val="center"/>
              <w:rPr>
                <w:rFonts w:ascii="宋体" w:hAnsi="宋体" w:cs="宋体"/>
                <w:bCs/>
                <w:snapToGrid w:val="0"/>
                <w:sz w:val="22"/>
                <w:szCs w:val="22"/>
              </w:rPr>
            </w:pPr>
            <w:r>
              <w:rPr>
                <w:rFonts w:hint="eastAsia" w:ascii="宋体" w:hAnsi="宋体" w:cs="宋体"/>
                <w:bCs/>
                <w:snapToGrid w:val="0"/>
                <w:sz w:val="22"/>
                <w:szCs w:val="22"/>
              </w:rPr>
              <w:t>资质证书</w:t>
            </w:r>
          </w:p>
        </w:tc>
        <w:tc>
          <w:tcPr>
            <w:tcW w:w="1007"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lang w:val="en-US" w:eastAsia="zh-CN"/>
              </w:rPr>
              <w:t>2</w:t>
            </w:r>
            <w:r>
              <w:rPr>
                <w:rFonts w:hint="eastAsia" w:hAnsi="宋体"/>
                <w:b w:val="0"/>
                <w:snapToGrid w:val="0"/>
                <w:sz w:val="22"/>
                <w:szCs w:val="22"/>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continue"/>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p>
        </w:tc>
        <w:tc>
          <w:tcPr>
            <w:tcW w:w="1359" w:type="dxa"/>
            <w:vAlign w:val="center"/>
          </w:tcPr>
          <w:p>
            <w:pPr>
              <w:kinsoku w:val="0"/>
              <w:overflowPunct w:val="0"/>
              <w:autoSpaceDE w:val="0"/>
              <w:autoSpaceDN w:val="0"/>
              <w:snapToGrid w:val="0"/>
              <w:spacing w:line="600" w:lineRule="exact"/>
              <w:jc w:val="center"/>
              <w:rPr>
                <w:rFonts w:hint="default" w:ascii="宋体" w:hAnsi="宋体" w:cs="宋体"/>
                <w:bCs/>
                <w:snapToGrid w:val="0"/>
                <w:sz w:val="22"/>
                <w:szCs w:val="22"/>
                <w:lang w:val="en-US" w:eastAsia="zh-CN"/>
              </w:rPr>
            </w:pPr>
            <w:r>
              <w:rPr>
                <w:rFonts w:hint="eastAsia" w:ascii="宋体" w:hAnsi="宋体" w:cs="宋体"/>
                <w:bCs/>
                <w:snapToGrid w:val="0"/>
                <w:sz w:val="22"/>
                <w:szCs w:val="22"/>
                <w:lang w:val="en-US" w:eastAsia="zh-CN"/>
              </w:rPr>
              <w:t xml:space="preserve">公司业绩  </w:t>
            </w:r>
            <w:r>
              <w:rPr>
                <w:rFonts w:hint="eastAsia" w:ascii="宋体" w:hAnsi="宋体" w:cs="宋体"/>
                <w:bCs/>
                <w:snapToGrid w:val="0"/>
                <w:sz w:val="22"/>
                <w:szCs w:val="22"/>
                <w:lang w:val="en-US" w:eastAsia="zh-CN"/>
              </w:rPr>
              <w:t>（30分）</w:t>
            </w:r>
          </w:p>
        </w:tc>
        <w:tc>
          <w:tcPr>
            <w:tcW w:w="5019" w:type="dxa"/>
            <w:vAlign w:val="center"/>
          </w:tcPr>
          <w:p>
            <w:pPr>
              <w:kinsoku w:val="0"/>
              <w:overflowPunct w:val="0"/>
              <w:autoSpaceDE w:val="0"/>
              <w:autoSpaceDN w:val="0"/>
              <w:snapToGrid w:val="0"/>
              <w:spacing w:line="600" w:lineRule="exact"/>
              <w:jc w:val="center"/>
              <w:rPr>
                <w:rFonts w:hint="eastAsia" w:ascii="宋体" w:hAnsi="宋体" w:cs="宋体"/>
                <w:bCs/>
                <w:snapToGrid w:val="0"/>
                <w:sz w:val="22"/>
                <w:szCs w:val="22"/>
              </w:rPr>
            </w:pPr>
            <w:r>
              <w:rPr>
                <w:rFonts w:hint="eastAsia" w:ascii="宋体" w:hAnsi="宋体" w:cs="宋体"/>
                <w:bCs/>
                <w:snapToGrid w:val="0"/>
                <w:sz w:val="22"/>
                <w:szCs w:val="22"/>
              </w:rPr>
              <w:t>提供近3年内（20</w:t>
            </w:r>
            <w:r>
              <w:rPr>
                <w:rFonts w:hint="eastAsia" w:ascii="宋体" w:hAnsi="宋体" w:cs="宋体"/>
                <w:bCs/>
                <w:snapToGrid w:val="0"/>
                <w:sz w:val="22"/>
                <w:szCs w:val="22"/>
                <w:lang w:val="en-US" w:eastAsia="zh-CN"/>
              </w:rPr>
              <w:t>20</w:t>
            </w:r>
            <w:r>
              <w:rPr>
                <w:rFonts w:hint="eastAsia" w:ascii="宋体" w:hAnsi="宋体" w:cs="宋体"/>
                <w:bCs/>
                <w:snapToGrid w:val="0"/>
                <w:sz w:val="22"/>
                <w:szCs w:val="22"/>
              </w:rPr>
              <w:t>年以来）外包项目的服务经验相关合同复印件，每提供1个案例，且合同关键页复印件齐全，得5分，此项满分</w:t>
            </w:r>
            <w:r>
              <w:rPr>
                <w:rFonts w:hint="eastAsia" w:ascii="宋体" w:hAnsi="宋体" w:cs="宋体"/>
                <w:bCs/>
                <w:snapToGrid w:val="0"/>
                <w:sz w:val="22"/>
                <w:szCs w:val="22"/>
                <w:lang w:val="en-US" w:eastAsia="zh-CN"/>
              </w:rPr>
              <w:t>3</w:t>
            </w:r>
            <w:r>
              <w:rPr>
                <w:rFonts w:hint="eastAsia" w:ascii="宋体" w:hAnsi="宋体" w:cs="宋体"/>
                <w:bCs/>
                <w:snapToGrid w:val="0"/>
                <w:sz w:val="22"/>
                <w:szCs w:val="22"/>
              </w:rPr>
              <w:t>0分。如缺少合同关键页复印件，则视为案例无效。</w:t>
            </w:r>
          </w:p>
        </w:tc>
        <w:tc>
          <w:tcPr>
            <w:tcW w:w="1380" w:type="dxa"/>
            <w:vAlign w:val="center"/>
          </w:tcPr>
          <w:p>
            <w:pPr>
              <w:kinsoku w:val="0"/>
              <w:overflowPunct w:val="0"/>
              <w:autoSpaceDE w:val="0"/>
              <w:autoSpaceDN w:val="0"/>
              <w:snapToGrid w:val="0"/>
              <w:spacing w:line="600" w:lineRule="exact"/>
              <w:jc w:val="center"/>
              <w:rPr>
                <w:rFonts w:ascii="宋体" w:hAnsi="宋体" w:cs="宋体"/>
                <w:bCs/>
                <w:snapToGrid w:val="0"/>
                <w:sz w:val="22"/>
                <w:szCs w:val="22"/>
              </w:rPr>
            </w:pPr>
            <w:r>
              <w:rPr>
                <w:rFonts w:hint="eastAsia" w:ascii="宋体" w:hAnsi="宋体" w:cs="宋体"/>
                <w:bCs/>
                <w:snapToGrid w:val="0"/>
                <w:sz w:val="22"/>
                <w:szCs w:val="22"/>
              </w:rPr>
              <w:t>合同或协议复印件</w:t>
            </w:r>
          </w:p>
        </w:tc>
        <w:tc>
          <w:tcPr>
            <w:tcW w:w="1007"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lang w:val="en-US" w:eastAsia="zh-CN"/>
              </w:rPr>
              <w:t>3</w:t>
            </w:r>
            <w:r>
              <w:rPr>
                <w:rFonts w:hint="eastAsia" w:hAnsi="宋体"/>
                <w:b w:val="0"/>
                <w:snapToGrid w:val="0"/>
                <w:sz w:val="22"/>
                <w:szCs w:val="22"/>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22"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2</w:t>
            </w:r>
          </w:p>
        </w:tc>
        <w:tc>
          <w:tcPr>
            <w:tcW w:w="1359" w:type="dxa"/>
            <w:vAlign w:val="center"/>
          </w:tcPr>
          <w:p>
            <w:pPr>
              <w:kinsoku w:val="0"/>
              <w:overflowPunct w:val="0"/>
              <w:autoSpaceDE w:val="0"/>
              <w:autoSpaceDN w:val="0"/>
              <w:snapToGrid w:val="0"/>
              <w:spacing w:line="600" w:lineRule="exact"/>
              <w:jc w:val="center"/>
              <w:rPr>
                <w:rFonts w:ascii="宋体" w:hAnsi="宋体" w:cs="宋体"/>
                <w:bCs/>
                <w:snapToGrid w:val="0"/>
                <w:sz w:val="22"/>
                <w:szCs w:val="22"/>
              </w:rPr>
            </w:pPr>
            <w:r>
              <w:rPr>
                <w:rFonts w:hint="eastAsia" w:ascii="宋体" w:hAnsi="宋体" w:cs="宋体"/>
                <w:bCs/>
                <w:snapToGrid w:val="0"/>
                <w:sz w:val="22"/>
                <w:szCs w:val="22"/>
              </w:rPr>
              <w:t>价格</w:t>
            </w:r>
          </w:p>
          <w:p>
            <w:pPr>
              <w:kinsoku w:val="0"/>
              <w:overflowPunct w:val="0"/>
              <w:autoSpaceDE w:val="0"/>
              <w:autoSpaceDN w:val="0"/>
              <w:snapToGrid w:val="0"/>
              <w:spacing w:line="600" w:lineRule="exact"/>
              <w:jc w:val="center"/>
              <w:rPr>
                <w:rFonts w:ascii="宋体" w:hAnsi="宋体" w:cs="宋体"/>
                <w:bCs/>
                <w:snapToGrid w:val="0"/>
                <w:sz w:val="22"/>
                <w:szCs w:val="22"/>
              </w:rPr>
            </w:pPr>
            <w:r>
              <w:rPr>
                <w:rFonts w:hint="eastAsia" w:ascii="宋体" w:hAnsi="宋体" w:cs="宋体"/>
                <w:bCs/>
                <w:snapToGrid w:val="0"/>
                <w:sz w:val="22"/>
                <w:szCs w:val="22"/>
              </w:rPr>
              <w:t>（</w:t>
            </w:r>
            <w:r>
              <w:rPr>
                <w:rFonts w:hint="eastAsia" w:ascii="宋体" w:hAnsi="宋体" w:cs="宋体"/>
                <w:bCs/>
                <w:snapToGrid w:val="0"/>
                <w:sz w:val="22"/>
                <w:szCs w:val="22"/>
                <w:lang w:val="en-US" w:eastAsia="zh-CN"/>
              </w:rPr>
              <w:t>2</w:t>
            </w:r>
            <w:r>
              <w:rPr>
                <w:rFonts w:hint="eastAsia" w:ascii="宋体" w:hAnsi="宋体" w:cs="宋体"/>
                <w:bCs/>
                <w:snapToGrid w:val="0"/>
                <w:sz w:val="22"/>
                <w:szCs w:val="22"/>
              </w:rPr>
              <w:t>0分）</w:t>
            </w:r>
          </w:p>
        </w:tc>
        <w:tc>
          <w:tcPr>
            <w:tcW w:w="5019" w:type="dxa"/>
            <w:vAlign w:val="center"/>
          </w:tcPr>
          <w:p>
            <w:pPr>
              <w:kinsoku w:val="0"/>
              <w:overflowPunct w:val="0"/>
              <w:autoSpaceDE w:val="0"/>
              <w:autoSpaceDN w:val="0"/>
              <w:snapToGrid w:val="0"/>
              <w:spacing w:line="600" w:lineRule="exact"/>
              <w:rPr>
                <w:rFonts w:ascii="宋体" w:hAnsi="宋体" w:cs="宋体"/>
                <w:bCs/>
                <w:snapToGrid w:val="0"/>
                <w:sz w:val="22"/>
                <w:szCs w:val="22"/>
              </w:rPr>
            </w:pPr>
            <w:r>
              <w:rPr>
                <w:rFonts w:hint="eastAsia" w:ascii="宋体" w:hAnsi="宋体" w:cs="宋体"/>
                <w:bCs/>
                <w:snapToGrid w:val="0"/>
                <w:sz w:val="22"/>
                <w:szCs w:val="22"/>
              </w:rPr>
              <w:t>按业务服务价格从低到高排列，按照排列依次递减</w:t>
            </w:r>
            <w:r>
              <w:rPr>
                <w:rFonts w:hint="eastAsia" w:ascii="宋体" w:hAnsi="宋体" w:cs="宋体"/>
                <w:bCs/>
                <w:snapToGrid w:val="0"/>
                <w:sz w:val="22"/>
                <w:szCs w:val="22"/>
                <w:lang w:val="en-US" w:eastAsia="zh-CN"/>
              </w:rPr>
              <w:t>4</w:t>
            </w:r>
            <w:r>
              <w:rPr>
                <w:rFonts w:hint="eastAsia" w:ascii="宋体" w:hAnsi="宋体" w:cs="宋体"/>
                <w:bCs/>
                <w:snapToGrid w:val="0"/>
                <w:sz w:val="22"/>
                <w:szCs w:val="22"/>
              </w:rPr>
              <w:t>分。</w:t>
            </w:r>
          </w:p>
        </w:tc>
        <w:tc>
          <w:tcPr>
            <w:tcW w:w="1380"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报价</w:t>
            </w:r>
          </w:p>
        </w:tc>
        <w:tc>
          <w:tcPr>
            <w:tcW w:w="1007"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lang w:val="en-US" w:eastAsia="zh-CN"/>
              </w:rPr>
              <w:t>2</w:t>
            </w:r>
            <w:r>
              <w:rPr>
                <w:rFonts w:hint="eastAsia" w:hAnsi="宋体"/>
                <w:b w:val="0"/>
                <w:snapToGrid w:val="0"/>
                <w:sz w:val="22"/>
                <w:szCs w:val="22"/>
              </w:rPr>
              <w:t>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22" w:type="dxa"/>
            <w:vMerge w:val="restart"/>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3</w:t>
            </w:r>
          </w:p>
        </w:tc>
        <w:tc>
          <w:tcPr>
            <w:tcW w:w="1359" w:type="dxa"/>
            <w:vMerge w:val="restart"/>
            <w:vAlign w:val="center"/>
          </w:tcPr>
          <w:p>
            <w:pPr>
              <w:kinsoku w:val="0"/>
              <w:overflowPunct w:val="0"/>
              <w:autoSpaceDE w:val="0"/>
              <w:autoSpaceDN w:val="0"/>
              <w:snapToGrid w:val="0"/>
              <w:spacing w:line="600" w:lineRule="exact"/>
              <w:jc w:val="center"/>
              <w:rPr>
                <w:rFonts w:hint="eastAsia" w:ascii="宋体" w:hAnsi="宋体" w:eastAsia="宋体" w:cs="宋体"/>
                <w:bCs/>
                <w:snapToGrid w:val="0"/>
                <w:sz w:val="22"/>
                <w:szCs w:val="22"/>
                <w:lang w:eastAsia="zh-CN"/>
              </w:rPr>
            </w:pPr>
            <w:r>
              <w:rPr>
                <w:rFonts w:hint="eastAsia" w:ascii="宋体" w:hAnsi="宋体" w:cs="宋体"/>
                <w:bCs/>
                <w:snapToGrid w:val="0"/>
                <w:sz w:val="22"/>
                <w:szCs w:val="22"/>
              </w:rPr>
              <w:t>服务</w:t>
            </w:r>
            <w:r>
              <w:rPr>
                <w:rFonts w:hint="eastAsia" w:ascii="宋体" w:hAnsi="宋体" w:cs="宋体"/>
                <w:bCs/>
                <w:snapToGrid w:val="0"/>
                <w:sz w:val="22"/>
                <w:szCs w:val="22"/>
                <w:lang w:val="en-US" w:eastAsia="zh-CN"/>
              </w:rPr>
              <w:t>方案</w:t>
            </w:r>
          </w:p>
          <w:p>
            <w:pPr>
              <w:kinsoku w:val="0"/>
              <w:overflowPunct w:val="0"/>
              <w:autoSpaceDE w:val="0"/>
              <w:autoSpaceDN w:val="0"/>
              <w:snapToGrid w:val="0"/>
              <w:spacing w:line="600" w:lineRule="exact"/>
              <w:jc w:val="center"/>
              <w:rPr>
                <w:rFonts w:ascii="宋体" w:hAnsi="宋体" w:cs="宋体"/>
                <w:bCs/>
                <w:snapToGrid w:val="0"/>
                <w:sz w:val="22"/>
                <w:szCs w:val="22"/>
              </w:rPr>
            </w:pPr>
            <w:r>
              <w:rPr>
                <w:rFonts w:hint="eastAsia" w:ascii="宋体" w:hAnsi="宋体" w:cs="宋体"/>
                <w:bCs/>
                <w:snapToGrid w:val="0"/>
                <w:sz w:val="22"/>
                <w:szCs w:val="22"/>
              </w:rPr>
              <w:t>（30分）</w:t>
            </w:r>
          </w:p>
        </w:tc>
        <w:tc>
          <w:tcPr>
            <w:tcW w:w="5019" w:type="dxa"/>
            <w:vAlign w:val="center"/>
          </w:tcPr>
          <w:p>
            <w:pPr>
              <w:kinsoku w:val="0"/>
              <w:overflowPunct w:val="0"/>
              <w:autoSpaceDE w:val="0"/>
              <w:autoSpaceDN w:val="0"/>
              <w:snapToGrid w:val="0"/>
              <w:spacing w:line="600" w:lineRule="exact"/>
              <w:rPr>
                <w:rFonts w:ascii="宋体" w:hAnsi="宋体" w:cs="宋体"/>
                <w:bCs/>
                <w:snapToGrid w:val="0"/>
                <w:sz w:val="22"/>
                <w:szCs w:val="22"/>
              </w:rPr>
            </w:pPr>
            <w:r>
              <w:rPr>
                <w:rFonts w:hint="eastAsia" w:ascii="宋体" w:hAnsi="宋体" w:cs="宋体"/>
                <w:bCs/>
                <w:snapToGrid w:val="0"/>
                <w:sz w:val="22"/>
                <w:szCs w:val="22"/>
              </w:rPr>
              <w:t>服务需求快速响应。2小时内10分，24小时-36小时5分，36小时以上0分。</w:t>
            </w:r>
          </w:p>
        </w:tc>
        <w:tc>
          <w:tcPr>
            <w:tcW w:w="1380"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方案</w:t>
            </w:r>
          </w:p>
        </w:tc>
        <w:tc>
          <w:tcPr>
            <w:tcW w:w="1007"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22" w:type="dxa"/>
            <w:vMerge w:val="continue"/>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p>
        </w:tc>
        <w:tc>
          <w:tcPr>
            <w:tcW w:w="1359" w:type="dxa"/>
            <w:vMerge w:val="continue"/>
            <w:vAlign w:val="center"/>
          </w:tcPr>
          <w:p>
            <w:pPr>
              <w:kinsoku w:val="0"/>
              <w:overflowPunct w:val="0"/>
              <w:autoSpaceDE w:val="0"/>
              <w:autoSpaceDN w:val="0"/>
              <w:snapToGrid w:val="0"/>
              <w:spacing w:line="600" w:lineRule="exact"/>
              <w:jc w:val="center"/>
              <w:rPr>
                <w:rFonts w:ascii="宋体" w:hAnsi="宋体" w:cs="宋体"/>
                <w:bCs/>
                <w:snapToGrid w:val="0"/>
                <w:sz w:val="22"/>
                <w:szCs w:val="22"/>
              </w:rPr>
            </w:pPr>
          </w:p>
        </w:tc>
        <w:tc>
          <w:tcPr>
            <w:tcW w:w="5019" w:type="dxa"/>
            <w:vAlign w:val="center"/>
          </w:tcPr>
          <w:p>
            <w:pPr>
              <w:kinsoku w:val="0"/>
              <w:overflowPunct w:val="0"/>
              <w:autoSpaceDE w:val="0"/>
              <w:autoSpaceDN w:val="0"/>
              <w:snapToGrid w:val="0"/>
              <w:spacing w:line="600" w:lineRule="exact"/>
              <w:rPr>
                <w:rFonts w:ascii="宋体" w:hAnsi="宋体" w:cs="宋体"/>
                <w:bCs/>
                <w:snapToGrid w:val="0"/>
                <w:sz w:val="22"/>
                <w:szCs w:val="22"/>
              </w:rPr>
            </w:pPr>
            <w:r>
              <w:rPr>
                <w:rFonts w:hint="eastAsia" w:ascii="宋体" w:hAnsi="宋体" w:cs="宋体"/>
                <w:bCs/>
                <w:snapToGrid w:val="0"/>
                <w:sz w:val="22"/>
                <w:szCs w:val="22"/>
              </w:rPr>
              <w:t>服务方案内容是否详细、具体、可行，提供服务方案的多样性，0~20分。</w:t>
            </w:r>
          </w:p>
        </w:tc>
        <w:tc>
          <w:tcPr>
            <w:tcW w:w="1380"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方案</w:t>
            </w:r>
          </w:p>
        </w:tc>
        <w:tc>
          <w:tcPr>
            <w:tcW w:w="1007" w:type="dxa"/>
            <w:vAlign w:val="center"/>
          </w:tcPr>
          <w:p>
            <w:pPr>
              <w:pStyle w:val="42"/>
              <w:kinsoku w:val="0"/>
              <w:overflowPunct w:val="0"/>
              <w:autoSpaceDE w:val="0"/>
              <w:autoSpaceDN w:val="0"/>
              <w:snapToGrid w:val="0"/>
              <w:spacing w:before="0" w:after="0" w:line="600" w:lineRule="exact"/>
              <w:jc w:val="center"/>
              <w:textAlignment w:val="bottom"/>
              <w:rPr>
                <w:rFonts w:hAnsi="宋体"/>
                <w:b w:val="0"/>
                <w:snapToGrid w:val="0"/>
                <w:sz w:val="22"/>
                <w:szCs w:val="22"/>
              </w:rPr>
            </w:pPr>
            <w:r>
              <w:rPr>
                <w:rFonts w:hint="eastAsia" w:hAnsi="宋体"/>
                <w:b w:val="0"/>
                <w:snapToGrid w:val="0"/>
                <w:sz w:val="22"/>
                <w:szCs w:val="22"/>
              </w:rPr>
              <w:t>20分</w:t>
            </w:r>
          </w:p>
        </w:tc>
      </w:tr>
    </w:tbl>
    <w:p>
      <w:pPr>
        <w:autoSpaceDE w:val="0"/>
        <w:autoSpaceDN w:val="0"/>
        <w:adjustRightInd w:val="0"/>
        <w:spacing w:line="600" w:lineRule="exact"/>
        <w:ind w:firstLine="400" w:firstLineChars="200"/>
        <w:rPr>
          <w:rFonts w:ascii="宋体" w:hAnsi="宋体"/>
          <w:kern w:val="0"/>
          <w:sz w:val="20"/>
        </w:rPr>
      </w:pPr>
      <w:r>
        <w:rPr>
          <w:rFonts w:hint="eastAsia" w:ascii="宋体" w:hAnsi="宋体"/>
          <w:kern w:val="0"/>
          <w:sz w:val="20"/>
        </w:rPr>
        <w:t>（1）综合评分=资质与业绩评分+价格评分+服务内容评分；</w:t>
      </w:r>
    </w:p>
    <w:p>
      <w:pPr>
        <w:autoSpaceDE w:val="0"/>
        <w:autoSpaceDN w:val="0"/>
        <w:adjustRightInd w:val="0"/>
        <w:spacing w:line="600" w:lineRule="exact"/>
        <w:ind w:firstLine="400" w:firstLineChars="200"/>
        <w:rPr>
          <w:rFonts w:ascii="宋体" w:hAnsi="宋体"/>
          <w:kern w:val="0"/>
          <w:sz w:val="20"/>
        </w:rPr>
      </w:pPr>
      <w:r>
        <w:rPr>
          <w:rFonts w:hint="eastAsia" w:ascii="宋体" w:hAnsi="宋体"/>
          <w:kern w:val="0"/>
          <w:sz w:val="20"/>
        </w:rPr>
        <w:t>（2）分项得分按四舍五入原则精确到小数点后一位，综合评分四舍五入取整数位。</w:t>
      </w:r>
    </w:p>
    <w:p>
      <w:pPr>
        <w:autoSpaceDE w:val="0"/>
        <w:autoSpaceDN w:val="0"/>
        <w:adjustRightInd w:val="0"/>
        <w:spacing w:line="600" w:lineRule="exact"/>
        <w:ind w:firstLine="400" w:firstLineChars="200"/>
        <w:rPr>
          <w:rFonts w:ascii="宋体" w:hAnsi="宋体"/>
          <w:kern w:val="0"/>
          <w:sz w:val="20"/>
        </w:rPr>
      </w:pPr>
      <w:r>
        <w:rPr>
          <w:rFonts w:hint="eastAsia" w:ascii="宋体" w:hAnsi="宋体"/>
          <w:kern w:val="0"/>
          <w:sz w:val="20"/>
        </w:rPr>
        <w:t>4.推荐通过中选候选人</w:t>
      </w:r>
    </w:p>
    <w:p>
      <w:pPr>
        <w:autoSpaceDE w:val="0"/>
        <w:autoSpaceDN w:val="0"/>
        <w:adjustRightInd w:val="0"/>
        <w:spacing w:line="600" w:lineRule="exact"/>
        <w:ind w:firstLine="400" w:firstLineChars="200"/>
        <w:rPr>
          <w:rFonts w:ascii="宋体" w:hAnsi="宋体"/>
          <w:kern w:val="0"/>
          <w:sz w:val="20"/>
          <w:lang w:val="zh-CN"/>
        </w:rPr>
      </w:pPr>
      <w:r>
        <w:rPr>
          <w:rFonts w:hint="eastAsia" w:ascii="宋体" w:hAnsi="宋体"/>
          <w:kern w:val="0"/>
          <w:sz w:val="20"/>
        </w:rPr>
        <w:t>评审组根据评分统计结果按综合得分从高到低排序，</w:t>
      </w:r>
      <w:r>
        <w:rPr>
          <w:rFonts w:hint="eastAsia" w:ascii="宋体" w:hAnsi="宋体"/>
          <w:kern w:val="0"/>
          <w:sz w:val="20"/>
          <w:lang w:val="zh-CN"/>
        </w:rPr>
        <w:t>综合评分相同的，按</w:t>
      </w:r>
      <w:r>
        <w:rPr>
          <w:rFonts w:hint="eastAsia" w:ascii="宋体" w:hAnsi="宋体"/>
          <w:kern w:val="0"/>
          <w:sz w:val="20"/>
        </w:rPr>
        <w:t>资质与业绩</w:t>
      </w:r>
      <w:r>
        <w:rPr>
          <w:rFonts w:hint="eastAsia" w:ascii="宋体" w:hAnsi="宋体"/>
          <w:kern w:val="0"/>
          <w:sz w:val="20"/>
          <w:lang w:val="zh-CN"/>
        </w:rPr>
        <w:t>评分由高到低顺序排列；综合评分相同，且</w:t>
      </w:r>
      <w:r>
        <w:rPr>
          <w:rFonts w:hint="eastAsia" w:ascii="宋体" w:hAnsi="宋体"/>
          <w:kern w:val="0"/>
          <w:sz w:val="20"/>
        </w:rPr>
        <w:t>资质与业绩</w:t>
      </w:r>
      <w:r>
        <w:rPr>
          <w:rFonts w:hint="eastAsia" w:ascii="宋体" w:hAnsi="宋体"/>
          <w:kern w:val="0"/>
          <w:sz w:val="20"/>
          <w:lang w:val="zh-CN"/>
        </w:rPr>
        <w:t>评分相同的，按</w:t>
      </w:r>
      <w:r>
        <w:rPr>
          <w:rFonts w:hint="eastAsia" w:ascii="宋体" w:hAnsi="宋体"/>
          <w:kern w:val="0"/>
          <w:sz w:val="20"/>
        </w:rPr>
        <w:t>价格</w:t>
      </w:r>
      <w:r>
        <w:rPr>
          <w:rFonts w:hint="eastAsia" w:ascii="宋体" w:hAnsi="宋体"/>
          <w:kern w:val="0"/>
          <w:sz w:val="20"/>
          <w:lang w:val="zh-CN"/>
        </w:rPr>
        <w:t>评分由高到低顺序排列；综合评分相同，且</w:t>
      </w:r>
      <w:r>
        <w:rPr>
          <w:rFonts w:hint="eastAsia" w:ascii="宋体" w:hAnsi="宋体"/>
          <w:kern w:val="0"/>
          <w:sz w:val="20"/>
        </w:rPr>
        <w:t>资质与业绩</w:t>
      </w:r>
      <w:r>
        <w:rPr>
          <w:rFonts w:hint="eastAsia" w:ascii="宋体" w:hAnsi="宋体"/>
          <w:kern w:val="0"/>
          <w:sz w:val="20"/>
          <w:lang w:val="zh-CN"/>
        </w:rPr>
        <w:t>评分、</w:t>
      </w:r>
      <w:r>
        <w:rPr>
          <w:rFonts w:hint="eastAsia" w:ascii="宋体" w:hAnsi="宋体"/>
          <w:kern w:val="0"/>
          <w:sz w:val="20"/>
        </w:rPr>
        <w:t>价格</w:t>
      </w:r>
      <w:r>
        <w:rPr>
          <w:rFonts w:hint="eastAsia" w:ascii="宋体" w:hAnsi="宋体"/>
          <w:kern w:val="0"/>
          <w:sz w:val="20"/>
          <w:lang w:val="zh-CN"/>
        </w:rPr>
        <w:t>评分均相同的，按</w:t>
      </w:r>
      <w:r>
        <w:rPr>
          <w:rFonts w:hint="eastAsia" w:ascii="宋体" w:hAnsi="宋体"/>
          <w:kern w:val="0"/>
          <w:sz w:val="20"/>
        </w:rPr>
        <w:t>服务</w:t>
      </w:r>
      <w:r>
        <w:rPr>
          <w:rFonts w:hint="eastAsia" w:ascii="宋体" w:hAnsi="宋体"/>
          <w:kern w:val="0"/>
          <w:sz w:val="20"/>
          <w:lang w:val="zh-CN"/>
        </w:rPr>
        <w:t>评分由高到低顺序排列；综合评分相同，且</w:t>
      </w:r>
      <w:r>
        <w:rPr>
          <w:rFonts w:hint="eastAsia" w:ascii="宋体" w:hAnsi="宋体"/>
          <w:kern w:val="0"/>
          <w:sz w:val="20"/>
        </w:rPr>
        <w:t>资质与业绩</w:t>
      </w:r>
      <w:r>
        <w:rPr>
          <w:rFonts w:hint="eastAsia" w:ascii="宋体" w:hAnsi="宋体"/>
          <w:kern w:val="0"/>
          <w:sz w:val="20"/>
          <w:lang w:val="zh-CN"/>
        </w:rPr>
        <w:t>评分、</w:t>
      </w:r>
      <w:r>
        <w:rPr>
          <w:rFonts w:hint="eastAsia" w:ascii="宋体" w:hAnsi="宋体"/>
          <w:kern w:val="0"/>
          <w:sz w:val="20"/>
        </w:rPr>
        <w:t>价格</w:t>
      </w:r>
      <w:r>
        <w:rPr>
          <w:rFonts w:hint="eastAsia" w:ascii="宋体" w:hAnsi="宋体"/>
          <w:kern w:val="0"/>
          <w:sz w:val="20"/>
          <w:lang w:val="zh-CN"/>
        </w:rPr>
        <w:t>评分、</w:t>
      </w:r>
      <w:r>
        <w:rPr>
          <w:rFonts w:hint="eastAsia" w:ascii="宋体" w:hAnsi="宋体"/>
          <w:kern w:val="0"/>
          <w:sz w:val="20"/>
        </w:rPr>
        <w:t>服务评分</w:t>
      </w:r>
      <w:r>
        <w:rPr>
          <w:rFonts w:hint="eastAsia" w:ascii="宋体" w:hAnsi="宋体"/>
          <w:kern w:val="0"/>
          <w:sz w:val="20"/>
          <w:lang w:val="zh-CN"/>
        </w:rPr>
        <w:t>均相同名次由评审组抽签决定，评审组按上述排列顺序向比选人推荐中选候选人。</w:t>
      </w:r>
    </w:p>
    <w:p>
      <w:pPr>
        <w:pStyle w:val="3"/>
        <w:keepNext w:val="0"/>
        <w:keepLines w:val="0"/>
        <w:jc w:val="center"/>
        <w:rPr>
          <w:rFonts w:ascii="宋体" w:hAnsi="宋体" w:cs="宋体"/>
          <w:sz w:val="28"/>
          <w:szCs w:val="28"/>
          <w:lang w:val="zh-CN"/>
        </w:rPr>
      </w:pPr>
      <w:r>
        <w:rPr>
          <w:rFonts w:hint="eastAsia" w:ascii="宋体" w:hAnsi="宋体"/>
          <w:kern w:val="0"/>
          <w:sz w:val="24"/>
          <w:szCs w:val="40"/>
          <w:lang w:val="zh-CN"/>
        </w:rPr>
        <w:br w:type="page"/>
      </w:r>
      <w:r>
        <w:rPr>
          <w:rFonts w:hint="eastAsia" w:ascii="宋体" w:hAnsi="宋体" w:cs="宋体"/>
          <w:sz w:val="28"/>
          <w:szCs w:val="28"/>
        </w:rPr>
        <w:t xml:space="preserve">第五章  </w:t>
      </w:r>
      <w:r>
        <w:rPr>
          <w:rFonts w:hint="eastAsia" w:ascii="宋体" w:hAnsi="宋体" w:cs="宋体"/>
          <w:sz w:val="28"/>
          <w:szCs w:val="28"/>
          <w:lang w:val="zh-CN"/>
        </w:rPr>
        <w:t>比选响应文件</w:t>
      </w:r>
    </w:p>
    <w:p>
      <w:pPr>
        <w:spacing w:line="600" w:lineRule="exact"/>
        <w:ind w:firstLine="400" w:firstLineChars="200"/>
        <w:rPr>
          <w:rFonts w:ascii="宋体" w:hAnsi="宋体"/>
          <w:sz w:val="20"/>
        </w:rPr>
      </w:pPr>
      <w:r>
        <w:rPr>
          <w:rFonts w:hint="eastAsia" w:ascii="宋体" w:hAnsi="宋体"/>
          <w:sz w:val="20"/>
        </w:rPr>
        <w:t>1、比选响应单位在编制比选响应文件时必须使用本章所附格式并符合有关要求；本章未规定格式的，由比选响应单位根据实际情况自主编制。</w:t>
      </w:r>
    </w:p>
    <w:p>
      <w:pPr>
        <w:spacing w:line="600" w:lineRule="exact"/>
        <w:ind w:firstLine="400" w:firstLineChars="200"/>
        <w:rPr>
          <w:rFonts w:ascii="宋体" w:hAnsi="宋体"/>
          <w:sz w:val="20"/>
        </w:rPr>
      </w:pPr>
      <w:r>
        <w:rPr>
          <w:rFonts w:hint="eastAsia" w:ascii="宋体" w:hAnsi="宋体"/>
          <w:sz w:val="20"/>
        </w:rPr>
        <w:t>2、比选响应单位应按本章所附格式的先后顺序编制比选响应文件。</w:t>
      </w:r>
    </w:p>
    <w:p>
      <w:pPr>
        <w:spacing w:line="600" w:lineRule="exact"/>
        <w:ind w:firstLine="400" w:firstLineChars="200"/>
        <w:rPr>
          <w:rFonts w:ascii="宋体" w:hAnsi="宋体"/>
          <w:sz w:val="20"/>
        </w:rPr>
      </w:pPr>
      <w:r>
        <w:rPr>
          <w:rFonts w:hint="eastAsia" w:ascii="宋体" w:hAnsi="宋体"/>
          <w:sz w:val="20"/>
        </w:rPr>
        <w:t>3、比选响应文件应在比选响应文件封面和《法定代表人授权书》中的“比选响应单位”一栏填上比选响应单位的全称并在名称上加盖比选响应单位公章。</w:t>
      </w:r>
    </w:p>
    <w:p>
      <w:pPr>
        <w:spacing w:line="600" w:lineRule="exact"/>
        <w:ind w:firstLine="400" w:firstLineChars="200"/>
        <w:rPr>
          <w:rFonts w:ascii="宋体" w:hAnsi="宋体"/>
          <w:sz w:val="20"/>
        </w:rPr>
      </w:pPr>
      <w:r>
        <w:rPr>
          <w:rFonts w:hint="eastAsia" w:ascii="宋体" w:hAnsi="宋体"/>
          <w:sz w:val="20"/>
        </w:rPr>
        <w:t>4、比选响应文件中的表格或空格如填写不下，可编辑扩展或另附页。除形式外，比选响应单位不得改变其内容要求。本章所附格式，比选响应单位为编制比选响应文件可以进行复印或编辑。</w:t>
      </w:r>
    </w:p>
    <w:p>
      <w:pPr>
        <w:spacing w:line="600" w:lineRule="exact"/>
        <w:ind w:firstLine="400" w:firstLineChars="200"/>
        <w:rPr>
          <w:rFonts w:ascii="宋体" w:hAnsi="宋体"/>
          <w:sz w:val="20"/>
        </w:rPr>
      </w:pPr>
      <w:r>
        <w:rPr>
          <w:rFonts w:hint="eastAsia" w:ascii="宋体" w:hAnsi="宋体"/>
          <w:sz w:val="20"/>
        </w:rPr>
        <w:t>5、比选响应单位应按照比选响应文件格式的要求编制比选响应文件。比选响应文件密封后按规定的时间和地点提交。</w:t>
      </w:r>
    </w:p>
    <w:p>
      <w:pPr>
        <w:spacing w:line="600" w:lineRule="exact"/>
        <w:ind w:firstLine="400" w:firstLineChars="200"/>
        <w:rPr>
          <w:rFonts w:ascii="宋体" w:hAnsi="宋体"/>
          <w:sz w:val="20"/>
        </w:rPr>
      </w:pPr>
      <w:r>
        <w:rPr>
          <w:rFonts w:hint="eastAsia" w:ascii="宋体" w:hAnsi="宋体"/>
          <w:sz w:val="20"/>
        </w:rPr>
        <w:t>6、比选响应文件各组成部分和评分表评分依据中述及的文件复印件应加盖比选响应单位公章，一同封入比选响应文件中。</w:t>
      </w:r>
    </w:p>
    <w:p>
      <w:pPr>
        <w:numPr>
          <w:ilvl w:val="0"/>
          <w:numId w:val="8"/>
        </w:numPr>
        <w:spacing w:line="600" w:lineRule="exact"/>
        <w:ind w:firstLine="400" w:firstLineChars="200"/>
        <w:rPr>
          <w:rFonts w:ascii="宋体" w:hAnsi="宋体"/>
          <w:sz w:val="20"/>
        </w:rPr>
      </w:pPr>
      <w:r>
        <w:rPr>
          <w:rFonts w:hint="eastAsia" w:ascii="宋体" w:hAnsi="宋体"/>
          <w:sz w:val="20"/>
        </w:rPr>
        <w:t>比选响应文件须包括资质证明文件、业绩情况及证明文件、收费标准及收费依据等竞争性文件。</w:t>
      </w:r>
    </w:p>
    <w:p>
      <w:pPr>
        <w:spacing w:line="360" w:lineRule="auto"/>
        <w:rPr>
          <w:rFonts w:ascii="宋体" w:hAnsi="宋体"/>
          <w:b/>
          <w:sz w:val="24"/>
          <w:szCs w:val="18"/>
        </w:rPr>
      </w:pPr>
      <w:r>
        <w:rPr>
          <w:rFonts w:ascii="宋体" w:hAnsi="宋体"/>
          <w:b/>
          <w:sz w:val="24"/>
          <w:szCs w:val="18"/>
        </w:rPr>
        <w:br w:type="page"/>
      </w:r>
      <w:r>
        <w:rPr>
          <w:rFonts w:hint="eastAsia" w:ascii="宋体" w:hAnsi="宋体"/>
          <w:b/>
          <w:sz w:val="24"/>
          <w:szCs w:val="18"/>
        </w:rPr>
        <w:t>（1）比选响应文件封面</w:t>
      </w:r>
    </w:p>
    <w:p>
      <w:pPr>
        <w:spacing w:line="360" w:lineRule="auto"/>
        <w:jc w:val="right"/>
        <w:rPr>
          <w:rFonts w:ascii="宋体" w:hAnsi="宋体"/>
          <w:sz w:val="24"/>
          <w:szCs w:val="18"/>
        </w:rPr>
      </w:pPr>
      <w:r>
        <w:rPr>
          <w:rFonts w:hint="eastAsia" w:ascii="宋体" w:hAnsi="宋体"/>
          <w:sz w:val="24"/>
          <w:szCs w:val="18"/>
        </w:rPr>
        <w:t>正本（或副本）</w:t>
      </w:r>
    </w:p>
    <w:p>
      <w:pPr>
        <w:spacing w:line="360" w:lineRule="auto"/>
        <w:rPr>
          <w:rFonts w:ascii="宋体" w:hAnsi="宋体"/>
          <w:b/>
          <w:sz w:val="28"/>
          <w:szCs w:val="28"/>
        </w:rPr>
      </w:pPr>
    </w:p>
    <w:p>
      <w:pPr>
        <w:snapToGrid w:val="0"/>
        <w:spacing w:line="480" w:lineRule="exact"/>
        <w:jc w:val="center"/>
        <w:rPr>
          <w:rFonts w:ascii="方正大标宋简体" w:hAnsi="宋体" w:eastAsia="方正大标宋简体"/>
          <w:b/>
          <w:kern w:val="0"/>
          <w:sz w:val="44"/>
          <w:szCs w:val="18"/>
          <w:lang w:val="zh-CN"/>
        </w:rPr>
      </w:pPr>
    </w:p>
    <w:p>
      <w:pPr>
        <w:tabs>
          <w:tab w:val="left" w:pos="7815"/>
        </w:tabs>
        <w:spacing w:line="360" w:lineRule="auto"/>
        <w:rPr>
          <w:rFonts w:hAnsi="宋体" w:cs="宋体"/>
          <w:b/>
          <w:sz w:val="32"/>
          <w:szCs w:val="32"/>
        </w:rPr>
      </w:pPr>
      <w:r>
        <w:rPr>
          <w:rFonts w:hAnsi="宋体" w:cs="宋体"/>
          <w:b/>
          <w:sz w:val="32"/>
          <w:szCs w:val="32"/>
        </w:rPr>
        <w:tab/>
      </w:r>
    </w:p>
    <w:p>
      <w:pPr>
        <w:jc w:val="center"/>
        <w:rPr>
          <w:rFonts w:ascii="宋体" w:hAnsi="宋体"/>
          <w:b/>
          <w:sz w:val="44"/>
          <w:szCs w:val="44"/>
        </w:rPr>
      </w:pPr>
      <w:r>
        <w:rPr>
          <w:rFonts w:hint="eastAsia" w:ascii="宋体" w:hAnsi="宋体"/>
          <w:b/>
          <w:sz w:val="44"/>
          <w:szCs w:val="44"/>
        </w:rPr>
        <w:t>天津蜀物智链科技有限公司</w:t>
      </w:r>
    </w:p>
    <w:p>
      <w:pPr>
        <w:pStyle w:val="6"/>
        <w:jc w:val="center"/>
        <w:rPr>
          <w:sz w:val="20"/>
          <w:szCs w:val="18"/>
        </w:rPr>
      </w:pPr>
      <w:r>
        <w:rPr>
          <w:rFonts w:hint="eastAsia" w:ascii="宋体" w:hAnsi="宋体"/>
          <w:b/>
          <w:sz w:val="44"/>
          <w:szCs w:val="44"/>
          <w:lang w:eastAsia="zh-CN"/>
        </w:rPr>
        <w:t>产业e贷</w:t>
      </w:r>
      <w:r>
        <w:rPr>
          <w:rFonts w:hint="eastAsia" w:ascii="宋体" w:hAnsi="宋体"/>
          <w:b/>
          <w:sz w:val="44"/>
          <w:szCs w:val="44"/>
        </w:rPr>
        <w:t>需求研发业务外包服务采购项目</w:t>
      </w:r>
    </w:p>
    <w:p>
      <w:pPr>
        <w:pStyle w:val="6"/>
        <w:rPr>
          <w:sz w:val="20"/>
          <w:szCs w:val="18"/>
        </w:rPr>
      </w:pPr>
    </w:p>
    <w:p>
      <w:pPr>
        <w:ind w:firstLine="242" w:firstLineChars="43"/>
        <w:jc w:val="center"/>
        <w:rPr>
          <w:rFonts w:hAnsi="宋体" w:cs="宋体"/>
          <w:sz w:val="72"/>
          <w:szCs w:val="72"/>
        </w:rPr>
      </w:pPr>
      <w:r>
        <w:rPr>
          <w:rFonts w:hint="eastAsia" w:hAnsi="宋体" w:cs="宋体"/>
          <w:b/>
          <w:sz w:val="56"/>
          <w:szCs w:val="56"/>
        </w:rPr>
        <w:t>响 应 文 件</w:t>
      </w:r>
    </w:p>
    <w:p>
      <w:pPr>
        <w:spacing w:line="360" w:lineRule="auto"/>
        <w:jc w:val="center"/>
        <w:rPr>
          <w:rFonts w:ascii="黑体" w:hAnsi="宋体" w:eastAsia="黑体"/>
          <w:kern w:val="0"/>
          <w:sz w:val="32"/>
          <w:szCs w:val="18"/>
          <w:lang w:val="zh-CN"/>
        </w:rPr>
      </w:pPr>
    </w:p>
    <w:p>
      <w:pPr>
        <w:spacing w:line="360" w:lineRule="auto"/>
        <w:jc w:val="center"/>
        <w:rPr>
          <w:rFonts w:ascii="黑体" w:hAnsi="宋体" w:eastAsia="黑体"/>
          <w:kern w:val="0"/>
          <w:sz w:val="32"/>
          <w:szCs w:val="18"/>
          <w:lang w:val="zh-CN"/>
        </w:rPr>
      </w:pPr>
    </w:p>
    <w:p>
      <w:pPr>
        <w:spacing w:line="360" w:lineRule="auto"/>
        <w:jc w:val="center"/>
        <w:rPr>
          <w:rFonts w:ascii="黑体" w:hAnsi="宋体" w:eastAsia="黑体"/>
          <w:kern w:val="0"/>
          <w:sz w:val="32"/>
          <w:szCs w:val="18"/>
          <w:lang w:val="zh-CN"/>
        </w:rPr>
      </w:pPr>
    </w:p>
    <w:p>
      <w:pPr>
        <w:spacing w:line="360" w:lineRule="auto"/>
        <w:rPr>
          <w:rFonts w:ascii="宋体" w:hAnsi="宋体"/>
          <w:sz w:val="24"/>
          <w:szCs w:val="18"/>
        </w:rPr>
      </w:pPr>
    </w:p>
    <w:p>
      <w:pPr>
        <w:spacing w:line="360" w:lineRule="auto"/>
        <w:rPr>
          <w:rFonts w:ascii="宋体" w:hAnsi="宋体"/>
          <w:sz w:val="24"/>
          <w:szCs w:val="18"/>
        </w:rPr>
      </w:pPr>
    </w:p>
    <w:p>
      <w:pPr>
        <w:spacing w:line="360" w:lineRule="auto"/>
        <w:rPr>
          <w:rFonts w:ascii="宋体" w:hAnsi="宋体"/>
          <w:sz w:val="24"/>
          <w:szCs w:val="18"/>
        </w:rPr>
      </w:pPr>
    </w:p>
    <w:p>
      <w:pPr>
        <w:spacing w:line="360" w:lineRule="auto"/>
        <w:rPr>
          <w:rFonts w:ascii="宋体" w:hAnsi="宋体"/>
          <w:sz w:val="24"/>
          <w:szCs w:val="18"/>
        </w:rPr>
      </w:pPr>
    </w:p>
    <w:p>
      <w:pPr>
        <w:spacing w:line="360" w:lineRule="auto"/>
        <w:ind w:firstLine="720" w:firstLineChars="300"/>
        <w:rPr>
          <w:rFonts w:ascii="宋体" w:hAnsi="宋体"/>
          <w:sz w:val="24"/>
          <w:szCs w:val="18"/>
          <w:u w:val="single"/>
        </w:rPr>
      </w:pPr>
      <w:r>
        <w:rPr>
          <w:rFonts w:hint="eastAsia" w:ascii="宋体" w:hAnsi="宋体"/>
          <w:sz w:val="24"/>
          <w:szCs w:val="18"/>
        </w:rPr>
        <w:t>比选响应单位：</w:t>
      </w:r>
      <w:r>
        <w:rPr>
          <w:rFonts w:hint="eastAsia" w:ascii="宋体" w:hAnsi="宋体"/>
          <w:sz w:val="24"/>
          <w:szCs w:val="18"/>
          <w:u w:val="single"/>
        </w:rPr>
        <w:t xml:space="preserve">（全称并加盖公章）                   </w:t>
      </w:r>
    </w:p>
    <w:p>
      <w:pPr>
        <w:spacing w:line="360" w:lineRule="auto"/>
        <w:ind w:firstLine="720" w:firstLineChars="300"/>
        <w:rPr>
          <w:rFonts w:ascii="宋体" w:hAnsi="宋体"/>
          <w:sz w:val="24"/>
          <w:szCs w:val="18"/>
          <w:u w:val="single"/>
        </w:rPr>
      </w:pPr>
      <w:r>
        <w:rPr>
          <w:rFonts w:hint="eastAsia" w:ascii="宋体" w:hAnsi="宋体"/>
          <w:sz w:val="24"/>
          <w:szCs w:val="18"/>
        </w:rPr>
        <w:t>法定代表人：</w:t>
      </w:r>
      <w:r>
        <w:rPr>
          <w:rFonts w:hint="eastAsia" w:ascii="宋体" w:hAnsi="宋体"/>
          <w:sz w:val="24"/>
          <w:szCs w:val="18"/>
          <w:u w:val="single"/>
        </w:rPr>
        <w:t xml:space="preserve">（盖章或签字）                         </w:t>
      </w:r>
    </w:p>
    <w:p>
      <w:pPr>
        <w:spacing w:line="360" w:lineRule="auto"/>
        <w:ind w:firstLine="2880" w:firstLineChars="1200"/>
        <w:rPr>
          <w:rFonts w:ascii="宋体" w:hAnsi="宋体"/>
          <w:sz w:val="24"/>
          <w:szCs w:val="18"/>
          <w:u w:val="single"/>
        </w:rPr>
      </w:pPr>
      <w:r>
        <w:rPr>
          <w:rFonts w:hint="eastAsia" w:ascii="宋体" w:hAnsi="宋体"/>
          <w:sz w:val="24"/>
          <w:szCs w:val="18"/>
          <w:u w:val="single"/>
        </w:rPr>
        <w:t xml:space="preserve">       </w:t>
      </w:r>
      <w:r>
        <w:rPr>
          <w:rFonts w:hint="eastAsia" w:ascii="宋体" w:hAnsi="宋体"/>
          <w:sz w:val="24"/>
          <w:szCs w:val="18"/>
        </w:rPr>
        <w:t>年</w:t>
      </w:r>
      <w:r>
        <w:rPr>
          <w:rFonts w:hint="eastAsia" w:ascii="宋体" w:hAnsi="宋体"/>
          <w:sz w:val="24"/>
          <w:szCs w:val="18"/>
          <w:u w:val="single"/>
        </w:rPr>
        <w:t xml:space="preserve">    </w:t>
      </w:r>
      <w:r>
        <w:rPr>
          <w:rFonts w:hint="eastAsia" w:ascii="宋体" w:hAnsi="宋体"/>
          <w:sz w:val="24"/>
          <w:szCs w:val="18"/>
        </w:rPr>
        <w:t>月</w:t>
      </w:r>
      <w:r>
        <w:rPr>
          <w:rFonts w:hint="eastAsia" w:ascii="宋体" w:hAnsi="宋体"/>
          <w:sz w:val="24"/>
          <w:szCs w:val="18"/>
          <w:u w:val="single"/>
        </w:rPr>
        <w:t xml:space="preserve">    </w:t>
      </w:r>
      <w:r>
        <w:rPr>
          <w:rFonts w:hint="eastAsia" w:ascii="宋体" w:hAnsi="宋体"/>
          <w:sz w:val="24"/>
          <w:szCs w:val="18"/>
        </w:rPr>
        <w:t>日</w:t>
      </w:r>
    </w:p>
    <w:p>
      <w:pPr>
        <w:spacing w:line="360" w:lineRule="auto"/>
        <w:rPr>
          <w:rFonts w:ascii="黑体" w:hAnsi="宋体" w:eastAsia="黑体"/>
          <w:sz w:val="28"/>
          <w:szCs w:val="18"/>
        </w:rPr>
      </w:pPr>
      <w:r>
        <w:rPr>
          <w:rFonts w:ascii="宋体" w:hAnsi="宋体"/>
          <w:sz w:val="24"/>
          <w:szCs w:val="18"/>
        </w:rPr>
        <w:br w:type="page"/>
      </w:r>
      <w:r>
        <w:rPr>
          <w:rFonts w:hint="eastAsia" w:ascii="宋体" w:hAnsi="宋体"/>
          <w:b/>
          <w:sz w:val="24"/>
          <w:szCs w:val="18"/>
        </w:rPr>
        <w:t>（2）报价单格式</w:t>
      </w:r>
    </w:p>
    <w:p>
      <w:pPr>
        <w:spacing w:line="360" w:lineRule="auto"/>
        <w:jc w:val="center"/>
        <w:rPr>
          <w:rFonts w:ascii="宋体" w:hAnsi="宋体"/>
          <w:b/>
          <w:sz w:val="28"/>
          <w:szCs w:val="18"/>
        </w:rPr>
      </w:pPr>
      <w:r>
        <w:rPr>
          <w:rFonts w:hint="eastAsia" w:ascii="宋体" w:hAnsi="宋体"/>
          <w:b/>
          <w:sz w:val="28"/>
          <w:szCs w:val="18"/>
        </w:rPr>
        <w:t>天津蜀物智链科技有限公司</w:t>
      </w:r>
    </w:p>
    <w:p>
      <w:pPr>
        <w:spacing w:line="360" w:lineRule="auto"/>
        <w:jc w:val="center"/>
        <w:rPr>
          <w:rFonts w:ascii="宋体" w:hAnsi="宋体"/>
          <w:b/>
          <w:sz w:val="28"/>
          <w:szCs w:val="18"/>
        </w:rPr>
      </w:pPr>
      <w:r>
        <w:rPr>
          <w:rFonts w:hint="eastAsia" w:ascii="宋体" w:hAnsi="宋体"/>
          <w:b/>
          <w:sz w:val="28"/>
          <w:szCs w:val="18"/>
          <w:lang w:eastAsia="zh-CN"/>
        </w:rPr>
        <w:t>产业e贷</w:t>
      </w:r>
      <w:r>
        <w:rPr>
          <w:rFonts w:hint="eastAsia" w:ascii="宋体" w:hAnsi="宋体"/>
          <w:b/>
          <w:sz w:val="28"/>
          <w:szCs w:val="18"/>
        </w:rPr>
        <w:t>需求研发业务外包服务采购项目</w:t>
      </w:r>
    </w:p>
    <w:p>
      <w:pPr>
        <w:spacing w:line="360" w:lineRule="auto"/>
        <w:ind w:firstLine="3855" w:firstLineChars="1200"/>
        <w:rPr>
          <w:rFonts w:ascii="宋体" w:hAnsi="宋体" w:cs="宋体"/>
          <w:b/>
          <w:kern w:val="0"/>
          <w:sz w:val="32"/>
          <w:szCs w:val="32"/>
          <w:lang w:val="zh-CN"/>
        </w:rPr>
      </w:pPr>
      <w:r>
        <w:rPr>
          <w:rFonts w:hint="eastAsia" w:ascii="宋体" w:hAnsi="宋体" w:cs="宋体"/>
          <w:b/>
          <w:kern w:val="0"/>
          <w:sz w:val="32"/>
          <w:szCs w:val="32"/>
        </w:rPr>
        <w:t>报价承诺函</w:t>
      </w:r>
    </w:p>
    <w:p>
      <w:pPr>
        <w:spacing w:line="360" w:lineRule="auto"/>
        <w:rPr>
          <w:rFonts w:ascii="宋体" w:hAnsi="宋体"/>
          <w:sz w:val="24"/>
          <w:szCs w:val="18"/>
        </w:rPr>
      </w:pPr>
    </w:p>
    <w:p>
      <w:pPr>
        <w:spacing w:line="360" w:lineRule="auto"/>
        <w:rPr>
          <w:rFonts w:ascii="宋体" w:hAnsi="宋体"/>
          <w:sz w:val="24"/>
          <w:szCs w:val="18"/>
        </w:rPr>
      </w:pPr>
      <w:r>
        <w:rPr>
          <w:rFonts w:hint="eastAsia" w:ascii="宋体" w:hAnsi="宋体"/>
          <w:sz w:val="24"/>
          <w:szCs w:val="18"/>
        </w:rPr>
        <w:t>致：</w:t>
      </w:r>
      <w:r>
        <w:rPr>
          <w:rFonts w:hint="eastAsia" w:ascii="宋体" w:hAnsi="宋体"/>
          <w:sz w:val="24"/>
          <w:szCs w:val="18"/>
          <w:u w:val="single"/>
        </w:rPr>
        <w:t xml:space="preserve">天津蜀物智链科技有限公司 </w:t>
      </w:r>
    </w:p>
    <w:p>
      <w:pPr>
        <w:spacing w:line="360" w:lineRule="auto"/>
        <w:ind w:firstLine="570"/>
        <w:rPr>
          <w:rFonts w:ascii="宋体" w:hAnsi="宋体"/>
          <w:kern w:val="0"/>
          <w:sz w:val="24"/>
          <w:szCs w:val="18"/>
          <w:lang w:val="zh-CN"/>
        </w:rPr>
      </w:pPr>
      <w:r>
        <w:rPr>
          <w:rFonts w:hint="eastAsia" w:ascii="宋体" w:hAnsi="宋体"/>
          <w:sz w:val="24"/>
          <w:szCs w:val="18"/>
        </w:rPr>
        <w:t>我公司认真研究了比选文件的内容，愿按以下标准承担</w:t>
      </w:r>
      <w:r>
        <w:rPr>
          <w:rFonts w:hint="eastAsia" w:ascii="宋体" w:hAnsi="宋体"/>
          <w:sz w:val="24"/>
          <w:szCs w:val="18"/>
          <w:lang w:eastAsia="zh-CN"/>
        </w:rPr>
        <w:t>产业e贷</w:t>
      </w:r>
      <w:r>
        <w:rPr>
          <w:rFonts w:hint="eastAsia" w:ascii="宋体" w:hAnsi="宋体"/>
          <w:sz w:val="24"/>
          <w:szCs w:val="18"/>
        </w:rPr>
        <w:t>需求研发业务外包</w:t>
      </w:r>
      <w:r>
        <w:rPr>
          <w:rFonts w:hint="eastAsia" w:ascii="宋体" w:hAnsi="宋体"/>
          <w:kern w:val="0"/>
          <w:sz w:val="24"/>
          <w:szCs w:val="18"/>
          <w:lang w:val="zh-CN"/>
        </w:rPr>
        <w:t>等服务。</w:t>
      </w:r>
    </w:p>
    <w:p>
      <w:pPr>
        <w:spacing w:line="360" w:lineRule="auto"/>
        <w:ind w:firstLine="570"/>
        <w:rPr>
          <w:rFonts w:ascii="宋体" w:hAnsi="宋体"/>
          <w:kern w:val="0"/>
          <w:sz w:val="24"/>
          <w:szCs w:val="18"/>
        </w:rPr>
      </w:pPr>
      <w:r>
        <w:rPr>
          <w:rFonts w:hint="eastAsia" w:ascii="宋体" w:hAnsi="宋体"/>
          <w:kern w:val="0"/>
          <w:sz w:val="24"/>
          <w:szCs w:val="18"/>
        </w:rPr>
        <w:t>我公司承诺依据相关规定和本比选文件要求，提供不低于2人参与本比选所需的</w:t>
      </w:r>
      <w:r>
        <w:rPr>
          <w:rFonts w:hint="eastAsia" w:ascii="宋体" w:hAnsi="宋体"/>
          <w:sz w:val="24"/>
          <w:szCs w:val="18"/>
          <w:lang w:eastAsia="zh-CN"/>
        </w:rPr>
        <w:t>产业e贷</w:t>
      </w:r>
      <w:r>
        <w:rPr>
          <w:rFonts w:hint="eastAsia" w:ascii="宋体" w:hAnsi="宋体"/>
          <w:sz w:val="24"/>
          <w:szCs w:val="18"/>
        </w:rPr>
        <w:t>需求研发业务</w:t>
      </w:r>
      <w:r>
        <w:rPr>
          <w:rFonts w:hint="eastAsia" w:ascii="宋体" w:hAnsi="宋体"/>
          <w:kern w:val="0"/>
          <w:sz w:val="24"/>
          <w:szCs w:val="18"/>
        </w:rPr>
        <w:t>外包工作，包括但不限于：实现</w:t>
      </w:r>
      <w:r>
        <w:rPr>
          <w:rFonts w:hint="eastAsia" w:ascii="宋体" w:hAnsi="宋体"/>
          <w:kern w:val="0"/>
          <w:sz w:val="24"/>
          <w:szCs w:val="18"/>
          <w:lang w:val="en-US" w:eastAsia="zh-CN"/>
        </w:rPr>
        <w:t>产业e贷项目接口</w:t>
      </w:r>
      <w:r>
        <w:rPr>
          <w:rFonts w:hint="eastAsia" w:ascii="宋体" w:hAnsi="宋体"/>
          <w:kern w:val="0"/>
          <w:sz w:val="24"/>
          <w:szCs w:val="18"/>
        </w:rPr>
        <w:t>功能</w:t>
      </w:r>
      <w:r>
        <w:rPr>
          <w:rFonts w:hint="eastAsia" w:ascii="宋体" w:hAnsi="宋体"/>
          <w:kern w:val="0"/>
          <w:sz w:val="24"/>
          <w:szCs w:val="18"/>
          <w:lang w:val="en-US" w:eastAsia="zh-CN"/>
        </w:rPr>
        <w:t>研发、后续测试、上线及运维</w:t>
      </w:r>
      <w:r>
        <w:rPr>
          <w:rFonts w:hint="eastAsia" w:ascii="宋体" w:hAnsi="宋体"/>
          <w:kern w:val="0"/>
          <w:sz w:val="24"/>
          <w:szCs w:val="18"/>
        </w:rPr>
        <w:t>等相关工作。</w:t>
      </w:r>
    </w:p>
    <w:p>
      <w:pPr>
        <w:spacing w:line="360" w:lineRule="auto"/>
        <w:ind w:firstLine="570"/>
        <w:rPr>
          <w:rFonts w:ascii="宋体" w:hAnsi="宋体"/>
          <w:kern w:val="0"/>
          <w:sz w:val="24"/>
          <w:szCs w:val="18"/>
        </w:rPr>
      </w:pPr>
      <w:r>
        <w:rPr>
          <w:rFonts w:hint="eastAsia" w:ascii="宋体" w:hAnsi="宋体"/>
          <w:kern w:val="0"/>
          <w:sz w:val="24"/>
          <w:szCs w:val="18"/>
          <w:lang w:val="zh-CN"/>
        </w:rPr>
        <w:t>我公司承诺依据相关规定内容，</w:t>
      </w:r>
      <w:r>
        <w:rPr>
          <w:rFonts w:hint="eastAsia" w:ascii="宋体" w:hAnsi="宋体"/>
          <w:kern w:val="0"/>
          <w:sz w:val="24"/>
          <w:szCs w:val="18"/>
        </w:rPr>
        <w:t>按以下进行报价。</w:t>
      </w:r>
    </w:p>
    <w:p>
      <w:pPr>
        <w:pStyle w:val="16"/>
        <w:widowControl w:val="0"/>
        <w:shd w:val="clear" w:color="auto" w:fill="FFFFFF"/>
        <w:spacing w:before="0" w:beforeAutospacing="0" w:after="0" w:line="360" w:lineRule="auto"/>
        <w:ind w:firstLine="480" w:firstLineChars="200"/>
        <w:rPr>
          <w:szCs w:val="18"/>
          <w:lang w:val="zh-CN"/>
        </w:rPr>
      </w:pPr>
      <w:r>
        <w:rPr>
          <w:rFonts w:hint="eastAsia"/>
          <w:szCs w:val="18"/>
          <w:lang w:val="zh-CN"/>
        </w:rPr>
        <w:t>本项目报价为业务外包服务总价，包括但不仅限于税费、各种成本费用、服务费等。</w:t>
      </w:r>
    </w:p>
    <w:tbl>
      <w:tblPr>
        <w:tblStyle w:val="18"/>
        <w:tblW w:w="0" w:type="auto"/>
        <w:tblInd w:w="0" w:type="dxa"/>
        <w:tblLayout w:type="fixed"/>
        <w:tblCellMar>
          <w:top w:w="0" w:type="dxa"/>
          <w:left w:w="108" w:type="dxa"/>
          <w:bottom w:w="0" w:type="dxa"/>
          <w:right w:w="108" w:type="dxa"/>
        </w:tblCellMar>
      </w:tblPr>
      <w:tblGrid>
        <w:gridCol w:w="3357"/>
        <w:gridCol w:w="3825"/>
        <w:gridCol w:w="2214"/>
      </w:tblGrid>
      <w:tr>
        <w:tblPrEx>
          <w:tblCellMar>
            <w:top w:w="0" w:type="dxa"/>
            <w:left w:w="108" w:type="dxa"/>
            <w:bottom w:w="0" w:type="dxa"/>
            <w:right w:w="108" w:type="dxa"/>
          </w:tblCellMar>
        </w:tblPrEx>
        <w:trPr>
          <w:trHeight w:val="612" w:hRule="atLeast"/>
        </w:trPr>
        <w:tc>
          <w:tcPr>
            <w:tcW w:w="3357" w:type="dxa"/>
            <w:tcBorders>
              <w:top w:val="single" w:color="auto" w:sz="4" w:space="0"/>
              <w:left w:val="single" w:color="auto" w:sz="4" w:space="0"/>
              <w:bottom w:val="single" w:color="auto" w:sz="4" w:space="0"/>
              <w:right w:val="single" w:color="auto" w:sz="4" w:space="0"/>
            </w:tcBorders>
            <w:vAlign w:val="center"/>
          </w:tcPr>
          <w:p>
            <w:pPr>
              <w:spacing w:line="360" w:lineRule="auto"/>
              <w:ind w:right="31" w:rightChars="15"/>
              <w:jc w:val="center"/>
              <w:rPr>
                <w:rFonts w:ascii="宋体" w:hAnsi="宋体"/>
                <w:kern w:val="0"/>
                <w:sz w:val="24"/>
                <w:szCs w:val="18"/>
              </w:rPr>
            </w:pPr>
            <w:r>
              <w:rPr>
                <w:rFonts w:hint="eastAsia" w:ascii="宋体" w:hAnsi="宋体"/>
                <w:kern w:val="0"/>
                <w:sz w:val="24"/>
                <w:szCs w:val="18"/>
              </w:rPr>
              <w:t>项目名称</w:t>
            </w:r>
          </w:p>
        </w:tc>
        <w:tc>
          <w:tcPr>
            <w:tcW w:w="3825" w:type="dxa"/>
            <w:tcBorders>
              <w:top w:val="single" w:color="auto" w:sz="4" w:space="0"/>
              <w:left w:val="nil"/>
              <w:bottom w:val="single" w:color="auto" w:sz="4" w:space="0"/>
              <w:right w:val="single" w:color="auto" w:sz="4" w:space="0"/>
            </w:tcBorders>
            <w:vAlign w:val="center"/>
          </w:tcPr>
          <w:p>
            <w:pPr>
              <w:jc w:val="center"/>
              <w:rPr>
                <w:rFonts w:ascii="宋体" w:hAnsi="宋体"/>
                <w:kern w:val="0"/>
                <w:sz w:val="24"/>
                <w:szCs w:val="18"/>
              </w:rPr>
            </w:pPr>
            <w:r>
              <w:rPr>
                <w:rFonts w:hint="eastAsia" w:ascii="宋体" w:hAnsi="宋体"/>
                <w:kern w:val="0"/>
                <w:sz w:val="24"/>
                <w:szCs w:val="18"/>
              </w:rPr>
              <w:t>业务外包服务总价/万元</w:t>
            </w:r>
          </w:p>
        </w:tc>
        <w:tc>
          <w:tcPr>
            <w:tcW w:w="2214" w:type="dxa"/>
            <w:tcBorders>
              <w:top w:val="single" w:color="auto" w:sz="4" w:space="0"/>
              <w:left w:val="nil"/>
              <w:bottom w:val="single" w:color="auto" w:sz="4" w:space="0"/>
              <w:right w:val="single" w:color="auto" w:sz="4" w:space="0"/>
            </w:tcBorders>
            <w:vAlign w:val="center"/>
          </w:tcPr>
          <w:p>
            <w:pPr>
              <w:spacing w:line="400" w:lineRule="exact"/>
              <w:jc w:val="center"/>
              <w:rPr>
                <w:rFonts w:ascii="宋体" w:hAnsi="宋体"/>
                <w:kern w:val="0"/>
                <w:sz w:val="24"/>
                <w:szCs w:val="18"/>
                <w:lang w:val="zh-CN"/>
              </w:rPr>
            </w:pPr>
            <w:r>
              <w:rPr>
                <w:rFonts w:hint="eastAsia" w:ascii="宋体" w:hAnsi="宋体"/>
                <w:kern w:val="0"/>
                <w:sz w:val="24"/>
                <w:szCs w:val="18"/>
              </w:rPr>
              <w:t>最高限价  /万元</w:t>
            </w:r>
          </w:p>
        </w:tc>
      </w:tr>
      <w:tr>
        <w:tblPrEx>
          <w:tblCellMar>
            <w:top w:w="0" w:type="dxa"/>
            <w:left w:w="108" w:type="dxa"/>
            <w:bottom w:w="0" w:type="dxa"/>
            <w:right w:w="108" w:type="dxa"/>
          </w:tblCellMar>
        </w:tblPrEx>
        <w:trPr>
          <w:trHeight w:val="799" w:hRule="atLeast"/>
        </w:trPr>
        <w:tc>
          <w:tcPr>
            <w:tcW w:w="33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31" w:rightChars="15"/>
              <w:rPr>
                <w:rFonts w:ascii="宋体" w:hAnsi="宋体"/>
                <w:kern w:val="0"/>
                <w:sz w:val="24"/>
                <w:szCs w:val="18"/>
              </w:rPr>
            </w:pPr>
            <w:r>
              <w:rPr>
                <w:rFonts w:hint="eastAsia" w:ascii="宋体" w:hAnsi="宋体"/>
                <w:kern w:val="0"/>
                <w:sz w:val="24"/>
                <w:szCs w:val="18"/>
                <w:lang w:val="en-US" w:eastAsia="zh-CN"/>
              </w:rPr>
              <w:t>产业e贷需求</w:t>
            </w:r>
            <w:r>
              <w:rPr>
                <w:rFonts w:hint="eastAsia" w:ascii="宋体" w:hAnsi="宋体"/>
                <w:kern w:val="0"/>
                <w:sz w:val="24"/>
                <w:szCs w:val="18"/>
              </w:rPr>
              <w:t>研发服务</w:t>
            </w:r>
          </w:p>
        </w:tc>
        <w:tc>
          <w:tcPr>
            <w:tcW w:w="3825" w:type="dxa"/>
            <w:tcBorders>
              <w:top w:val="single" w:color="auto" w:sz="4" w:space="0"/>
              <w:left w:val="single" w:color="auto" w:sz="4" w:space="0"/>
              <w:bottom w:val="single" w:color="auto" w:sz="4" w:space="0"/>
              <w:right w:val="single" w:color="auto" w:sz="4" w:space="0"/>
            </w:tcBorders>
            <w:vAlign w:val="center"/>
          </w:tcPr>
          <w:p>
            <w:pPr>
              <w:spacing w:line="360" w:lineRule="auto"/>
              <w:ind w:right="31" w:rightChars="15"/>
              <w:jc w:val="center"/>
              <w:rPr>
                <w:rFonts w:ascii="宋体" w:hAnsi="宋体"/>
                <w:kern w:val="0"/>
                <w:sz w:val="24"/>
                <w:szCs w:val="18"/>
              </w:rPr>
            </w:pPr>
            <w:r>
              <w:rPr>
                <w:rFonts w:hint="eastAsia" w:ascii="宋体" w:hAnsi="宋体"/>
                <w:kern w:val="0"/>
                <w:sz w:val="24"/>
                <w:szCs w:val="18"/>
              </w:rPr>
              <w:t xml:space="preserve">  </w:t>
            </w:r>
          </w:p>
        </w:tc>
        <w:tc>
          <w:tcPr>
            <w:tcW w:w="2214" w:type="dxa"/>
            <w:tcBorders>
              <w:top w:val="single" w:color="auto" w:sz="4" w:space="0"/>
              <w:left w:val="single" w:color="auto" w:sz="4" w:space="0"/>
              <w:bottom w:val="single" w:color="auto" w:sz="4" w:space="0"/>
              <w:right w:val="single" w:color="auto" w:sz="4" w:space="0"/>
            </w:tcBorders>
            <w:vAlign w:val="center"/>
          </w:tcPr>
          <w:p>
            <w:pPr>
              <w:spacing w:line="360" w:lineRule="auto"/>
              <w:ind w:right="31" w:rightChars="15"/>
              <w:jc w:val="center"/>
              <w:rPr>
                <w:rFonts w:hint="default" w:ascii="宋体" w:hAnsi="宋体" w:eastAsia="宋体"/>
                <w:kern w:val="0"/>
                <w:sz w:val="24"/>
                <w:szCs w:val="18"/>
                <w:lang w:val="en-US" w:eastAsia="zh-CN"/>
              </w:rPr>
            </w:pPr>
            <w:r>
              <w:rPr>
                <w:rFonts w:hint="eastAsia" w:ascii="宋体" w:hAnsi="宋体"/>
                <w:kern w:val="0"/>
                <w:sz w:val="24"/>
                <w:szCs w:val="18"/>
                <w:highlight w:val="none"/>
                <w:lang w:val="en-US" w:eastAsia="zh-CN"/>
              </w:rPr>
              <w:t>22</w:t>
            </w:r>
          </w:p>
        </w:tc>
      </w:tr>
      <w:tr>
        <w:tblPrEx>
          <w:tblCellMar>
            <w:top w:w="0" w:type="dxa"/>
            <w:left w:w="108" w:type="dxa"/>
            <w:bottom w:w="0" w:type="dxa"/>
            <w:right w:w="108" w:type="dxa"/>
          </w:tblCellMar>
        </w:tblPrEx>
        <w:trPr>
          <w:trHeight w:val="1264" w:hRule="atLeast"/>
        </w:trPr>
        <w:tc>
          <w:tcPr>
            <w:tcW w:w="33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szCs w:val="18"/>
                <w:lang w:val="zh-CN"/>
              </w:rPr>
            </w:pPr>
            <w:r>
              <w:rPr>
                <w:rFonts w:hint="eastAsia" w:ascii="宋体" w:hAnsi="宋体"/>
                <w:kern w:val="0"/>
                <w:sz w:val="24"/>
                <w:szCs w:val="18"/>
                <w:lang w:val="en-US" w:eastAsia="zh-CN"/>
              </w:rPr>
              <w:t>产业e贷需求</w:t>
            </w:r>
            <w:r>
              <w:rPr>
                <w:rFonts w:hint="eastAsia" w:ascii="宋体" w:hAnsi="宋体"/>
                <w:kern w:val="0"/>
                <w:sz w:val="24"/>
                <w:szCs w:val="18"/>
              </w:rPr>
              <w:t>研发服务总价（含税）</w:t>
            </w:r>
            <w:r>
              <w:rPr>
                <w:rFonts w:hint="eastAsia" w:ascii="宋体" w:hAnsi="宋体"/>
                <w:kern w:val="0"/>
                <w:sz w:val="24"/>
                <w:szCs w:val="18"/>
                <w:lang w:val="zh-CN"/>
              </w:rPr>
              <w:t>报价合计（人民币）</w:t>
            </w:r>
          </w:p>
        </w:tc>
        <w:tc>
          <w:tcPr>
            <w:tcW w:w="603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3120" w:firstLineChars="1300"/>
              <w:rPr>
                <w:rFonts w:ascii="宋体" w:hAnsi="宋体"/>
                <w:kern w:val="0"/>
                <w:sz w:val="24"/>
                <w:szCs w:val="18"/>
                <w:lang w:val="zh-CN"/>
              </w:rPr>
            </w:pPr>
            <w:r>
              <w:rPr>
                <w:rFonts w:hint="eastAsia" w:ascii="宋体" w:hAnsi="宋体"/>
                <w:kern w:val="0"/>
                <w:sz w:val="24"/>
                <w:szCs w:val="18"/>
                <w:lang w:val="zh-CN"/>
              </w:rPr>
              <w:t xml:space="preserve">（大写：     </w:t>
            </w:r>
            <w:r>
              <w:rPr>
                <w:rFonts w:hint="eastAsia" w:ascii="宋体" w:hAnsi="宋体"/>
                <w:kern w:val="0"/>
                <w:sz w:val="24"/>
                <w:szCs w:val="18"/>
              </w:rPr>
              <w:t xml:space="preserve">  </w:t>
            </w:r>
            <w:r>
              <w:rPr>
                <w:rFonts w:hint="eastAsia" w:ascii="宋体" w:hAnsi="宋体"/>
                <w:kern w:val="0"/>
                <w:sz w:val="24"/>
                <w:szCs w:val="18"/>
                <w:lang w:val="en-US" w:eastAsia="zh-CN"/>
              </w:rPr>
              <w:t xml:space="preserve">    </w:t>
            </w:r>
            <w:r>
              <w:rPr>
                <w:rFonts w:hint="eastAsia" w:ascii="宋体" w:hAnsi="宋体"/>
                <w:kern w:val="0"/>
                <w:sz w:val="24"/>
                <w:szCs w:val="18"/>
                <w:lang w:val="zh-CN"/>
              </w:rPr>
              <w:t>元）</w:t>
            </w:r>
          </w:p>
        </w:tc>
      </w:tr>
    </w:tbl>
    <w:p>
      <w:pPr>
        <w:pStyle w:val="16"/>
        <w:widowControl w:val="0"/>
        <w:shd w:val="clear" w:color="auto" w:fill="FFFFFF"/>
        <w:spacing w:before="321" w:beforeLines="100" w:beforeAutospacing="0" w:after="160" w:afterLines="50"/>
        <w:ind w:firstLine="440" w:firstLineChars="200"/>
        <w:rPr>
          <w:kern w:val="2"/>
          <w:sz w:val="22"/>
          <w:szCs w:val="22"/>
        </w:rPr>
      </w:pPr>
      <w:r>
        <w:rPr>
          <w:rFonts w:hint="eastAsia"/>
          <w:kern w:val="2"/>
          <w:sz w:val="22"/>
          <w:szCs w:val="22"/>
        </w:rPr>
        <w:t>说明：</w:t>
      </w:r>
    </w:p>
    <w:p>
      <w:pPr>
        <w:numPr>
          <w:ilvl w:val="0"/>
          <w:numId w:val="9"/>
        </w:numPr>
        <w:spacing w:line="360" w:lineRule="auto"/>
        <w:ind w:left="885" w:hanging="403"/>
        <w:rPr>
          <w:rFonts w:hAnsi="宋体"/>
          <w:sz w:val="22"/>
          <w:szCs w:val="18"/>
        </w:rPr>
      </w:pPr>
      <w:r>
        <w:rPr>
          <w:rFonts w:hint="eastAsia" w:hAnsi="宋体"/>
          <w:sz w:val="22"/>
          <w:szCs w:val="18"/>
        </w:rPr>
        <w:t>一旦比选响应单位中选，不得以任何借口向比选人提出增加费用要求（比选人要求增加额外服务的除外），否则，中选人将承担因此造成的一切法律责任。</w:t>
      </w:r>
    </w:p>
    <w:p>
      <w:pPr>
        <w:numPr>
          <w:ilvl w:val="0"/>
          <w:numId w:val="9"/>
        </w:numPr>
        <w:spacing w:line="360" w:lineRule="auto"/>
        <w:ind w:left="885" w:hanging="403"/>
        <w:rPr>
          <w:rFonts w:ascii="宋体" w:hAnsi="宋体"/>
          <w:sz w:val="24"/>
          <w:szCs w:val="18"/>
        </w:rPr>
      </w:pPr>
      <w:r>
        <w:rPr>
          <w:rFonts w:hint="eastAsia" w:hAnsi="宋体"/>
          <w:sz w:val="22"/>
          <w:szCs w:val="18"/>
        </w:rPr>
        <w:t>所有投标均以人民币报价，比选响应单位的报价应遵守《中华人民共和国价格法》。</w:t>
      </w:r>
    </w:p>
    <w:p>
      <w:pPr>
        <w:spacing w:line="360" w:lineRule="auto"/>
        <w:jc w:val="right"/>
        <w:rPr>
          <w:rFonts w:ascii="宋体" w:hAnsi="宋体"/>
          <w:sz w:val="24"/>
          <w:szCs w:val="18"/>
          <w:u w:val="single"/>
        </w:rPr>
      </w:pPr>
      <w:r>
        <w:rPr>
          <w:rFonts w:hint="eastAsia" w:ascii="宋体" w:hAnsi="宋体"/>
          <w:sz w:val="24"/>
          <w:szCs w:val="18"/>
        </w:rPr>
        <w:t>比选响应单位名称：</w:t>
      </w:r>
      <w:r>
        <w:rPr>
          <w:rFonts w:hint="eastAsia" w:ascii="宋体" w:hAnsi="宋体"/>
          <w:sz w:val="24"/>
          <w:szCs w:val="18"/>
          <w:u w:val="single"/>
        </w:rPr>
        <w:t>（全称并加盖单位公章）</w:t>
      </w:r>
    </w:p>
    <w:p>
      <w:pPr>
        <w:spacing w:line="360" w:lineRule="auto"/>
        <w:jc w:val="right"/>
        <w:rPr>
          <w:rFonts w:ascii="宋体" w:hAnsi="宋体"/>
          <w:sz w:val="24"/>
          <w:szCs w:val="18"/>
          <w:u w:val="single"/>
        </w:rPr>
      </w:pPr>
      <w:r>
        <w:rPr>
          <w:rFonts w:hint="eastAsia" w:ascii="宋体" w:hAnsi="宋体"/>
          <w:sz w:val="24"/>
          <w:szCs w:val="18"/>
        </w:rPr>
        <w:t xml:space="preserve">               法定代表人或授权代表签字：</w:t>
      </w:r>
      <w:r>
        <w:rPr>
          <w:rFonts w:hint="eastAsia" w:ascii="宋体" w:hAnsi="宋体"/>
          <w:sz w:val="24"/>
          <w:szCs w:val="18"/>
          <w:u w:val="single"/>
        </w:rPr>
        <w:t xml:space="preserve">      （签字）</w:t>
      </w:r>
    </w:p>
    <w:p>
      <w:pPr>
        <w:spacing w:line="360" w:lineRule="auto"/>
        <w:jc w:val="right"/>
        <w:rPr>
          <w:rFonts w:ascii="宋体" w:hAnsi="宋体"/>
          <w:sz w:val="24"/>
          <w:szCs w:val="18"/>
        </w:rPr>
      </w:pPr>
      <w:r>
        <w:rPr>
          <w:rFonts w:hint="eastAsia" w:ascii="宋体" w:hAnsi="宋体"/>
          <w:sz w:val="24"/>
          <w:szCs w:val="18"/>
          <w:u w:val="single"/>
        </w:rPr>
        <w:t xml:space="preserve">      </w:t>
      </w:r>
      <w:r>
        <w:rPr>
          <w:rFonts w:hint="eastAsia" w:ascii="宋体" w:hAnsi="宋体"/>
          <w:sz w:val="24"/>
          <w:szCs w:val="18"/>
        </w:rPr>
        <w:t>年</w:t>
      </w:r>
      <w:r>
        <w:rPr>
          <w:rFonts w:hint="eastAsia" w:ascii="宋体" w:hAnsi="宋体"/>
          <w:sz w:val="24"/>
          <w:szCs w:val="18"/>
          <w:u w:val="single"/>
        </w:rPr>
        <w:t xml:space="preserve">    </w:t>
      </w:r>
      <w:r>
        <w:rPr>
          <w:rFonts w:hint="eastAsia" w:ascii="宋体" w:hAnsi="宋体"/>
          <w:sz w:val="24"/>
          <w:szCs w:val="18"/>
        </w:rPr>
        <w:t>月</w:t>
      </w:r>
      <w:r>
        <w:rPr>
          <w:rFonts w:hint="eastAsia" w:ascii="宋体" w:hAnsi="宋体"/>
          <w:sz w:val="24"/>
          <w:szCs w:val="18"/>
          <w:u w:val="single"/>
        </w:rPr>
        <w:t xml:space="preserve">    </w:t>
      </w:r>
      <w:r>
        <w:rPr>
          <w:rFonts w:hint="eastAsia" w:ascii="宋体" w:hAnsi="宋体"/>
          <w:sz w:val="24"/>
          <w:szCs w:val="18"/>
        </w:rPr>
        <w:t>日</w:t>
      </w:r>
    </w:p>
    <w:p>
      <w:pPr>
        <w:spacing w:line="360" w:lineRule="auto"/>
        <w:rPr>
          <w:rFonts w:ascii="宋体" w:hAnsi="宋体"/>
          <w:b/>
          <w:sz w:val="24"/>
          <w:szCs w:val="18"/>
        </w:rPr>
      </w:pPr>
      <w:r>
        <w:rPr>
          <w:rFonts w:hint="eastAsia" w:ascii="宋体" w:hAnsi="宋体"/>
          <w:sz w:val="24"/>
          <w:szCs w:val="18"/>
        </w:rPr>
        <w:br w:type="page"/>
      </w:r>
      <w:r>
        <w:rPr>
          <w:rFonts w:hint="eastAsia" w:ascii="宋体" w:hAnsi="宋体"/>
          <w:b/>
          <w:sz w:val="24"/>
          <w:szCs w:val="18"/>
        </w:rPr>
        <w:t>（3）法定代表人授权书</w:t>
      </w:r>
    </w:p>
    <w:p>
      <w:pPr>
        <w:spacing w:line="360" w:lineRule="auto"/>
        <w:ind w:firstLine="480" w:firstLineChars="200"/>
        <w:rPr>
          <w:rFonts w:ascii="宋体" w:hAnsi="宋体"/>
          <w:sz w:val="24"/>
          <w:szCs w:val="18"/>
        </w:rPr>
      </w:pPr>
    </w:p>
    <w:p>
      <w:pPr>
        <w:spacing w:line="360" w:lineRule="auto"/>
        <w:ind w:firstLine="480" w:firstLineChars="200"/>
        <w:rPr>
          <w:rFonts w:ascii="宋体" w:hAnsi="宋体"/>
          <w:sz w:val="24"/>
          <w:szCs w:val="18"/>
        </w:rPr>
      </w:pPr>
      <w:r>
        <w:rPr>
          <w:rFonts w:hint="eastAsia" w:ascii="宋体" w:hAnsi="宋体"/>
          <w:sz w:val="24"/>
          <w:szCs w:val="18"/>
        </w:rPr>
        <w:t xml:space="preserve">本授权委托书声明：我 </w:t>
      </w:r>
      <w:r>
        <w:rPr>
          <w:rFonts w:hint="eastAsia" w:ascii="宋体" w:hAnsi="宋体"/>
          <w:sz w:val="24"/>
          <w:szCs w:val="18"/>
          <w:u w:val="single"/>
        </w:rPr>
        <w:t xml:space="preserve">（姓名） </w:t>
      </w:r>
      <w:r>
        <w:rPr>
          <w:rFonts w:hint="eastAsia" w:ascii="宋体" w:hAnsi="宋体"/>
          <w:sz w:val="24"/>
          <w:szCs w:val="18"/>
        </w:rPr>
        <w:t xml:space="preserve">系  </w:t>
      </w:r>
      <w:r>
        <w:rPr>
          <w:rFonts w:hint="eastAsia" w:ascii="宋体" w:hAnsi="宋体"/>
          <w:sz w:val="24"/>
          <w:szCs w:val="18"/>
          <w:u w:val="single"/>
        </w:rPr>
        <w:t xml:space="preserve">（比选响应单位） </w:t>
      </w:r>
      <w:r>
        <w:rPr>
          <w:rFonts w:hint="eastAsia" w:ascii="宋体" w:hAnsi="宋体"/>
          <w:sz w:val="24"/>
          <w:szCs w:val="18"/>
        </w:rPr>
        <w:t xml:space="preserve">的法定代表人，现授权 </w:t>
      </w:r>
      <w:r>
        <w:rPr>
          <w:rFonts w:hint="eastAsia" w:ascii="宋体" w:hAnsi="宋体"/>
          <w:sz w:val="24"/>
          <w:szCs w:val="18"/>
          <w:u w:val="single"/>
        </w:rPr>
        <w:t xml:space="preserve">（姓名/职务/身份证号码） </w:t>
      </w:r>
      <w:r>
        <w:rPr>
          <w:rFonts w:hint="eastAsia" w:ascii="宋体" w:hAnsi="宋体"/>
          <w:sz w:val="24"/>
          <w:szCs w:val="18"/>
        </w:rPr>
        <w:t>为我公司委托代理人，以本公司的名义参加</w:t>
      </w:r>
      <w:r>
        <w:rPr>
          <w:rFonts w:hint="eastAsia" w:ascii="宋体" w:hAnsi="宋体"/>
          <w:sz w:val="24"/>
          <w:szCs w:val="18"/>
          <w:u w:val="single"/>
        </w:rPr>
        <w:t xml:space="preserve">   （项目名称） </w:t>
      </w:r>
      <w:r>
        <w:rPr>
          <w:rFonts w:hint="eastAsia" w:ascii="宋体" w:hAnsi="宋体"/>
          <w:sz w:val="24"/>
          <w:szCs w:val="18"/>
        </w:rPr>
        <w:t xml:space="preserve"> 的比选活动。委托代理人在该比选活动和委托合同谈判过程中所签署的一切文件和处理与之有关的一切事务，我及我公司均予以承认并全部承担其所产生的所有权利和义务。</w:t>
      </w:r>
    </w:p>
    <w:p>
      <w:pPr>
        <w:spacing w:line="360" w:lineRule="auto"/>
        <w:ind w:firstLine="480" w:firstLineChars="200"/>
        <w:rPr>
          <w:rFonts w:ascii="宋体" w:hAnsi="宋体"/>
          <w:sz w:val="24"/>
          <w:szCs w:val="18"/>
        </w:rPr>
      </w:pPr>
      <w:r>
        <w:rPr>
          <w:rFonts w:hint="eastAsia" w:ascii="宋体" w:hAnsi="宋体"/>
          <w:sz w:val="24"/>
          <w:szCs w:val="18"/>
        </w:rPr>
        <w:t>委托代理人无转委托权。特此委托。</w:t>
      </w:r>
    </w:p>
    <w:p>
      <w:pPr>
        <w:spacing w:line="360" w:lineRule="auto"/>
        <w:ind w:firstLine="480" w:firstLineChars="200"/>
        <w:rPr>
          <w:rFonts w:ascii="宋体" w:hAnsi="宋体"/>
          <w:sz w:val="24"/>
          <w:szCs w:val="18"/>
        </w:rPr>
      </w:pPr>
    </w:p>
    <w:p>
      <w:pPr>
        <w:spacing w:line="360" w:lineRule="auto"/>
        <w:rPr>
          <w:rFonts w:ascii="宋体" w:hAnsi="宋体"/>
          <w:sz w:val="24"/>
          <w:szCs w:val="18"/>
          <w:u w:val="single"/>
        </w:rPr>
      </w:pPr>
      <w:r>
        <w:rPr>
          <w:rFonts w:hint="eastAsia" w:ascii="宋体" w:hAnsi="宋体"/>
          <w:sz w:val="24"/>
          <w:szCs w:val="18"/>
        </w:rPr>
        <w:t>委托代理人：</w:t>
      </w:r>
      <w:r>
        <w:rPr>
          <w:rFonts w:hint="eastAsia" w:ascii="宋体" w:hAnsi="宋体"/>
          <w:sz w:val="24"/>
          <w:szCs w:val="18"/>
          <w:u w:val="single"/>
        </w:rPr>
        <w:t xml:space="preserve">  （签字）     </w:t>
      </w:r>
      <w:r>
        <w:rPr>
          <w:rFonts w:hint="eastAsia" w:ascii="宋体" w:hAnsi="宋体"/>
          <w:sz w:val="24"/>
          <w:szCs w:val="18"/>
        </w:rPr>
        <w:t xml:space="preserve">  性别：</w:t>
      </w:r>
      <w:r>
        <w:rPr>
          <w:rFonts w:hint="eastAsia" w:ascii="宋体" w:hAnsi="宋体"/>
          <w:sz w:val="24"/>
          <w:szCs w:val="18"/>
          <w:u w:val="single"/>
        </w:rPr>
        <w:t xml:space="preserve">        </w:t>
      </w:r>
      <w:r>
        <w:rPr>
          <w:rFonts w:hint="eastAsia" w:ascii="宋体" w:hAnsi="宋体"/>
          <w:sz w:val="24"/>
          <w:szCs w:val="18"/>
        </w:rPr>
        <w:t>年龄：</w:t>
      </w:r>
      <w:r>
        <w:rPr>
          <w:rFonts w:hint="eastAsia" w:ascii="宋体" w:hAnsi="宋体"/>
          <w:sz w:val="24"/>
          <w:szCs w:val="18"/>
          <w:u w:val="single"/>
        </w:rPr>
        <w:t xml:space="preserve">        .</w:t>
      </w:r>
    </w:p>
    <w:p>
      <w:pPr>
        <w:spacing w:line="360" w:lineRule="auto"/>
        <w:rPr>
          <w:rFonts w:ascii="宋体" w:hAnsi="宋体"/>
          <w:sz w:val="24"/>
          <w:szCs w:val="18"/>
          <w:u w:val="single"/>
        </w:rPr>
      </w:pPr>
      <w:r>
        <w:rPr>
          <w:rFonts w:hint="eastAsia" w:ascii="宋体" w:hAnsi="宋体"/>
          <w:sz w:val="24"/>
          <w:szCs w:val="18"/>
        </w:rPr>
        <w:t>委托代理人（电话）</w:t>
      </w:r>
      <w:r>
        <w:rPr>
          <w:rFonts w:hint="eastAsia" w:ascii="宋体" w:hAnsi="宋体"/>
          <w:sz w:val="24"/>
          <w:szCs w:val="18"/>
          <w:u w:val="single"/>
        </w:rPr>
        <w:t xml:space="preserve">               </w:t>
      </w:r>
      <w:r>
        <w:rPr>
          <w:rFonts w:hint="eastAsia" w:ascii="宋体" w:hAnsi="宋体"/>
          <w:sz w:val="24"/>
          <w:szCs w:val="18"/>
        </w:rPr>
        <w:t>（手机）</w:t>
      </w:r>
    </w:p>
    <w:p>
      <w:pPr>
        <w:spacing w:line="360" w:lineRule="auto"/>
        <w:rPr>
          <w:rFonts w:ascii="宋体" w:hAnsi="宋体"/>
          <w:sz w:val="24"/>
          <w:szCs w:val="18"/>
        </w:rPr>
      </w:pPr>
    </w:p>
    <w:p>
      <w:pPr>
        <w:spacing w:line="360" w:lineRule="auto"/>
        <w:rPr>
          <w:rFonts w:ascii="宋体" w:hAnsi="宋体"/>
          <w:sz w:val="24"/>
          <w:szCs w:val="18"/>
        </w:rPr>
      </w:pPr>
    </w:p>
    <w:p>
      <w:pPr>
        <w:spacing w:line="360" w:lineRule="auto"/>
        <w:ind w:firstLine="2760" w:firstLineChars="1150"/>
        <w:rPr>
          <w:rFonts w:ascii="宋体" w:hAnsi="宋体"/>
          <w:sz w:val="24"/>
          <w:szCs w:val="18"/>
        </w:rPr>
      </w:pPr>
      <w:r>
        <w:rPr>
          <w:rFonts w:hint="eastAsia" w:ascii="宋体" w:hAnsi="宋体"/>
          <w:sz w:val="24"/>
          <w:szCs w:val="18"/>
        </w:rPr>
        <w:t xml:space="preserve"> </w:t>
      </w:r>
    </w:p>
    <w:p>
      <w:pPr>
        <w:spacing w:line="360" w:lineRule="auto"/>
        <w:ind w:firstLine="2760" w:firstLineChars="1150"/>
        <w:jc w:val="right"/>
        <w:rPr>
          <w:rFonts w:ascii="宋体" w:hAnsi="宋体"/>
          <w:sz w:val="24"/>
          <w:szCs w:val="18"/>
        </w:rPr>
      </w:pPr>
      <w:r>
        <w:rPr>
          <w:rFonts w:hint="eastAsia" w:ascii="宋体" w:hAnsi="宋体"/>
          <w:sz w:val="24"/>
          <w:szCs w:val="18"/>
        </w:rPr>
        <w:t xml:space="preserve"> 授权人（法定代表人）：</w:t>
      </w:r>
      <w:r>
        <w:rPr>
          <w:rFonts w:hint="eastAsia" w:ascii="宋体" w:hAnsi="宋体"/>
          <w:sz w:val="24"/>
          <w:szCs w:val="18"/>
          <w:u w:val="single"/>
        </w:rPr>
        <w:t xml:space="preserve">          （签字） </w:t>
      </w:r>
    </w:p>
    <w:p>
      <w:pPr>
        <w:spacing w:line="360" w:lineRule="auto"/>
        <w:ind w:firstLine="2872" w:firstLineChars="1197"/>
        <w:jc w:val="right"/>
        <w:rPr>
          <w:rFonts w:ascii="宋体" w:hAnsi="宋体"/>
          <w:sz w:val="24"/>
          <w:szCs w:val="18"/>
        </w:rPr>
      </w:pPr>
      <w:r>
        <w:rPr>
          <w:rFonts w:hint="eastAsia" w:ascii="宋体" w:hAnsi="宋体"/>
          <w:sz w:val="24"/>
          <w:szCs w:val="18"/>
        </w:rPr>
        <w:t>比选响应单位：</w:t>
      </w:r>
      <w:r>
        <w:rPr>
          <w:rFonts w:hint="eastAsia" w:ascii="宋体" w:hAnsi="宋体"/>
          <w:sz w:val="24"/>
          <w:szCs w:val="18"/>
          <w:u w:val="single"/>
        </w:rPr>
        <w:t xml:space="preserve">      （全称并加盖单位章） </w:t>
      </w:r>
    </w:p>
    <w:p>
      <w:pPr>
        <w:spacing w:line="360" w:lineRule="auto"/>
        <w:jc w:val="center"/>
        <w:rPr>
          <w:rFonts w:ascii="宋体" w:hAnsi="宋体"/>
          <w:sz w:val="24"/>
          <w:szCs w:val="18"/>
        </w:rPr>
      </w:pPr>
      <w:r>
        <w:rPr>
          <w:rFonts w:hint="eastAsia" w:ascii="宋体" w:hAnsi="宋体"/>
          <w:sz w:val="24"/>
          <w:szCs w:val="18"/>
        </w:rPr>
        <w:t xml:space="preserve">                     日期：</w:t>
      </w:r>
      <w:r>
        <w:rPr>
          <w:rFonts w:hint="eastAsia" w:ascii="宋体" w:hAnsi="宋体"/>
          <w:sz w:val="24"/>
          <w:szCs w:val="18"/>
          <w:u w:val="single"/>
        </w:rPr>
        <w:t xml:space="preserve">       </w:t>
      </w:r>
      <w:r>
        <w:rPr>
          <w:rFonts w:hint="eastAsia" w:ascii="宋体" w:hAnsi="宋体"/>
          <w:sz w:val="24"/>
          <w:szCs w:val="18"/>
        </w:rPr>
        <w:t>年</w:t>
      </w:r>
      <w:r>
        <w:rPr>
          <w:rFonts w:hint="eastAsia" w:ascii="宋体" w:hAnsi="宋体"/>
          <w:sz w:val="24"/>
          <w:szCs w:val="18"/>
          <w:u w:val="single"/>
        </w:rPr>
        <w:t xml:space="preserve">    </w:t>
      </w:r>
      <w:r>
        <w:rPr>
          <w:rFonts w:hint="eastAsia" w:ascii="宋体" w:hAnsi="宋体"/>
          <w:sz w:val="24"/>
          <w:szCs w:val="18"/>
        </w:rPr>
        <w:t>月</w:t>
      </w:r>
      <w:r>
        <w:rPr>
          <w:rFonts w:hint="eastAsia" w:ascii="宋体" w:hAnsi="宋体"/>
          <w:sz w:val="24"/>
          <w:szCs w:val="18"/>
          <w:u w:val="single"/>
        </w:rPr>
        <w:t xml:space="preserve">    </w:t>
      </w:r>
      <w:r>
        <w:rPr>
          <w:rFonts w:hint="eastAsia" w:ascii="宋体" w:hAnsi="宋体"/>
          <w:sz w:val="24"/>
          <w:szCs w:val="18"/>
        </w:rPr>
        <w:t>日</w:t>
      </w:r>
    </w:p>
    <w:p>
      <w:pPr>
        <w:spacing w:line="360" w:lineRule="auto"/>
        <w:rPr>
          <w:rFonts w:ascii="宋体" w:hAnsi="宋体"/>
          <w:sz w:val="20"/>
          <w:szCs w:val="18"/>
        </w:rPr>
      </w:pPr>
    </w:p>
    <w:p>
      <w:pPr>
        <w:spacing w:line="360" w:lineRule="auto"/>
        <w:rPr>
          <w:rFonts w:ascii="宋体" w:hAnsi="宋体"/>
          <w:sz w:val="20"/>
          <w:szCs w:val="18"/>
        </w:rPr>
      </w:pPr>
    </w:p>
    <w:p>
      <w:pPr>
        <w:spacing w:line="360" w:lineRule="auto"/>
        <w:rPr>
          <w:rFonts w:ascii="宋体" w:hAnsi="宋体"/>
          <w:sz w:val="20"/>
          <w:szCs w:val="18"/>
        </w:rPr>
      </w:pPr>
    </w:p>
    <w:p>
      <w:pPr>
        <w:spacing w:line="360" w:lineRule="auto"/>
        <w:rPr>
          <w:rFonts w:ascii="宋体" w:hAnsi="宋体"/>
          <w:sz w:val="20"/>
          <w:szCs w:val="18"/>
        </w:rPr>
      </w:pPr>
      <w:r>
        <w:rPr>
          <w:rFonts w:hint="eastAsia" w:ascii="宋体" w:hAnsi="宋体"/>
          <w:sz w:val="20"/>
          <w:szCs w:val="18"/>
        </w:rPr>
        <w:t>注：1、附法定代表人及委托代理人身份证复印件。</w:t>
      </w:r>
    </w:p>
    <w:p>
      <w:pPr>
        <w:spacing w:line="360" w:lineRule="auto"/>
        <w:ind w:firstLine="400" w:firstLineChars="200"/>
        <w:rPr>
          <w:rFonts w:ascii="宋体" w:hAnsi="宋体"/>
          <w:sz w:val="20"/>
          <w:szCs w:val="18"/>
        </w:rPr>
      </w:pPr>
      <w:r>
        <w:rPr>
          <w:rFonts w:hint="eastAsia" w:ascii="宋体" w:hAnsi="宋体"/>
          <w:sz w:val="20"/>
          <w:szCs w:val="18"/>
        </w:rPr>
        <w:t>2、比选响应单位的法定代表人直接参加比选活动的，不需要提供授权书。</w:t>
      </w:r>
    </w:p>
    <w:p>
      <w:pPr>
        <w:spacing w:line="360" w:lineRule="auto"/>
        <w:rPr>
          <w:rFonts w:ascii="黑体" w:hAnsi="宋体" w:eastAsia="黑体"/>
          <w:kern w:val="0"/>
          <w:sz w:val="28"/>
          <w:szCs w:val="18"/>
          <w:lang w:val="zh-CN"/>
        </w:rPr>
      </w:pPr>
      <w:r>
        <w:rPr>
          <w:rFonts w:ascii="黑体" w:hAnsi="宋体" w:eastAsia="黑体"/>
          <w:kern w:val="0"/>
          <w:sz w:val="32"/>
          <w:szCs w:val="18"/>
          <w:lang w:val="zh-CN"/>
        </w:rPr>
        <w:br w:type="page"/>
      </w:r>
      <w:r>
        <w:rPr>
          <w:rFonts w:hint="eastAsia" w:ascii="宋体" w:hAnsi="宋体"/>
          <w:b/>
          <w:sz w:val="24"/>
          <w:szCs w:val="18"/>
        </w:rPr>
        <w:t>（4）公司组织结构及资质信息</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984"/>
        <w:gridCol w:w="1134"/>
        <w:gridCol w:w="726"/>
        <w:gridCol w:w="806"/>
        <w:gridCol w:w="87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7" w:type="dxa"/>
            <w:gridSpan w:val="7"/>
            <w:vAlign w:val="center"/>
          </w:tcPr>
          <w:p>
            <w:pPr>
              <w:spacing w:line="360" w:lineRule="auto"/>
              <w:jc w:val="center"/>
              <w:rPr>
                <w:rFonts w:ascii="宋体" w:hAnsi="宋体"/>
                <w:sz w:val="22"/>
                <w:szCs w:val="18"/>
              </w:rPr>
            </w:pPr>
            <w:r>
              <w:rPr>
                <w:rFonts w:hint="eastAsia" w:ascii="宋体" w:hAnsi="宋体"/>
                <w:sz w:val="22"/>
                <w:szCs w:val="18"/>
              </w:rPr>
              <w:t>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Align w:val="center"/>
          </w:tcPr>
          <w:p>
            <w:pPr>
              <w:spacing w:line="360" w:lineRule="auto"/>
              <w:jc w:val="center"/>
              <w:rPr>
                <w:rFonts w:ascii="宋体" w:hAnsi="宋体"/>
                <w:sz w:val="22"/>
                <w:szCs w:val="18"/>
              </w:rPr>
            </w:pPr>
            <w:r>
              <w:rPr>
                <w:rFonts w:hint="eastAsia" w:ascii="宋体" w:hAnsi="宋体"/>
                <w:sz w:val="22"/>
                <w:szCs w:val="18"/>
              </w:rPr>
              <w:t>企业法人名称</w:t>
            </w:r>
          </w:p>
        </w:tc>
        <w:tc>
          <w:tcPr>
            <w:tcW w:w="7089" w:type="dxa"/>
            <w:gridSpan w:val="6"/>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88" w:type="dxa"/>
            <w:vAlign w:val="center"/>
          </w:tcPr>
          <w:p>
            <w:pPr>
              <w:spacing w:line="360" w:lineRule="auto"/>
              <w:jc w:val="center"/>
              <w:rPr>
                <w:rFonts w:ascii="宋体" w:hAnsi="宋体"/>
                <w:sz w:val="22"/>
                <w:szCs w:val="18"/>
              </w:rPr>
            </w:pPr>
            <w:r>
              <w:rPr>
                <w:rFonts w:hint="eastAsia" w:ascii="宋体" w:hAnsi="宋体"/>
                <w:sz w:val="22"/>
                <w:szCs w:val="18"/>
              </w:rPr>
              <w:t>注册地址</w:t>
            </w:r>
          </w:p>
        </w:tc>
        <w:tc>
          <w:tcPr>
            <w:tcW w:w="7089" w:type="dxa"/>
            <w:gridSpan w:val="6"/>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Align w:val="center"/>
          </w:tcPr>
          <w:p>
            <w:pPr>
              <w:spacing w:line="360" w:lineRule="auto"/>
              <w:jc w:val="center"/>
              <w:rPr>
                <w:rFonts w:ascii="宋体" w:hAnsi="宋体"/>
                <w:sz w:val="22"/>
                <w:szCs w:val="18"/>
              </w:rPr>
            </w:pPr>
            <w:r>
              <w:rPr>
                <w:rFonts w:hint="eastAsia" w:ascii="宋体" w:hAnsi="宋体"/>
                <w:sz w:val="22"/>
                <w:szCs w:val="18"/>
              </w:rPr>
              <w:t>法定代表人</w:t>
            </w:r>
          </w:p>
        </w:tc>
        <w:tc>
          <w:tcPr>
            <w:tcW w:w="7089" w:type="dxa"/>
            <w:gridSpan w:val="6"/>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88" w:type="dxa"/>
            <w:vAlign w:val="center"/>
          </w:tcPr>
          <w:p>
            <w:pPr>
              <w:spacing w:line="360" w:lineRule="auto"/>
              <w:jc w:val="center"/>
              <w:rPr>
                <w:rFonts w:ascii="宋体" w:hAnsi="宋体"/>
                <w:sz w:val="22"/>
                <w:szCs w:val="18"/>
              </w:rPr>
            </w:pPr>
            <w:r>
              <w:rPr>
                <w:rFonts w:hint="eastAsia" w:ascii="宋体" w:hAnsi="宋体"/>
                <w:sz w:val="22"/>
                <w:szCs w:val="18"/>
              </w:rPr>
              <w:t>组织机构代码</w:t>
            </w:r>
          </w:p>
        </w:tc>
        <w:tc>
          <w:tcPr>
            <w:tcW w:w="7089" w:type="dxa"/>
            <w:gridSpan w:val="6"/>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88" w:type="dxa"/>
            <w:vAlign w:val="center"/>
          </w:tcPr>
          <w:p>
            <w:pPr>
              <w:spacing w:line="360" w:lineRule="auto"/>
              <w:jc w:val="center"/>
              <w:rPr>
                <w:rFonts w:ascii="宋体" w:hAnsi="宋体"/>
                <w:sz w:val="22"/>
                <w:szCs w:val="18"/>
              </w:rPr>
            </w:pPr>
            <w:r>
              <w:rPr>
                <w:rFonts w:hint="eastAsia" w:ascii="宋体" w:hAnsi="宋体"/>
                <w:sz w:val="22"/>
                <w:szCs w:val="18"/>
              </w:rPr>
              <w:t>注册资本</w:t>
            </w:r>
          </w:p>
        </w:tc>
        <w:tc>
          <w:tcPr>
            <w:tcW w:w="7089" w:type="dxa"/>
            <w:gridSpan w:val="6"/>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Merge w:val="restart"/>
            <w:vAlign w:val="center"/>
          </w:tcPr>
          <w:p>
            <w:pPr>
              <w:spacing w:line="360" w:lineRule="auto"/>
              <w:jc w:val="center"/>
              <w:rPr>
                <w:rFonts w:ascii="宋体" w:hAnsi="宋体"/>
                <w:sz w:val="22"/>
                <w:szCs w:val="18"/>
              </w:rPr>
            </w:pPr>
            <w:r>
              <w:rPr>
                <w:rFonts w:hint="eastAsia" w:ascii="宋体" w:hAnsi="宋体"/>
                <w:sz w:val="22"/>
                <w:szCs w:val="18"/>
              </w:rPr>
              <w:t>资质情况</w:t>
            </w:r>
          </w:p>
        </w:tc>
        <w:tc>
          <w:tcPr>
            <w:tcW w:w="1984" w:type="dxa"/>
            <w:vAlign w:val="center"/>
          </w:tcPr>
          <w:p>
            <w:pPr>
              <w:spacing w:line="360" w:lineRule="auto"/>
              <w:jc w:val="center"/>
              <w:rPr>
                <w:rFonts w:ascii="宋体" w:hAnsi="宋体"/>
                <w:sz w:val="22"/>
                <w:szCs w:val="18"/>
              </w:rPr>
            </w:pPr>
            <w:r>
              <w:rPr>
                <w:rFonts w:hint="eastAsia" w:ascii="宋体" w:hAnsi="宋体"/>
                <w:sz w:val="22"/>
                <w:szCs w:val="18"/>
              </w:rPr>
              <w:t>资质等级</w:t>
            </w:r>
          </w:p>
        </w:tc>
        <w:tc>
          <w:tcPr>
            <w:tcW w:w="1860" w:type="dxa"/>
            <w:gridSpan w:val="2"/>
            <w:vAlign w:val="center"/>
          </w:tcPr>
          <w:p>
            <w:pPr>
              <w:spacing w:line="360" w:lineRule="auto"/>
              <w:jc w:val="center"/>
              <w:rPr>
                <w:rFonts w:ascii="宋体" w:hAnsi="宋体"/>
                <w:sz w:val="22"/>
                <w:szCs w:val="18"/>
              </w:rPr>
            </w:pPr>
            <w:r>
              <w:rPr>
                <w:rFonts w:hint="eastAsia" w:ascii="宋体" w:hAnsi="宋体"/>
                <w:sz w:val="22"/>
                <w:szCs w:val="18"/>
              </w:rPr>
              <w:t>证书编号</w:t>
            </w:r>
          </w:p>
        </w:tc>
        <w:tc>
          <w:tcPr>
            <w:tcW w:w="1684" w:type="dxa"/>
            <w:gridSpan w:val="2"/>
            <w:vAlign w:val="center"/>
          </w:tcPr>
          <w:p>
            <w:pPr>
              <w:spacing w:line="360" w:lineRule="auto"/>
              <w:jc w:val="center"/>
              <w:rPr>
                <w:rFonts w:ascii="宋体" w:hAnsi="宋体"/>
                <w:sz w:val="22"/>
                <w:szCs w:val="18"/>
              </w:rPr>
            </w:pPr>
            <w:r>
              <w:rPr>
                <w:rFonts w:hint="eastAsia" w:ascii="宋体" w:hAnsi="宋体"/>
                <w:sz w:val="22"/>
                <w:szCs w:val="18"/>
              </w:rPr>
              <w:t>发证机关</w:t>
            </w:r>
          </w:p>
        </w:tc>
        <w:tc>
          <w:tcPr>
            <w:tcW w:w="1561" w:type="dxa"/>
            <w:vAlign w:val="center"/>
          </w:tcPr>
          <w:p>
            <w:pPr>
              <w:spacing w:line="360" w:lineRule="auto"/>
              <w:jc w:val="center"/>
              <w:rPr>
                <w:rFonts w:ascii="宋体" w:hAnsi="宋体"/>
                <w:sz w:val="22"/>
                <w:szCs w:val="18"/>
              </w:rPr>
            </w:pPr>
            <w:r>
              <w:rPr>
                <w:rFonts w:hint="eastAsia" w:ascii="宋体" w:hAnsi="宋体"/>
                <w:sz w:val="22"/>
                <w:szCs w:val="18"/>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Merge w:val="continue"/>
            <w:vAlign w:val="center"/>
          </w:tcPr>
          <w:p>
            <w:pPr>
              <w:spacing w:line="360" w:lineRule="auto"/>
              <w:jc w:val="center"/>
              <w:rPr>
                <w:rFonts w:ascii="宋体" w:hAnsi="宋体"/>
                <w:sz w:val="22"/>
                <w:szCs w:val="18"/>
              </w:rPr>
            </w:pPr>
          </w:p>
        </w:tc>
        <w:tc>
          <w:tcPr>
            <w:tcW w:w="1984" w:type="dxa"/>
            <w:vAlign w:val="center"/>
          </w:tcPr>
          <w:p>
            <w:pPr>
              <w:spacing w:line="360" w:lineRule="auto"/>
              <w:jc w:val="center"/>
              <w:rPr>
                <w:rFonts w:ascii="宋体" w:hAnsi="宋体"/>
                <w:sz w:val="22"/>
                <w:szCs w:val="18"/>
              </w:rPr>
            </w:pPr>
          </w:p>
        </w:tc>
        <w:tc>
          <w:tcPr>
            <w:tcW w:w="1860" w:type="dxa"/>
            <w:gridSpan w:val="2"/>
            <w:vAlign w:val="center"/>
          </w:tcPr>
          <w:p>
            <w:pPr>
              <w:spacing w:line="360" w:lineRule="auto"/>
              <w:jc w:val="center"/>
              <w:rPr>
                <w:rFonts w:ascii="宋体" w:hAnsi="宋体"/>
                <w:sz w:val="22"/>
                <w:szCs w:val="18"/>
              </w:rPr>
            </w:pPr>
          </w:p>
        </w:tc>
        <w:tc>
          <w:tcPr>
            <w:tcW w:w="1684" w:type="dxa"/>
            <w:gridSpan w:val="2"/>
            <w:vAlign w:val="center"/>
          </w:tcPr>
          <w:p>
            <w:pPr>
              <w:spacing w:line="360" w:lineRule="auto"/>
              <w:jc w:val="center"/>
              <w:rPr>
                <w:rFonts w:ascii="宋体" w:hAnsi="宋体"/>
                <w:sz w:val="22"/>
                <w:szCs w:val="18"/>
              </w:rPr>
            </w:pPr>
          </w:p>
        </w:tc>
        <w:tc>
          <w:tcPr>
            <w:tcW w:w="1561" w:type="dxa"/>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Merge w:val="continue"/>
            <w:vAlign w:val="center"/>
          </w:tcPr>
          <w:p>
            <w:pPr>
              <w:spacing w:line="360" w:lineRule="auto"/>
              <w:jc w:val="center"/>
              <w:rPr>
                <w:rFonts w:ascii="宋体" w:hAnsi="宋体"/>
                <w:sz w:val="22"/>
                <w:szCs w:val="18"/>
              </w:rPr>
            </w:pPr>
          </w:p>
        </w:tc>
        <w:tc>
          <w:tcPr>
            <w:tcW w:w="1984" w:type="dxa"/>
            <w:vAlign w:val="center"/>
          </w:tcPr>
          <w:p>
            <w:pPr>
              <w:spacing w:line="360" w:lineRule="auto"/>
              <w:jc w:val="center"/>
              <w:rPr>
                <w:rFonts w:ascii="宋体" w:hAnsi="宋体"/>
                <w:sz w:val="22"/>
                <w:szCs w:val="18"/>
              </w:rPr>
            </w:pPr>
          </w:p>
        </w:tc>
        <w:tc>
          <w:tcPr>
            <w:tcW w:w="1860" w:type="dxa"/>
            <w:gridSpan w:val="2"/>
            <w:vAlign w:val="center"/>
          </w:tcPr>
          <w:p>
            <w:pPr>
              <w:spacing w:line="360" w:lineRule="auto"/>
              <w:jc w:val="center"/>
              <w:rPr>
                <w:rFonts w:ascii="宋体" w:hAnsi="宋体"/>
                <w:sz w:val="22"/>
                <w:szCs w:val="18"/>
              </w:rPr>
            </w:pPr>
          </w:p>
        </w:tc>
        <w:tc>
          <w:tcPr>
            <w:tcW w:w="1684" w:type="dxa"/>
            <w:gridSpan w:val="2"/>
            <w:vAlign w:val="center"/>
          </w:tcPr>
          <w:p>
            <w:pPr>
              <w:spacing w:line="360" w:lineRule="auto"/>
              <w:jc w:val="center"/>
              <w:rPr>
                <w:rFonts w:ascii="宋体" w:hAnsi="宋体"/>
                <w:sz w:val="22"/>
                <w:szCs w:val="18"/>
              </w:rPr>
            </w:pPr>
          </w:p>
        </w:tc>
        <w:tc>
          <w:tcPr>
            <w:tcW w:w="1561" w:type="dxa"/>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Merge w:val="continue"/>
            <w:vAlign w:val="center"/>
          </w:tcPr>
          <w:p>
            <w:pPr>
              <w:spacing w:line="360" w:lineRule="auto"/>
              <w:jc w:val="center"/>
              <w:rPr>
                <w:rFonts w:ascii="宋体" w:hAnsi="宋体"/>
                <w:sz w:val="22"/>
                <w:szCs w:val="18"/>
              </w:rPr>
            </w:pPr>
          </w:p>
        </w:tc>
        <w:tc>
          <w:tcPr>
            <w:tcW w:w="1984" w:type="dxa"/>
            <w:vAlign w:val="center"/>
          </w:tcPr>
          <w:p>
            <w:pPr>
              <w:spacing w:line="360" w:lineRule="auto"/>
              <w:jc w:val="center"/>
              <w:rPr>
                <w:rFonts w:ascii="宋体" w:hAnsi="宋体"/>
                <w:sz w:val="22"/>
                <w:szCs w:val="18"/>
              </w:rPr>
            </w:pPr>
          </w:p>
        </w:tc>
        <w:tc>
          <w:tcPr>
            <w:tcW w:w="1860" w:type="dxa"/>
            <w:gridSpan w:val="2"/>
            <w:vAlign w:val="center"/>
          </w:tcPr>
          <w:p>
            <w:pPr>
              <w:spacing w:line="360" w:lineRule="auto"/>
              <w:jc w:val="center"/>
              <w:rPr>
                <w:rFonts w:ascii="宋体" w:hAnsi="宋体"/>
                <w:sz w:val="22"/>
                <w:szCs w:val="18"/>
              </w:rPr>
            </w:pPr>
          </w:p>
        </w:tc>
        <w:tc>
          <w:tcPr>
            <w:tcW w:w="1684" w:type="dxa"/>
            <w:gridSpan w:val="2"/>
            <w:vAlign w:val="center"/>
          </w:tcPr>
          <w:p>
            <w:pPr>
              <w:spacing w:line="360" w:lineRule="auto"/>
              <w:jc w:val="center"/>
              <w:rPr>
                <w:rFonts w:ascii="宋体" w:hAnsi="宋体"/>
                <w:sz w:val="22"/>
                <w:szCs w:val="18"/>
              </w:rPr>
            </w:pPr>
          </w:p>
        </w:tc>
        <w:tc>
          <w:tcPr>
            <w:tcW w:w="1561" w:type="dxa"/>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88" w:type="dxa"/>
            <w:vAlign w:val="center"/>
          </w:tcPr>
          <w:p>
            <w:pPr>
              <w:spacing w:line="360" w:lineRule="auto"/>
              <w:jc w:val="center"/>
              <w:rPr>
                <w:rFonts w:ascii="宋体" w:hAnsi="宋体"/>
                <w:sz w:val="22"/>
                <w:szCs w:val="18"/>
              </w:rPr>
            </w:pPr>
            <w:r>
              <w:rPr>
                <w:rFonts w:hint="eastAsia" w:ascii="宋体" w:hAnsi="宋体"/>
                <w:sz w:val="22"/>
                <w:szCs w:val="18"/>
              </w:rPr>
              <w:t>电话</w:t>
            </w:r>
          </w:p>
        </w:tc>
        <w:tc>
          <w:tcPr>
            <w:tcW w:w="7089" w:type="dxa"/>
            <w:gridSpan w:val="6"/>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Align w:val="center"/>
          </w:tcPr>
          <w:p>
            <w:pPr>
              <w:spacing w:line="360" w:lineRule="auto"/>
              <w:jc w:val="center"/>
              <w:rPr>
                <w:rFonts w:ascii="宋体" w:hAnsi="宋体"/>
                <w:sz w:val="22"/>
                <w:szCs w:val="18"/>
              </w:rPr>
            </w:pPr>
            <w:r>
              <w:rPr>
                <w:rFonts w:hint="eastAsia" w:ascii="宋体" w:hAnsi="宋体"/>
                <w:sz w:val="22"/>
                <w:szCs w:val="18"/>
              </w:rPr>
              <w:t>传真</w:t>
            </w:r>
          </w:p>
        </w:tc>
        <w:tc>
          <w:tcPr>
            <w:tcW w:w="7089" w:type="dxa"/>
            <w:gridSpan w:val="6"/>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Align w:val="center"/>
          </w:tcPr>
          <w:p>
            <w:pPr>
              <w:spacing w:line="360" w:lineRule="auto"/>
              <w:jc w:val="center"/>
              <w:rPr>
                <w:rFonts w:ascii="宋体" w:hAnsi="宋体"/>
                <w:sz w:val="22"/>
                <w:szCs w:val="18"/>
              </w:rPr>
            </w:pPr>
            <w:r>
              <w:rPr>
                <w:rFonts w:hint="eastAsia" w:ascii="宋体" w:hAnsi="宋体"/>
                <w:sz w:val="22"/>
                <w:szCs w:val="18"/>
              </w:rPr>
              <w:t>邮箱</w:t>
            </w:r>
          </w:p>
        </w:tc>
        <w:tc>
          <w:tcPr>
            <w:tcW w:w="7089" w:type="dxa"/>
            <w:gridSpan w:val="6"/>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988" w:type="dxa"/>
            <w:vAlign w:val="center"/>
          </w:tcPr>
          <w:p>
            <w:pPr>
              <w:spacing w:line="360" w:lineRule="auto"/>
              <w:jc w:val="center"/>
              <w:rPr>
                <w:rFonts w:ascii="宋体" w:hAnsi="宋体"/>
                <w:sz w:val="22"/>
                <w:szCs w:val="18"/>
              </w:rPr>
            </w:pPr>
            <w:r>
              <w:rPr>
                <w:rFonts w:hint="eastAsia" w:ascii="宋体" w:hAnsi="宋体"/>
                <w:sz w:val="22"/>
                <w:szCs w:val="18"/>
              </w:rPr>
              <w:t>企业类型</w:t>
            </w:r>
          </w:p>
        </w:tc>
        <w:tc>
          <w:tcPr>
            <w:tcW w:w="7089" w:type="dxa"/>
            <w:gridSpan w:val="6"/>
            <w:vAlign w:val="center"/>
          </w:tcPr>
          <w:p>
            <w:pPr>
              <w:spacing w:line="360" w:lineRule="auto"/>
              <w:jc w:val="center"/>
              <w:rPr>
                <w:rFonts w:ascii="宋体" w:hAnsi="宋体"/>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988" w:type="dxa"/>
            <w:vAlign w:val="center"/>
          </w:tcPr>
          <w:p>
            <w:pPr>
              <w:spacing w:line="360" w:lineRule="auto"/>
              <w:jc w:val="center"/>
              <w:rPr>
                <w:rFonts w:ascii="宋体" w:hAnsi="宋体"/>
                <w:sz w:val="22"/>
                <w:szCs w:val="18"/>
              </w:rPr>
            </w:pPr>
            <w:r>
              <w:rPr>
                <w:rFonts w:hint="eastAsia" w:ascii="宋体" w:hAnsi="宋体"/>
                <w:sz w:val="22"/>
                <w:szCs w:val="18"/>
              </w:rPr>
              <w:t>办公地址</w:t>
            </w:r>
          </w:p>
        </w:tc>
        <w:tc>
          <w:tcPr>
            <w:tcW w:w="3118" w:type="dxa"/>
            <w:gridSpan w:val="2"/>
            <w:vAlign w:val="center"/>
          </w:tcPr>
          <w:p>
            <w:pPr>
              <w:spacing w:line="360" w:lineRule="auto"/>
              <w:jc w:val="center"/>
              <w:rPr>
                <w:rFonts w:ascii="宋体" w:hAnsi="宋体"/>
                <w:sz w:val="22"/>
                <w:szCs w:val="18"/>
              </w:rPr>
            </w:pPr>
          </w:p>
        </w:tc>
        <w:tc>
          <w:tcPr>
            <w:tcW w:w="1532" w:type="dxa"/>
            <w:gridSpan w:val="2"/>
            <w:vAlign w:val="center"/>
          </w:tcPr>
          <w:p>
            <w:pPr>
              <w:spacing w:line="360" w:lineRule="auto"/>
              <w:jc w:val="center"/>
              <w:rPr>
                <w:rFonts w:ascii="宋体" w:hAnsi="宋体"/>
                <w:sz w:val="22"/>
                <w:szCs w:val="18"/>
              </w:rPr>
            </w:pPr>
            <w:r>
              <w:rPr>
                <w:rFonts w:hint="eastAsia" w:ascii="宋体" w:hAnsi="宋体"/>
                <w:sz w:val="22"/>
                <w:szCs w:val="18"/>
              </w:rPr>
              <w:t>邮政编码</w:t>
            </w:r>
          </w:p>
        </w:tc>
        <w:tc>
          <w:tcPr>
            <w:tcW w:w="2439" w:type="dxa"/>
            <w:gridSpan w:val="2"/>
            <w:vAlign w:val="center"/>
          </w:tcPr>
          <w:p>
            <w:pPr>
              <w:spacing w:line="360" w:lineRule="auto"/>
              <w:jc w:val="center"/>
              <w:rPr>
                <w:rFonts w:ascii="宋体" w:hAnsi="宋体"/>
                <w:sz w:val="22"/>
                <w:szCs w:val="18"/>
              </w:rPr>
            </w:pPr>
          </w:p>
        </w:tc>
      </w:tr>
    </w:tbl>
    <w:p>
      <w:pPr>
        <w:spacing w:line="360" w:lineRule="auto"/>
        <w:rPr>
          <w:rFonts w:ascii="宋体" w:hAnsi="宋体"/>
          <w:sz w:val="20"/>
          <w:szCs w:val="18"/>
        </w:rPr>
      </w:pPr>
      <w:r>
        <w:rPr>
          <w:rFonts w:hint="eastAsia" w:ascii="宋体" w:hAnsi="宋体"/>
          <w:sz w:val="20"/>
          <w:szCs w:val="18"/>
        </w:rPr>
        <w:t>注：在本页后应附企业法人营业执照副本复印件。</w:t>
      </w:r>
    </w:p>
    <w:p>
      <w:pPr>
        <w:spacing w:line="360" w:lineRule="auto"/>
        <w:rPr>
          <w:rFonts w:ascii="黑体" w:hAnsi="宋体" w:eastAsia="黑体"/>
          <w:kern w:val="0"/>
          <w:sz w:val="32"/>
          <w:szCs w:val="18"/>
          <w:lang w:val="zh-CN"/>
        </w:rPr>
      </w:pPr>
      <w:r>
        <w:rPr>
          <w:rFonts w:ascii="黑体" w:hAnsi="宋体" w:eastAsia="黑体"/>
          <w:kern w:val="0"/>
          <w:sz w:val="32"/>
          <w:szCs w:val="18"/>
          <w:lang w:val="zh-CN"/>
        </w:rPr>
        <w:br w:type="page"/>
      </w:r>
      <w:r>
        <w:rPr>
          <w:rFonts w:hint="eastAsia" w:ascii="宋体" w:hAnsi="宋体"/>
          <w:b/>
          <w:sz w:val="24"/>
          <w:szCs w:val="18"/>
        </w:rPr>
        <w:t>（5）公司简介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3" w:hRule="atLeast"/>
        </w:trPr>
        <w:tc>
          <w:tcPr>
            <w:tcW w:w="9287" w:type="dxa"/>
          </w:tcPr>
          <w:p>
            <w:pPr>
              <w:rPr>
                <w:rFonts w:ascii="宋体" w:hAnsi="宋体"/>
                <w:sz w:val="24"/>
                <w:szCs w:val="18"/>
              </w:rPr>
            </w:pPr>
          </w:p>
        </w:tc>
      </w:tr>
    </w:tbl>
    <w:p>
      <w:pPr>
        <w:spacing w:line="360" w:lineRule="auto"/>
        <w:rPr>
          <w:rFonts w:ascii="宋体" w:hAnsi="宋体"/>
          <w:sz w:val="20"/>
          <w:szCs w:val="18"/>
        </w:rPr>
      </w:pPr>
      <w:r>
        <w:rPr>
          <w:rFonts w:hint="eastAsia" w:ascii="宋体" w:hAnsi="宋体"/>
          <w:sz w:val="20"/>
          <w:szCs w:val="18"/>
        </w:rPr>
        <w:t>注：简介中应包含企业的资质证书、获奖情况、经营状况、人员素质，并后附上述内容的证明文件。</w:t>
      </w:r>
    </w:p>
    <w:p>
      <w:pPr>
        <w:spacing w:line="360" w:lineRule="auto"/>
        <w:rPr>
          <w:rFonts w:ascii="宋体" w:hAnsi="宋体"/>
          <w:sz w:val="20"/>
          <w:szCs w:val="18"/>
        </w:rPr>
      </w:pPr>
    </w:p>
    <w:p>
      <w:pPr>
        <w:spacing w:line="360" w:lineRule="auto"/>
        <w:rPr>
          <w:rFonts w:ascii="宋体" w:hAnsi="宋体"/>
          <w:sz w:val="20"/>
          <w:szCs w:val="18"/>
        </w:rPr>
      </w:pPr>
      <w:r>
        <w:rPr>
          <w:rFonts w:hint="eastAsia" w:ascii="宋体" w:hAnsi="宋体"/>
          <w:b/>
          <w:sz w:val="24"/>
          <w:szCs w:val="18"/>
        </w:rPr>
        <w:t>（6）报价明细清单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850" w:type="dxa"/>
          </w:tcPr>
          <w:p>
            <w:pPr>
              <w:spacing w:line="360" w:lineRule="auto"/>
              <w:rPr>
                <w:rFonts w:ascii="宋体" w:hAnsi="宋体"/>
                <w:sz w:val="24"/>
                <w:szCs w:val="18"/>
              </w:rPr>
            </w:pPr>
          </w:p>
        </w:tc>
      </w:tr>
    </w:tbl>
    <w:p>
      <w:pPr>
        <w:spacing w:line="360" w:lineRule="auto"/>
        <w:jc w:val="left"/>
        <w:rPr>
          <w:rFonts w:ascii="宋体" w:hAnsi="宋体"/>
          <w:sz w:val="20"/>
          <w:szCs w:val="18"/>
        </w:rPr>
      </w:pPr>
      <w:r>
        <w:rPr>
          <w:rFonts w:hint="eastAsia" w:ascii="宋体" w:hAnsi="宋体"/>
          <w:sz w:val="20"/>
          <w:szCs w:val="18"/>
        </w:rPr>
        <w:t>注：格式自拟。</w:t>
      </w:r>
    </w:p>
    <w:p>
      <w:pPr>
        <w:spacing w:line="360" w:lineRule="auto"/>
        <w:rPr>
          <w:rFonts w:ascii="宋体" w:hAnsi="宋体"/>
          <w:b/>
          <w:sz w:val="24"/>
          <w:szCs w:val="18"/>
        </w:rPr>
      </w:pPr>
    </w:p>
    <w:p>
      <w:pPr>
        <w:spacing w:line="360" w:lineRule="auto"/>
        <w:rPr>
          <w:rFonts w:ascii="宋体" w:hAnsi="宋体"/>
          <w:sz w:val="20"/>
          <w:szCs w:val="18"/>
        </w:rPr>
      </w:pPr>
      <w:r>
        <w:rPr>
          <w:rFonts w:hint="eastAsia" w:ascii="宋体" w:hAnsi="宋体"/>
          <w:b/>
          <w:sz w:val="24"/>
          <w:szCs w:val="18"/>
        </w:rPr>
        <w:t>（7）服务方案</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8850" w:type="dxa"/>
          </w:tcPr>
          <w:p>
            <w:pPr>
              <w:spacing w:line="360" w:lineRule="auto"/>
              <w:rPr>
                <w:rFonts w:ascii="宋体" w:hAnsi="宋体"/>
                <w:sz w:val="24"/>
                <w:szCs w:val="18"/>
              </w:rPr>
            </w:pPr>
          </w:p>
        </w:tc>
      </w:tr>
    </w:tbl>
    <w:p>
      <w:pPr>
        <w:spacing w:line="360" w:lineRule="auto"/>
        <w:jc w:val="left"/>
        <w:rPr>
          <w:rFonts w:ascii="宋体" w:hAnsi="宋体"/>
          <w:sz w:val="20"/>
          <w:szCs w:val="18"/>
        </w:rPr>
      </w:pPr>
      <w:r>
        <w:rPr>
          <w:rFonts w:hint="eastAsia" w:ascii="宋体" w:hAnsi="宋体"/>
          <w:sz w:val="20"/>
          <w:szCs w:val="18"/>
        </w:rPr>
        <w:t>注：格式自拟，要求详见评分表。</w:t>
      </w:r>
    </w:p>
    <w:p>
      <w:pPr>
        <w:spacing w:line="360" w:lineRule="auto"/>
        <w:jc w:val="left"/>
        <w:rPr>
          <w:rFonts w:ascii="宋体" w:hAnsi="宋体"/>
          <w:sz w:val="20"/>
          <w:szCs w:val="18"/>
        </w:rPr>
      </w:pPr>
    </w:p>
    <w:p>
      <w:pPr>
        <w:spacing w:line="360" w:lineRule="auto"/>
        <w:rPr>
          <w:rFonts w:ascii="宋体" w:hAnsi="宋体"/>
          <w:b/>
          <w:sz w:val="24"/>
          <w:szCs w:val="18"/>
        </w:rPr>
      </w:pPr>
      <w:r>
        <w:rPr>
          <w:rFonts w:hint="eastAsia" w:ascii="宋体" w:hAnsi="宋体"/>
          <w:b/>
          <w:sz w:val="24"/>
          <w:szCs w:val="18"/>
        </w:rPr>
        <w:t>（8）服务业绩</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1857"/>
        <w:gridCol w:w="1857"/>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87" w:type="dxa"/>
            <w:gridSpan w:val="4"/>
            <w:vAlign w:val="center"/>
          </w:tcPr>
          <w:p>
            <w:pPr>
              <w:spacing w:line="360" w:lineRule="auto"/>
              <w:jc w:val="center"/>
              <w:rPr>
                <w:rFonts w:ascii="宋体" w:hAnsi="宋体"/>
                <w:sz w:val="20"/>
                <w:szCs w:val="18"/>
              </w:rPr>
            </w:pPr>
            <w:r>
              <w:rPr>
                <w:rFonts w:hint="eastAsia" w:ascii="宋体" w:hAnsi="宋体"/>
                <w:sz w:val="20"/>
                <w:szCs w:val="18"/>
              </w:rPr>
              <w:t>已完成项目的详细清单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57" w:type="dxa"/>
            <w:vAlign w:val="center"/>
          </w:tcPr>
          <w:p>
            <w:pPr>
              <w:spacing w:line="360" w:lineRule="auto"/>
              <w:jc w:val="center"/>
              <w:rPr>
                <w:rFonts w:ascii="宋体" w:hAnsi="宋体"/>
                <w:sz w:val="20"/>
                <w:szCs w:val="18"/>
              </w:rPr>
            </w:pPr>
            <w:r>
              <w:rPr>
                <w:rFonts w:hint="eastAsia" w:ascii="宋体" w:hAnsi="宋体"/>
                <w:sz w:val="20"/>
                <w:szCs w:val="18"/>
              </w:rPr>
              <w:t>起止时间</w:t>
            </w:r>
          </w:p>
        </w:tc>
        <w:tc>
          <w:tcPr>
            <w:tcW w:w="1857" w:type="dxa"/>
            <w:vAlign w:val="center"/>
          </w:tcPr>
          <w:p>
            <w:pPr>
              <w:spacing w:line="360" w:lineRule="auto"/>
              <w:jc w:val="center"/>
              <w:rPr>
                <w:rFonts w:ascii="宋体" w:hAnsi="宋体"/>
                <w:sz w:val="20"/>
                <w:szCs w:val="18"/>
              </w:rPr>
            </w:pPr>
            <w:r>
              <w:rPr>
                <w:rFonts w:hint="eastAsia" w:ascii="宋体" w:hAnsi="宋体"/>
                <w:sz w:val="20"/>
                <w:szCs w:val="18"/>
              </w:rPr>
              <w:t>服务企业</w:t>
            </w:r>
          </w:p>
        </w:tc>
        <w:tc>
          <w:tcPr>
            <w:tcW w:w="1857" w:type="dxa"/>
            <w:vAlign w:val="center"/>
          </w:tcPr>
          <w:p>
            <w:pPr>
              <w:spacing w:line="360" w:lineRule="auto"/>
              <w:jc w:val="center"/>
              <w:rPr>
                <w:rFonts w:ascii="宋体" w:hAnsi="宋体"/>
                <w:sz w:val="20"/>
                <w:szCs w:val="18"/>
              </w:rPr>
            </w:pPr>
            <w:r>
              <w:rPr>
                <w:rFonts w:hint="eastAsia" w:ascii="宋体" w:hAnsi="宋体"/>
                <w:sz w:val="20"/>
                <w:szCs w:val="18"/>
              </w:rPr>
              <w:t>企业性质</w:t>
            </w:r>
          </w:p>
        </w:tc>
        <w:tc>
          <w:tcPr>
            <w:tcW w:w="3716" w:type="dxa"/>
            <w:vAlign w:val="center"/>
          </w:tcPr>
          <w:p>
            <w:pPr>
              <w:spacing w:line="360" w:lineRule="auto"/>
              <w:jc w:val="center"/>
              <w:rPr>
                <w:rFonts w:ascii="宋体" w:hAnsi="宋体"/>
                <w:sz w:val="20"/>
                <w:szCs w:val="18"/>
              </w:rPr>
            </w:pPr>
            <w:r>
              <w:rPr>
                <w:rFonts w:hint="eastAsia" w:ascii="宋体" w:hAnsi="宋体"/>
                <w:sz w:val="20"/>
                <w:szCs w:val="18"/>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57" w:type="dxa"/>
            <w:vAlign w:val="center"/>
          </w:tcPr>
          <w:p>
            <w:pPr>
              <w:spacing w:line="360" w:lineRule="auto"/>
              <w:jc w:val="center"/>
              <w:rPr>
                <w:rFonts w:ascii="宋体" w:hAnsi="宋体"/>
                <w:sz w:val="20"/>
                <w:szCs w:val="18"/>
              </w:rPr>
            </w:pPr>
          </w:p>
        </w:tc>
        <w:tc>
          <w:tcPr>
            <w:tcW w:w="1857" w:type="dxa"/>
            <w:vAlign w:val="center"/>
          </w:tcPr>
          <w:p>
            <w:pPr>
              <w:spacing w:line="360" w:lineRule="auto"/>
              <w:jc w:val="center"/>
              <w:rPr>
                <w:rFonts w:ascii="宋体" w:hAnsi="宋体"/>
                <w:sz w:val="20"/>
                <w:szCs w:val="18"/>
              </w:rPr>
            </w:pPr>
          </w:p>
        </w:tc>
        <w:tc>
          <w:tcPr>
            <w:tcW w:w="1857" w:type="dxa"/>
            <w:vAlign w:val="center"/>
          </w:tcPr>
          <w:p>
            <w:pPr>
              <w:spacing w:line="360" w:lineRule="auto"/>
              <w:jc w:val="center"/>
              <w:rPr>
                <w:rFonts w:ascii="宋体" w:hAnsi="宋体"/>
                <w:sz w:val="20"/>
                <w:szCs w:val="18"/>
              </w:rPr>
            </w:pPr>
          </w:p>
        </w:tc>
        <w:tc>
          <w:tcPr>
            <w:tcW w:w="3716" w:type="dxa"/>
            <w:vAlign w:val="center"/>
          </w:tcPr>
          <w:p>
            <w:pPr>
              <w:spacing w:line="360" w:lineRule="auto"/>
              <w:jc w:val="center"/>
              <w:rPr>
                <w:rFonts w:ascii="宋体" w:hAnsi="宋体"/>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857" w:type="dxa"/>
            <w:vAlign w:val="center"/>
          </w:tcPr>
          <w:p>
            <w:pPr>
              <w:spacing w:line="360" w:lineRule="auto"/>
              <w:jc w:val="center"/>
              <w:rPr>
                <w:rFonts w:ascii="宋体" w:hAnsi="宋体"/>
                <w:sz w:val="20"/>
                <w:szCs w:val="18"/>
              </w:rPr>
            </w:pPr>
          </w:p>
        </w:tc>
        <w:tc>
          <w:tcPr>
            <w:tcW w:w="1857" w:type="dxa"/>
            <w:vAlign w:val="center"/>
          </w:tcPr>
          <w:p>
            <w:pPr>
              <w:spacing w:line="360" w:lineRule="auto"/>
              <w:jc w:val="center"/>
              <w:rPr>
                <w:rFonts w:ascii="宋体" w:hAnsi="宋体"/>
                <w:sz w:val="20"/>
                <w:szCs w:val="18"/>
              </w:rPr>
            </w:pPr>
          </w:p>
        </w:tc>
        <w:tc>
          <w:tcPr>
            <w:tcW w:w="1857" w:type="dxa"/>
            <w:vAlign w:val="center"/>
          </w:tcPr>
          <w:p>
            <w:pPr>
              <w:spacing w:line="360" w:lineRule="auto"/>
              <w:jc w:val="center"/>
              <w:rPr>
                <w:rFonts w:ascii="宋体" w:hAnsi="宋体"/>
                <w:sz w:val="20"/>
                <w:szCs w:val="18"/>
              </w:rPr>
            </w:pPr>
          </w:p>
        </w:tc>
        <w:tc>
          <w:tcPr>
            <w:tcW w:w="3716" w:type="dxa"/>
            <w:vAlign w:val="center"/>
          </w:tcPr>
          <w:p>
            <w:pPr>
              <w:spacing w:line="360" w:lineRule="auto"/>
              <w:jc w:val="center"/>
              <w:rPr>
                <w:rFonts w:ascii="宋体" w:hAnsi="宋体"/>
                <w:sz w:val="20"/>
                <w:szCs w:val="18"/>
              </w:rPr>
            </w:pPr>
          </w:p>
        </w:tc>
      </w:tr>
    </w:tbl>
    <w:p>
      <w:pPr>
        <w:spacing w:line="360" w:lineRule="auto"/>
        <w:ind w:firstLine="600" w:firstLineChars="300"/>
        <w:jc w:val="left"/>
        <w:rPr>
          <w:rFonts w:ascii="宋体" w:hAnsi="宋体"/>
          <w:sz w:val="20"/>
          <w:szCs w:val="18"/>
        </w:rPr>
      </w:pPr>
      <w:r>
        <w:rPr>
          <w:rFonts w:hint="eastAsia" w:ascii="宋体" w:hAnsi="宋体"/>
          <w:sz w:val="20"/>
          <w:szCs w:val="18"/>
        </w:rPr>
        <w:t>注：1、上述业绩以合同签订时间为准，须提供业绩证明材料。</w:t>
      </w:r>
    </w:p>
    <w:p>
      <w:pPr>
        <w:spacing w:line="360" w:lineRule="auto"/>
        <w:rPr>
          <w:rFonts w:ascii="宋体" w:hAnsi="宋体"/>
          <w:b/>
          <w:sz w:val="24"/>
          <w:szCs w:val="18"/>
        </w:rPr>
      </w:pPr>
      <w:r>
        <w:rPr>
          <w:rFonts w:hint="eastAsia" w:ascii="宋体" w:hAnsi="宋体"/>
          <w:b/>
          <w:sz w:val="24"/>
          <w:szCs w:val="18"/>
        </w:rPr>
        <w:t>（9）信誉要求文件（附下述网站查询截图）</w:t>
      </w:r>
    </w:p>
    <w:p>
      <w:pPr>
        <w:snapToGrid w:val="0"/>
        <w:spacing w:line="540" w:lineRule="exact"/>
        <w:rPr>
          <w:sz w:val="20"/>
        </w:rPr>
      </w:pPr>
      <w:r>
        <w:rPr>
          <w:rFonts w:hint="eastAsia" w:ascii="宋体" w:hAnsi="宋体" w:cs="宋体"/>
          <w:sz w:val="20"/>
        </w:rPr>
        <w:t>1.</w:t>
      </w:r>
      <w:r>
        <w:rPr>
          <w:rFonts w:hint="eastAsia"/>
          <w:sz w:val="20"/>
        </w:rPr>
        <w:t>比选申请人具有良好信誉，在国家企业信用信息公示系统（</w:t>
      </w:r>
      <w:r>
        <w:rPr>
          <w:sz w:val="20"/>
        </w:rPr>
        <w:t>http//www.gsxt.gov.cn</w:t>
      </w:r>
      <w:r>
        <w:rPr>
          <w:rFonts w:hint="eastAsia"/>
          <w:sz w:val="20"/>
        </w:rPr>
        <w:t>）中未被列入严重违法失信企业名单。</w:t>
      </w:r>
    </w:p>
    <w:p>
      <w:pPr>
        <w:snapToGrid w:val="0"/>
        <w:spacing w:line="540" w:lineRule="exact"/>
        <w:rPr>
          <w:sz w:val="20"/>
        </w:rPr>
      </w:pPr>
      <w:r>
        <w:rPr>
          <w:rFonts w:hint="eastAsia" w:ascii="宋体" w:hAnsi="宋体" w:cs="宋体"/>
          <w:sz w:val="20"/>
        </w:rPr>
        <w:t>2.</w:t>
      </w:r>
      <w:r>
        <w:rPr>
          <w:rFonts w:hint="eastAsia"/>
          <w:sz w:val="20"/>
        </w:rPr>
        <w:t>在“信用中国”网站（</w:t>
      </w:r>
      <w:r>
        <w:rPr>
          <w:sz w:val="20"/>
        </w:rPr>
        <w:t>http</w:t>
      </w:r>
      <w:r>
        <w:rPr>
          <w:rFonts w:hint="eastAsia"/>
          <w:sz w:val="20"/>
        </w:rPr>
        <w:t>：</w:t>
      </w:r>
      <w:r>
        <w:rPr>
          <w:sz w:val="20"/>
        </w:rPr>
        <w:t>//www.creditchina.gov.cn/</w:t>
      </w:r>
      <w:r>
        <w:rPr>
          <w:rFonts w:hint="eastAsia"/>
          <w:sz w:val="20"/>
        </w:rPr>
        <w:t>）、中国执行信息公开网（</w:t>
      </w:r>
      <w:r>
        <w:rPr>
          <w:sz w:val="20"/>
        </w:rPr>
        <w:t>http://zxgk.court.gov.cn/shixin/</w:t>
      </w:r>
      <w:r>
        <w:rPr>
          <w:rFonts w:hint="eastAsia"/>
          <w:sz w:val="20"/>
        </w:rPr>
        <w:t>）中未被列入失信被执行人名单。</w:t>
      </w:r>
    </w:p>
    <w:p>
      <w:pPr>
        <w:pStyle w:val="6"/>
        <w:rPr>
          <w:sz w:val="20"/>
          <w:szCs w:val="18"/>
        </w:rPr>
      </w:pPr>
    </w:p>
    <w:p>
      <w:pPr>
        <w:autoSpaceDE w:val="0"/>
        <w:autoSpaceDN w:val="0"/>
        <w:adjustRightInd w:val="0"/>
        <w:spacing w:line="360" w:lineRule="auto"/>
        <w:ind w:firstLine="480" w:firstLineChars="200"/>
        <w:rPr>
          <w:rFonts w:ascii="宋体" w:hAnsi="宋体"/>
          <w:kern w:val="0"/>
          <w:sz w:val="24"/>
          <w:szCs w:val="18"/>
        </w:rPr>
      </w:pPr>
    </w:p>
    <w:p>
      <w:pPr>
        <w:pStyle w:val="6"/>
        <w:rPr>
          <w:rFonts w:ascii="宋体" w:hAnsi="宋体"/>
          <w:kern w:val="0"/>
          <w:sz w:val="24"/>
          <w:szCs w:val="18"/>
        </w:rPr>
      </w:pPr>
    </w:p>
    <w:p>
      <w:pPr>
        <w:rPr>
          <w:rFonts w:ascii="宋体" w:hAnsi="宋体"/>
          <w:kern w:val="0"/>
          <w:sz w:val="24"/>
          <w:szCs w:val="18"/>
        </w:rPr>
      </w:pPr>
    </w:p>
    <w:p>
      <w:pPr>
        <w:pStyle w:val="6"/>
        <w:rPr>
          <w:rFonts w:ascii="宋体" w:hAnsi="宋体"/>
          <w:kern w:val="0"/>
          <w:sz w:val="24"/>
          <w:szCs w:val="18"/>
        </w:rPr>
      </w:pPr>
    </w:p>
    <w:p>
      <w:pPr>
        <w:rPr>
          <w:rFonts w:ascii="宋体" w:hAnsi="宋体"/>
          <w:kern w:val="0"/>
          <w:sz w:val="24"/>
          <w:szCs w:val="18"/>
        </w:rPr>
      </w:pPr>
    </w:p>
    <w:p>
      <w:pPr>
        <w:pStyle w:val="6"/>
        <w:rPr>
          <w:rFonts w:ascii="宋体" w:hAnsi="宋体"/>
          <w:kern w:val="0"/>
          <w:sz w:val="24"/>
          <w:szCs w:val="18"/>
        </w:rPr>
      </w:pPr>
    </w:p>
    <w:p>
      <w:pPr>
        <w:rPr>
          <w:rFonts w:ascii="宋体" w:hAnsi="宋体"/>
          <w:kern w:val="0"/>
          <w:sz w:val="24"/>
          <w:szCs w:val="18"/>
        </w:rPr>
      </w:pPr>
    </w:p>
    <w:p>
      <w:pPr>
        <w:pStyle w:val="6"/>
        <w:rPr>
          <w:rFonts w:ascii="宋体" w:hAnsi="宋体"/>
          <w:kern w:val="0"/>
          <w:sz w:val="24"/>
          <w:szCs w:val="18"/>
        </w:rPr>
      </w:pPr>
    </w:p>
    <w:p>
      <w:pPr>
        <w:rPr>
          <w:rFonts w:ascii="宋体" w:hAnsi="宋体"/>
          <w:kern w:val="0"/>
          <w:sz w:val="24"/>
          <w:szCs w:val="18"/>
        </w:rPr>
      </w:pPr>
    </w:p>
    <w:p>
      <w:pPr>
        <w:pStyle w:val="6"/>
        <w:rPr>
          <w:rFonts w:ascii="宋体" w:hAnsi="宋体"/>
          <w:kern w:val="0"/>
          <w:sz w:val="24"/>
          <w:szCs w:val="18"/>
        </w:rPr>
      </w:pPr>
    </w:p>
    <w:p>
      <w:pPr>
        <w:rPr>
          <w:rFonts w:ascii="宋体" w:hAnsi="宋体"/>
          <w:kern w:val="0"/>
          <w:sz w:val="24"/>
          <w:szCs w:val="18"/>
        </w:rPr>
      </w:pPr>
    </w:p>
    <w:p>
      <w:pPr>
        <w:pStyle w:val="6"/>
        <w:rPr>
          <w:rFonts w:ascii="宋体" w:hAnsi="宋体"/>
          <w:kern w:val="0"/>
          <w:sz w:val="24"/>
          <w:szCs w:val="18"/>
        </w:rPr>
      </w:pPr>
    </w:p>
    <w:p>
      <w:pPr>
        <w:rPr>
          <w:rFonts w:ascii="宋体" w:hAnsi="宋体"/>
          <w:kern w:val="0"/>
          <w:sz w:val="24"/>
          <w:szCs w:val="18"/>
        </w:rPr>
      </w:pPr>
    </w:p>
    <w:p>
      <w:pPr>
        <w:pStyle w:val="6"/>
        <w:rPr>
          <w:rFonts w:ascii="宋体" w:hAnsi="宋体"/>
          <w:kern w:val="0"/>
          <w:sz w:val="24"/>
          <w:szCs w:val="18"/>
        </w:rPr>
      </w:pPr>
    </w:p>
    <w:p>
      <w:pPr>
        <w:rPr>
          <w:rFonts w:ascii="宋体" w:hAnsi="宋体"/>
          <w:kern w:val="0"/>
          <w:sz w:val="24"/>
          <w:szCs w:val="18"/>
        </w:rPr>
      </w:pPr>
    </w:p>
    <w:p>
      <w:pPr>
        <w:pStyle w:val="6"/>
        <w:rPr>
          <w:rFonts w:ascii="宋体" w:hAnsi="宋体"/>
          <w:kern w:val="0"/>
          <w:sz w:val="24"/>
          <w:szCs w:val="18"/>
        </w:rPr>
      </w:pPr>
    </w:p>
    <w:p>
      <w:pPr>
        <w:rPr>
          <w:rFonts w:ascii="宋体" w:hAnsi="宋体"/>
          <w:kern w:val="0"/>
          <w:sz w:val="24"/>
          <w:szCs w:val="18"/>
        </w:rPr>
      </w:pPr>
    </w:p>
    <w:p>
      <w:pPr>
        <w:pStyle w:val="6"/>
        <w:rPr>
          <w:rFonts w:ascii="宋体" w:hAnsi="宋体"/>
          <w:kern w:val="0"/>
          <w:sz w:val="24"/>
          <w:szCs w:val="18"/>
        </w:rPr>
      </w:pPr>
    </w:p>
    <w:p>
      <w:pPr>
        <w:rPr>
          <w:rFonts w:ascii="宋体" w:hAnsi="宋体"/>
          <w:kern w:val="0"/>
          <w:sz w:val="24"/>
          <w:szCs w:val="18"/>
        </w:rPr>
      </w:pPr>
    </w:p>
    <w:p>
      <w:pPr>
        <w:pStyle w:val="6"/>
        <w:rPr>
          <w:rFonts w:ascii="宋体" w:hAnsi="宋体"/>
          <w:kern w:val="0"/>
          <w:sz w:val="24"/>
          <w:szCs w:val="18"/>
        </w:rPr>
      </w:pPr>
    </w:p>
    <w:p>
      <w:pPr>
        <w:rPr>
          <w:rFonts w:ascii="宋体" w:hAnsi="宋体"/>
          <w:kern w:val="0"/>
          <w:sz w:val="24"/>
          <w:szCs w:val="18"/>
        </w:rPr>
      </w:pPr>
    </w:p>
    <w:p>
      <w:pPr>
        <w:pStyle w:val="6"/>
        <w:rPr>
          <w:rFonts w:ascii="宋体" w:hAnsi="宋体"/>
          <w:kern w:val="0"/>
          <w:sz w:val="24"/>
          <w:szCs w:val="18"/>
        </w:rPr>
      </w:pPr>
    </w:p>
    <w:p>
      <w:pPr>
        <w:rPr>
          <w:rFonts w:ascii="宋体" w:hAnsi="宋体"/>
          <w:kern w:val="0"/>
          <w:sz w:val="24"/>
          <w:szCs w:val="18"/>
        </w:rPr>
      </w:pPr>
    </w:p>
    <w:p>
      <w:pPr>
        <w:keepNext/>
        <w:keepLines/>
        <w:jc w:val="center"/>
        <w:outlineLvl w:val="0"/>
        <w:rPr>
          <w:rFonts w:ascii="宋体" w:hAnsi="宋体" w:cs="宋体"/>
          <w:b/>
          <w:bCs/>
          <w:sz w:val="32"/>
          <w:szCs w:val="32"/>
          <w:highlight w:val="none"/>
        </w:rPr>
      </w:pPr>
      <w:bookmarkStart w:id="15" w:name="_Toc4899"/>
      <w:r>
        <w:rPr>
          <w:rFonts w:hint="eastAsia" w:ascii="宋体" w:hAnsi="宋体" w:cs="宋体"/>
          <w:b/>
          <w:bCs/>
          <w:sz w:val="32"/>
          <w:szCs w:val="32"/>
          <w:highlight w:val="none"/>
        </w:rPr>
        <w:t xml:space="preserve">第六章 </w:t>
      </w:r>
      <w:bookmarkStart w:id="16" w:name="_Toc7567"/>
      <w:r>
        <w:rPr>
          <w:rFonts w:hint="eastAsia" w:ascii="宋体" w:hAnsi="宋体" w:cs="宋体"/>
          <w:b/>
          <w:bCs/>
          <w:sz w:val="32"/>
          <w:szCs w:val="32"/>
          <w:highlight w:val="none"/>
        </w:rPr>
        <w:t>合同条款及格式</w:t>
      </w:r>
      <w:bookmarkEnd w:id="15"/>
      <w:bookmarkEnd w:id="16"/>
    </w:p>
    <w:p>
      <w:pPr>
        <w:spacing w:line="520" w:lineRule="exact"/>
        <w:ind w:firstLine="560" w:firstLineChars="200"/>
        <w:jc w:val="left"/>
        <w:rPr>
          <w:rFonts w:eastAsia="仿宋"/>
          <w:sz w:val="28"/>
          <w:szCs w:val="28"/>
        </w:rPr>
      </w:pPr>
      <w:r>
        <w:rPr>
          <w:rFonts w:eastAsia="仿宋"/>
          <w:sz w:val="28"/>
          <w:szCs w:val="28"/>
        </w:rPr>
        <w:t>甲方(委托方):</w:t>
      </w:r>
      <w:r>
        <w:rPr>
          <w:rFonts w:hint="eastAsia" w:eastAsia="仿宋"/>
          <w:sz w:val="28"/>
          <w:szCs w:val="28"/>
        </w:rPr>
        <w:t>天津蜀物智链科技有限公司</w:t>
      </w:r>
      <w:r>
        <w:rPr>
          <w:rFonts w:eastAsia="仿宋"/>
          <w:sz w:val="28"/>
          <w:szCs w:val="28"/>
        </w:rPr>
        <w:t xml:space="preserve">                  </w:t>
      </w:r>
    </w:p>
    <w:p>
      <w:pPr>
        <w:spacing w:line="520" w:lineRule="exact"/>
        <w:ind w:firstLine="560" w:firstLineChars="200"/>
        <w:jc w:val="left"/>
        <w:rPr>
          <w:rFonts w:eastAsia="仿宋"/>
          <w:sz w:val="28"/>
          <w:szCs w:val="28"/>
        </w:rPr>
      </w:pPr>
      <w:r>
        <w:rPr>
          <w:rFonts w:eastAsia="仿宋"/>
          <w:sz w:val="28"/>
          <w:szCs w:val="28"/>
        </w:rPr>
        <w:t>法定代表人</w:t>
      </w:r>
      <w:r>
        <w:rPr>
          <w:rFonts w:hint="eastAsia" w:eastAsia="仿宋"/>
          <w:sz w:val="28"/>
          <w:szCs w:val="28"/>
          <w:lang w:eastAsia="zh-CN"/>
        </w:rPr>
        <w:t>：</w:t>
      </w:r>
      <w:r>
        <w:rPr>
          <w:rFonts w:hint="eastAsia" w:eastAsia="仿宋"/>
          <w:sz w:val="28"/>
          <w:szCs w:val="28"/>
          <w:lang w:val="en-US" w:eastAsia="zh-CN"/>
        </w:rPr>
        <w:t>许长红</w:t>
      </w:r>
      <w:r>
        <w:rPr>
          <w:rFonts w:eastAsia="仿宋"/>
          <w:sz w:val="28"/>
          <w:szCs w:val="28"/>
        </w:rPr>
        <w:t xml:space="preserve">                            </w:t>
      </w:r>
    </w:p>
    <w:p>
      <w:pPr>
        <w:spacing w:line="520" w:lineRule="exact"/>
        <w:ind w:firstLine="560" w:firstLineChars="200"/>
        <w:jc w:val="left"/>
        <w:rPr>
          <w:rFonts w:eastAsia="仿宋"/>
          <w:sz w:val="28"/>
          <w:szCs w:val="28"/>
        </w:rPr>
      </w:pPr>
      <w:r>
        <w:rPr>
          <w:rFonts w:eastAsia="仿宋"/>
          <w:sz w:val="28"/>
          <w:szCs w:val="28"/>
        </w:rPr>
        <w:t>住址</w:t>
      </w:r>
      <w:r>
        <w:rPr>
          <w:rFonts w:hint="eastAsia" w:eastAsia="仿宋"/>
          <w:sz w:val="28"/>
          <w:szCs w:val="28"/>
        </w:rPr>
        <w:t>：四川省成都市青羊区光华北五路266号青羊总部经济基地2号楼A座8楼</w:t>
      </w:r>
    </w:p>
    <w:p>
      <w:pPr>
        <w:spacing w:line="520" w:lineRule="exact"/>
        <w:ind w:firstLine="560" w:firstLineChars="200"/>
        <w:jc w:val="left"/>
        <w:rPr>
          <w:rFonts w:eastAsia="仿宋"/>
          <w:sz w:val="28"/>
          <w:szCs w:val="28"/>
        </w:rPr>
      </w:pPr>
      <w:r>
        <w:rPr>
          <w:rFonts w:eastAsia="仿宋"/>
          <w:sz w:val="28"/>
          <w:szCs w:val="28"/>
        </w:rPr>
        <w:t>乙方(受托方)：</w:t>
      </w:r>
    </w:p>
    <w:p>
      <w:pPr>
        <w:spacing w:line="520" w:lineRule="exact"/>
        <w:ind w:firstLine="560" w:firstLineChars="200"/>
        <w:jc w:val="left"/>
        <w:rPr>
          <w:rFonts w:eastAsia="仿宋"/>
          <w:sz w:val="28"/>
          <w:szCs w:val="28"/>
        </w:rPr>
      </w:pPr>
      <w:r>
        <w:rPr>
          <w:rFonts w:eastAsia="仿宋"/>
          <w:sz w:val="28"/>
          <w:szCs w:val="28"/>
        </w:rPr>
        <w:t>法定代表人：</w:t>
      </w:r>
    </w:p>
    <w:p>
      <w:pPr>
        <w:spacing w:line="460" w:lineRule="exact"/>
        <w:ind w:firstLine="560" w:firstLineChars="200"/>
        <w:jc w:val="left"/>
        <w:rPr>
          <w:rFonts w:ascii="仿宋" w:hAnsi="仿宋" w:eastAsia="仿宋" w:cs="仿宋"/>
          <w:szCs w:val="21"/>
        </w:rPr>
      </w:pPr>
      <w:r>
        <w:rPr>
          <w:rFonts w:eastAsia="仿宋"/>
          <w:sz w:val="28"/>
          <w:szCs w:val="28"/>
        </w:rPr>
        <w:t>公司地址：</w:t>
      </w:r>
      <w:r>
        <w:rPr>
          <w:rFonts w:hint="eastAsia" w:ascii="仿宋" w:hAnsi="仿宋" w:eastAsia="仿宋" w:cs="仿宋"/>
          <w:szCs w:val="21"/>
        </w:rPr>
        <w:t xml:space="preserve">                                 </w:t>
      </w:r>
    </w:p>
    <w:p>
      <w:pPr>
        <w:spacing w:line="460" w:lineRule="exact"/>
        <w:rPr>
          <w:rFonts w:ascii="仿宋" w:hAnsi="仿宋" w:eastAsia="仿宋" w:cs="仿宋"/>
          <w:szCs w:val="21"/>
        </w:rPr>
      </w:pPr>
      <w:r>
        <w:rPr>
          <w:rFonts w:hint="eastAsia" w:ascii="仿宋" w:hAnsi="仿宋" w:eastAsia="仿宋" w:cs="仿宋"/>
          <w:szCs w:val="21"/>
        </w:rPr>
        <w:t xml:space="preserve">                                 </w:t>
      </w:r>
    </w:p>
    <w:p>
      <w:pPr>
        <w:spacing w:line="460" w:lineRule="exact"/>
        <w:rPr>
          <w:rFonts w:ascii="仿宋" w:hAnsi="仿宋" w:eastAsia="仿宋" w:cs="仿宋"/>
          <w:sz w:val="28"/>
          <w:szCs w:val="28"/>
        </w:rPr>
      </w:pPr>
    </w:p>
    <w:p>
      <w:pPr>
        <w:spacing w:line="460" w:lineRule="exact"/>
        <w:ind w:firstLine="560" w:firstLineChars="200"/>
        <w:rPr>
          <w:rFonts w:ascii="仿宋" w:hAnsi="仿宋" w:eastAsia="仿宋" w:cs="仿宋"/>
          <w:snapToGrid w:val="0"/>
          <w:sz w:val="28"/>
          <w:szCs w:val="28"/>
        </w:rPr>
      </w:pPr>
      <w:r>
        <w:rPr>
          <w:rFonts w:hint="eastAsia" w:ascii="仿宋" w:hAnsi="仿宋" w:eastAsia="仿宋" w:cs="仿宋"/>
          <w:sz w:val="28"/>
          <w:szCs w:val="28"/>
        </w:rPr>
        <w:t>依据《</w:t>
      </w:r>
      <w:r>
        <w:rPr>
          <w:rFonts w:eastAsia="仿宋"/>
          <w:sz w:val="28"/>
          <w:szCs w:val="28"/>
        </w:rPr>
        <w:t>中华人民共和国</w:t>
      </w:r>
      <w:r>
        <w:rPr>
          <w:rFonts w:hint="eastAsia" w:ascii="仿宋" w:hAnsi="仿宋" w:eastAsia="仿宋" w:cs="仿宋"/>
          <w:sz w:val="28"/>
          <w:szCs w:val="28"/>
        </w:rPr>
        <w:t>民法典》的规定，经公司（以下简称甲方）与 （以下简称乙方）协商一致，现就乙方为甲方提供</w:t>
      </w:r>
      <w:r>
        <w:rPr>
          <w:rFonts w:hint="eastAsia" w:ascii="仿宋" w:hAnsi="仿宋" w:eastAsia="仿宋"/>
          <w:sz w:val="28"/>
          <w:szCs w:val="28"/>
          <w:lang w:eastAsia="zh-CN"/>
        </w:rPr>
        <w:t>产业e贷</w:t>
      </w:r>
      <w:r>
        <w:rPr>
          <w:rFonts w:hint="eastAsia" w:ascii="仿宋" w:hAnsi="仿宋" w:eastAsia="仿宋"/>
          <w:sz w:val="28"/>
          <w:szCs w:val="28"/>
        </w:rPr>
        <w:t>需求研发</w:t>
      </w:r>
      <w:r>
        <w:rPr>
          <w:rFonts w:hint="eastAsia" w:ascii="仿宋" w:hAnsi="仿宋" w:eastAsia="仿宋" w:cs="仿宋"/>
          <w:sz w:val="28"/>
          <w:szCs w:val="28"/>
        </w:rPr>
        <w:t>服务项目签订本协议。</w:t>
      </w:r>
      <w:bookmarkStart w:id="17" w:name="_Toc145763267"/>
    </w:p>
    <w:p>
      <w:pPr>
        <w:keepNext/>
        <w:keepLines/>
        <w:spacing w:line="460" w:lineRule="exact"/>
        <w:ind w:firstLine="562" w:firstLineChars="200"/>
        <w:outlineLvl w:val="0"/>
        <w:rPr>
          <w:rFonts w:ascii="仿宋" w:hAnsi="仿宋" w:eastAsia="仿宋" w:cs="仿宋"/>
          <w:b/>
          <w:bCs/>
          <w:kern w:val="44"/>
          <w:sz w:val="28"/>
          <w:szCs w:val="28"/>
          <w:highlight w:val="none"/>
        </w:rPr>
      </w:pPr>
      <w:bookmarkStart w:id="18" w:name="_Toc25265"/>
      <w:bookmarkStart w:id="19" w:name="_Toc13645"/>
      <w:bookmarkStart w:id="20" w:name="_Toc6601602"/>
      <w:bookmarkStart w:id="21" w:name="_Toc16272"/>
      <w:bookmarkStart w:id="22" w:name="_Toc1990"/>
      <w:bookmarkStart w:id="23" w:name="_Toc5882"/>
      <w:r>
        <w:rPr>
          <w:rFonts w:hint="eastAsia" w:ascii="仿宋" w:hAnsi="仿宋" w:eastAsia="仿宋" w:cs="仿宋"/>
          <w:b/>
          <w:bCs/>
          <w:kern w:val="44"/>
          <w:sz w:val="28"/>
          <w:szCs w:val="28"/>
          <w:highlight w:val="none"/>
        </w:rPr>
        <w:t>一、项目内容</w:t>
      </w:r>
      <w:bookmarkEnd w:id="17"/>
      <w:bookmarkEnd w:id="18"/>
      <w:bookmarkEnd w:id="19"/>
      <w:bookmarkEnd w:id="20"/>
      <w:bookmarkEnd w:id="21"/>
      <w:bookmarkEnd w:id="22"/>
      <w:bookmarkEnd w:id="23"/>
    </w:p>
    <w:p>
      <w:pPr>
        <w:ind w:firstLine="560" w:firstLineChars="200"/>
        <w:rPr>
          <w:rFonts w:eastAsia="仿宋"/>
          <w:sz w:val="28"/>
          <w:szCs w:val="28"/>
        </w:rPr>
      </w:pPr>
      <w:r>
        <w:rPr>
          <w:rFonts w:hint="eastAsia" w:ascii="仿宋" w:hAnsi="仿宋" w:eastAsia="仿宋" w:cs="仿宋"/>
          <w:sz w:val="28"/>
          <w:szCs w:val="28"/>
        </w:rPr>
        <w:t>通过甲方与乙方充分沟通，双方确定本项目目标为“</w:t>
      </w:r>
      <w:r>
        <w:rPr>
          <w:rFonts w:hint="eastAsia" w:ascii="仿宋" w:hAnsi="仿宋" w:eastAsia="仿宋" w:cs="仿宋"/>
          <w:sz w:val="28"/>
          <w:szCs w:val="28"/>
          <w:lang w:val="en-US" w:eastAsia="zh-CN"/>
        </w:rPr>
        <w:t>产业e贷需求</w:t>
      </w:r>
      <w:r>
        <w:rPr>
          <w:rFonts w:hint="eastAsia" w:ascii="仿宋" w:hAnsi="仿宋" w:eastAsia="仿宋" w:cs="仿宋"/>
          <w:sz w:val="28"/>
          <w:szCs w:val="28"/>
        </w:rPr>
        <w:t>研发服务项目”，包括以下内容（附表）：</w:t>
      </w:r>
      <w:bookmarkStart w:id="24" w:name="_Toc6601603"/>
      <w:bookmarkStart w:id="25" w:name="_Toc7931"/>
      <w:bookmarkStart w:id="26" w:name="_Toc8651"/>
      <w:bookmarkStart w:id="27" w:name="_Toc145763268"/>
      <w:bookmarkStart w:id="28" w:name="_Toc32234"/>
    </w:p>
    <w:tbl>
      <w:tblPr>
        <w:tblStyle w:val="18"/>
        <w:tblW w:w="0" w:type="auto"/>
        <w:jc w:val="center"/>
        <w:tblLayout w:type="fixed"/>
        <w:tblCellMar>
          <w:top w:w="0" w:type="dxa"/>
          <w:left w:w="108" w:type="dxa"/>
          <w:bottom w:w="0" w:type="dxa"/>
          <w:right w:w="108" w:type="dxa"/>
        </w:tblCellMar>
      </w:tblPr>
      <w:tblGrid>
        <w:gridCol w:w="1276"/>
        <w:gridCol w:w="7513"/>
      </w:tblGrid>
      <w:tr>
        <w:tblPrEx>
          <w:tblCellMar>
            <w:top w:w="0" w:type="dxa"/>
            <w:left w:w="108" w:type="dxa"/>
            <w:bottom w:w="0" w:type="dxa"/>
            <w:right w:w="108" w:type="dxa"/>
          </w:tblCellMar>
        </w:tblPrEx>
        <w:trPr>
          <w:trHeight w:val="33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center"/>
              <w:rPr>
                <w:rFonts w:eastAsia="仿宋"/>
                <w:kern w:val="0"/>
                <w:sz w:val="24"/>
                <w:szCs w:val="24"/>
              </w:rPr>
            </w:pPr>
            <w:r>
              <w:rPr>
                <w:rFonts w:eastAsia="仿宋"/>
                <w:sz w:val="24"/>
                <w:szCs w:val="24"/>
              </w:rPr>
              <w:t>项目阶段</w:t>
            </w:r>
          </w:p>
        </w:tc>
        <w:tc>
          <w:tcPr>
            <w:tcW w:w="7513" w:type="dxa"/>
            <w:tcBorders>
              <w:top w:val="single" w:color="auto" w:sz="4" w:space="0"/>
              <w:left w:val="nil"/>
              <w:bottom w:val="single" w:color="auto" w:sz="4" w:space="0"/>
              <w:right w:val="single" w:color="auto" w:sz="4" w:space="0"/>
            </w:tcBorders>
            <w:vAlign w:val="center"/>
          </w:tcPr>
          <w:p>
            <w:pPr>
              <w:spacing w:line="460" w:lineRule="exact"/>
              <w:jc w:val="center"/>
              <w:rPr>
                <w:rFonts w:eastAsia="仿宋"/>
                <w:sz w:val="24"/>
                <w:szCs w:val="24"/>
              </w:rPr>
            </w:pPr>
            <w:r>
              <w:rPr>
                <w:rFonts w:eastAsia="仿宋"/>
                <w:sz w:val="24"/>
                <w:szCs w:val="24"/>
              </w:rPr>
              <w:t>工作内容</w:t>
            </w:r>
          </w:p>
        </w:tc>
      </w:tr>
      <w:tr>
        <w:tblPrEx>
          <w:tblCellMar>
            <w:top w:w="0" w:type="dxa"/>
            <w:left w:w="108" w:type="dxa"/>
            <w:bottom w:w="0" w:type="dxa"/>
            <w:right w:w="108" w:type="dxa"/>
          </w:tblCellMar>
        </w:tblPrEx>
        <w:trPr>
          <w:trHeight w:val="420" w:hRule="atLeast"/>
          <w:jc w:val="center"/>
        </w:trPr>
        <w:tc>
          <w:tcPr>
            <w:tcW w:w="1276" w:type="dxa"/>
            <w:vMerge w:val="restart"/>
            <w:tcBorders>
              <w:top w:val="nil"/>
              <w:left w:val="single" w:color="auto" w:sz="4" w:space="0"/>
              <w:bottom w:val="single" w:color="auto" w:sz="4" w:space="0"/>
              <w:right w:val="single" w:color="auto" w:sz="4" w:space="0"/>
            </w:tcBorders>
            <w:vAlign w:val="center"/>
          </w:tcPr>
          <w:p>
            <w:pPr>
              <w:spacing w:line="460" w:lineRule="exact"/>
              <w:jc w:val="center"/>
              <w:rPr>
                <w:rFonts w:eastAsia="仿宋"/>
                <w:sz w:val="24"/>
                <w:szCs w:val="24"/>
              </w:rPr>
            </w:pPr>
            <w:r>
              <w:rPr>
                <w:rFonts w:eastAsia="仿宋"/>
                <w:sz w:val="24"/>
                <w:szCs w:val="24"/>
              </w:rPr>
              <w:t>启动阶段</w:t>
            </w:r>
          </w:p>
        </w:tc>
        <w:tc>
          <w:tcPr>
            <w:tcW w:w="7513" w:type="dxa"/>
            <w:tcBorders>
              <w:top w:val="nil"/>
              <w:left w:val="nil"/>
              <w:bottom w:val="single" w:color="auto" w:sz="4" w:space="0"/>
              <w:right w:val="single" w:color="auto" w:sz="4" w:space="0"/>
            </w:tcBorders>
            <w:vAlign w:val="center"/>
          </w:tcPr>
          <w:p>
            <w:pPr>
              <w:spacing w:line="460" w:lineRule="exact"/>
              <w:jc w:val="left"/>
              <w:rPr>
                <w:rFonts w:eastAsia="仿宋"/>
                <w:sz w:val="24"/>
                <w:szCs w:val="24"/>
              </w:rPr>
            </w:pPr>
            <w:r>
              <w:rPr>
                <w:rFonts w:eastAsia="仿宋"/>
                <w:sz w:val="24"/>
                <w:szCs w:val="24"/>
              </w:rPr>
              <w:t>项目启动</w:t>
            </w:r>
          </w:p>
        </w:tc>
      </w:tr>
      <w:tr>
        <w:tblPrEx>
          <w:tblCellMar>
            <w:top w:w="0" w:type="dxa"/>
            <w:left w:w="108" w:type="dxa"/>
            <w:bottom w:w="0" w:type="dxa"/>
            <w:right w:w="108" w:type="dxa"/>
          </w:tblCellMar>
        </w:tblPrEx>
        <w:trPr>
          <w:trHeight w:val="420" w:hRule="atLeast"/>
          <w:jc w:val="center"/>
        </w:trPr>
        <w:tc>
          <w:tcPr>
            <w:tcW w:w="1276" w:type="dxa"/>
            <w:vMerge w:val="continue"/>
            <w:tcBorders>
              <w:top w:val="nil"/>
              <w:left w:val="single" w:color="auto" w:sz="4" w:space="0"/>
              <w:bottom w:val="single" w:color="auto" w:sz="4" w:space="0"/>
              <w:right w:val="single" w:color="auto" w:sz="4" w:space="0"/>
            </w:tcBorders>
            <w:vAlign w:val="center"/>
          </w:tcPr>
          <w:p>
            <w:pPr>
              <w:widowControl/>
              <w:spacing w:line="460" w:lineRule="exact"/>
              <w:jc w:val="left"/>
              <w:rPr>
                <w:rFonts w:eastAsia="仿宋"/>
                <w:kern w:val="0"/>
                <w:sz w:val="24"/>
                <w:szCs w:val="24"/>
              </w:rPr>
            </w:pPr>
          </w:p>
        </w:tc>
        <w:tc>
          <w:tcPr>
            <w:tcW w:w="7513" w:type="dxa"/>
            <w:tcBorders>
              <w:top w:val="nil"/>
              <w:left w:val="nil"/>
              <w:bottom w:val="single" w:color="auto" w:sz="4" w:space="0"/>
              <w:right w:val="single" w:color="auto" w:sz="4" w:space="0"/>
            </w:tcBorders>
            <w:vAlign w:val="center"/>
          </w:tcPr>
          <w:p>
            <w:pPr>
              <w:widowControl/>
              <w:spacing w:line="460" w:lineRule="exact"/>
              <w:jc w:val="left"/>
              <w:rPr>
                <w:rFonts w:eastAsia="仿宋"/>
                <w:kern w:val="0"/>
                <w:sz w:val="24"/>
                <w:szCs w:val="24"/>
              </w:rPr>
            </w:pPr>
            <w:r>
              <w:rPr>
                <w:rFonts w:eastAsia="仿宋"/>
                <w:sz w:val="24"/>
                <w:szCs w:val="24"/>
              </w:rPr>
              <w:t>前期策划</w:t>
            </w:r>
          </w:p>
        </w:tc>
      </w:tr>
      <w:tr>
        <w:tblPrEx>
          <w:tblCellMar>
            <w:top w:w="0" w:type="dxa"/>
            <w:left w:w="108" w:type="dxa"/>
            <w:bottom w:w="0" w:type="dxa"/>
            <w:right w:w="108" w:type="dxa"/>
          </w:tblCellMar>
        </w:tblPrEx>
        <w:trPr>
          <w:trHeight w:val="390" w:hRule="atLeast"/>
          <w:jc w:val="center"/>
        </w:trPr>
        <w:tc>
          <w:tcPr>
            <w:tcW w:w="1276" w:type="dxa"/>
            <w:vMerge w:val="restart"/>
            <w:tcBorders>
              <w:top w:val="nil"/>
              <w:left w:val="single" w:color="auto" w:sz="4" w:space="0"/>
              <w:right w:val="single" w:color="auto" w:sz="4" w:space="0"/>
            </w:tcBorders>
            <w:vAlign w:val="center"/>
          </w:tcPr>
          <w:p>
            <w:pPr>
              <w:spacing w:line="460" w:lineRule="exact"/>
              <w:jc w:val="center"/>
              <w:rPr>
                <w:rFonts w:eastAsia="仿宋"/>
                <w:sz w:val="24"/>
                <w:szCs w:val="24"/>
              </w:rPr>
            </w:pPr>
            <w:r>
              <w:rPr>
                <w:rFonts w:hint="eastAsia" w:eastAsia="仿宋"/>
                <w:sz w:val="24"/>
                <w:szCs w:val="24"/>
              </w:rPr>
              <w:t>产品规划</w:t>
            </w:r>
          </w:p>
        </w:tc>
        <w:tc>
          <w:tcPr>
            <w:tcW w:w="7513" w:type="dxa"/>
            <w:tcBorders>
              <w:top w:val="nil"/>
              <w:left w:val="nil"/>
              <w:bottom w:val="single" w:color="auto" w:sz="4" w:space="0"/>
              <w:right w:val="single" w:color="auto" w:sz="4" w:space="0"/>
            </w:tcBorders>
            <w:vAlign w:val="center"/>
          </w:tcPr>
          <w:p>
            <w:pPr>
              <w:spacing w:line="460" w:lineRule="exact"/>
              <w:jc w:val="left"/>
              <w:rPr>
                <w:rFonts w:eastAsia="仿宋"/>
                <w:sz w:val="24"/>
                <w:szCs w:val="24"/>
              </w:rPr>
            </w:pPr>
            <w:r>
              <w:rPr>
                <w:rFonts w:eastAsia="仿宋"/>
                <w:sz w:val="24"/>
                <w:szCs w:val="24"/>
              </w:rPr>
              <w:t>一、项目调研</w:t>
            </w:r>
          </w:p>
        </w:tc>
      </w:tr>
      <w:tr>
        <w:tblPrEx>
          <w:tblCellMar>
            <w:top w:w="0" w:type="dxa"/>
            <w:left w:w="108" w:type="dxa"/>
            <w:bottom w:w="0" w:type="dxa"/>
            <w:right w:w="108" w:type="dxa"/>
          </w:tblCellMar>
        </w:tblPrEx>
        <w:trPr>
          <w:trHeight w:val="390" w:hRule="atLeast"/>
          <w:jc w:val="center"/>
        </w:trPr>
        <w:tc>
          <w:tcPr>
            <w:tcW w:w="1276" w:type="dxa"/>
            <w:vMerge w:val="continue"/>
            <w:tcBorders>
              <w:left w:val="single" w:color="auto" w:sz="4" w:space="0"/>
              <w:right w:val="single" w:color="auto" w:sz="4" w:space="0"/>
            </w:tcBorders>
            <w:vAlign w:val="center"/>
          </w:tcPr>
          <w:p>
            <w:pPr>
              <w:spacing w:line="460" w:lineRule="exact"/>
              <w:jc w:val="center"/>
              <w:rPr>
                <w:rFonts w:eastAsia="仿宋"/>
                <w:sz w:val="24"/>
                <w:szCs w:val="24"/>
              </w:rPr>
            </w:pPr>
          </w:p>
        </w:tc>
        <w:tc>
          <w:tcPr>
            <w:tcW w:w="7513" w:type="dxa"/>
            <w:tcBorders>
              <w:top w:val="nil"/>
              <w:left w:val="nil"/>
              <w:bottom w:val="single" w:color="auto" w:sz="4" w:space="0"/>
              <w:right w:val="single" w:color="auto" w:sz="4" w:space="0"/>
            </w:tcBorders>
            <w:vAlign w:val="center"/>
          </w:tcPr>
          <w:p>
            <w:pPr>
              <w:spacing w:line="460" w:lineRule="exact"/>
              <w:jc w:val="left"/>
              <w:rPr>
                <w:rFonts w:eastAsia="仿宋"/>
                <w:sz w:val="24"/>
                <w:szCs w:val="24"/>
              </w:rPr>
            </w:pPr>
            <w:r>
              <w:rPr>
                <w:rFonts w:hint="eastAsia" w:eastAsia="仿宋"/>
                <w:sz w:val="24"/>
                <w:szCs w:val="24"/>
              </w:rPr>
              <w:t>1.1  需求整理</w:t>
            </w:r>
          </w:p>
        </w:tc>
      </w:tr>
      <w:tr>
        <w:tblPrEx>
          <w:tblCellMar>
            <w:top w:w="0" w:type="dxa"/>
            <w:left w:w="108" w:type="dxa"/>
            <w:bottom w:w="0" w:type="dxa"/>
            <w:right w:w="108" w:type="dxa"/>
          </w:tblCellMar>
        </w:tblPrEx>
        <w:trPr>
          <w:trHeight w:val="390" w:hRule="atLeast"/>
          <w:jc w:val="center"/>
        </w:trPr>
        <w:tc>
          <w:tcPr>
            <w:tcW w:w="1276" w:type="dxa"/>
            <w:vMerge w:val="continue"/>
            <w:tcBorders>
              <w:left w:val="single" w:color="auto" w:sz="4" w:space="0"/>
              <w:right w:val="single" w:color="auto" w:sz="4" w:space="0"/>
            </w:tcBorders>
            <w:vAlign w:val="center"/>
          </w:tcPr>
          <w:p>
            <w:pPr>
              <w:spacing w:line="460" w:lineRule="exact"/>
              <w:jc w:val="center"/>
              <w:rPr>
                <w:rFonts w:eastAsia="仿宋"/>
                <w:sz w:val="24"/>
                <w:szCs w:val="24"/>
              </w:rPr>
            </w:pPr>
          </w:p>
        </w:tc>
        <w:tc>
          <w:tcPr>
            <w:tcW w:w="7513" w:type="dxa"/>
            <w:tcBorders>
              <w:top w:val="nil"/>
              <w:left w:val="nil"/>
              <w:bottom w:val="single" w:color="auto" w:sz="4" w:space="0"/>
              <w:right w:val="single" w:color="auto" w:sz="4" w:space="0"/>
            </w:tcBorders>
            <w:vAlign w:val="center"/>
          </w:tcPr>
          <w:p>
            <w:pPr>
              <w:spacing w:line="460" w:lineRule="exact"/>
              <w:jc w:val="left"/>
              <w:rPr>
                <w:rFonts w:eastAsia="仿宋"/>
                <w:sz w:val="24"/>
                <w:szCs w:val="24"/>
              </w:rPr>
            </w:pPr>
            <w:r>
              <w:rPr>
                <w:rFonts w:hint="eastAsia" w:eastAsia="仿宋"/>
                <w:sz w:val="24"/>
                <w:szCs w:val="24"/>
              </w:rPr>
              <w:t>1.2  产品规划</w:t>
            </w:r>
          </w:p>
        </w:tc>
      </w:tr>
      <w:tr>
        <w:tblPrEx>
          <w:tblCellMar>
            <w:top w:w="0" w:type="dxa"/>
            <w:left w:w="108" w:type="dxa"/>
            <w:bottom w:w="0" w:type="dxa"/>
            <w:right w:w="108" w:type="dxa"/>
          </w:tblCellMar>
        </w:tblPrEx>
        <w:trPr>
          <w:trHeight w:val="390" w:hRule="atLeast"/>
          <w:jc w:val="center"/>
        </w:trPr>
        <w:tc>
          <w:tcPr>
            <w:tcW w:w="1276" w:type="dxa"/>
            <w:vMerge w:val="continue"/>
            <w:tcBorders>
              <w:left w:val="single" w:color="auto" w:sz="4" w:space="0"/>
              <w:right w:val="single" w:color="auto" w:sz="4" w:space="0"/>
            </w:tcBorders>
            <w:vAlign w:val="center"/>
          </w:tcPr>
          <w:p>
            <w:pPr>
              <w:widowControl/>
              <w:spacing w:line="460" w:lineRule="exact"/>
              <w:jc w:val="left"/>
              <w:rPr>
                <w:rFonts w:eastAsia="仿宋"/>
                <w:kern w:val="0"/>
                <w:sz w:val="24"/>
                <w:szCs w:val="24"/>
              </w:rPr>
            </w:pPr>
          </w:p>
        </w:tc>
        <w:tc>
          <w:tcPr>
            <w:tcW w:w="7513" w:type="dxa"/>
            <w:tcBorders>
              <w:top w:val="nil"/>
              <w:left w:val="nil"/>
              <w:bottom w:val="single" w:color="auto" w:sz="4" w:space="0"/>
              <w:right w:val="single" w:color="auto" w:sz="4" w:space="0"/>
            </w:tcBorders>
            <w:vAlign w:val="center"/>
          </w:tcPr>
          <w:p>
            <w:pPr>
              <w:widowControl/>
              <w:spacing w:line="460" w:lineRule="exact"/>
              <w:jc w:val="left"/>
              <w:rPr>
                <w:rFonts w:eastAsia="仿宋"/>
                <w:kern w:val="0"/>
                <w:sz w:val="24"/>
                <w:szCs w:val="24"/>
              </w:rPr>
            </w:pPr>
            <w:r>
              <w:rPr>
                <w:rFonts w:eastAsia="仿宋"/>
                <w:sz w:val="24"/>
                <w:szCs w:val="24"/>
              </w:rPr>
              <w:t>1.</w:t>
            </w:r>
            <w:r>
              <w:rPr>
                <w:rFonts w:hint="eastAsia" w:eastAsia="仿宋"/>
                <w:sz w:val="24"/>
                <w:szCs w:val="24"/>
              </w:rPr>
              <w:t>3</w:t>
            </w:r>
            <w:r>
              <w:rPr>
                <w:rFonts w:eastAsia="仿宋"/>
                <w:sz w:val="24"/>
                <w:szCs w:val="24"/>
              </w:rPr>
              <w:t xml:space="preserve">  </w:t>
            </w:r>
            <w:r>
              <w:rPr>
                <w:rFonts w:hint="eastAsia" w:eastAsia="仿宋"/>
                <w:sz w:val="24"/>
                <w:szCs w:val="24"/>
              </w:rPr>
              <w:t>与项目负责人沟通方案</w:t>
            </w:r>
          </w:p>
        </w:tc>
      </w:tr>
      <w:tr>
        <w:trPr>
          <w:trHeight w:val="390" w:hRule="atLeast"/>
          <w:jc w:val="center"/>
        </w:trPr>
        <w:tc>
          <w:tcPr>
            <w:tcW w:w="1276" w:type="dxa"/>
            <w:vMerge w:val="continue"/>
            <w:tcBorders>
              <w:left w:val="single" w:color="auto" w:sz="4" w:space="0"/>
              <w:bottom w:val="single" w:color="auto" w:sz="4" w:space="0"/>
              <w:right w:val="single" w:color="auto" w:sz="4" w:space="0"/>
            </w:tcBorders>
            <w:vAlign w:val="center"/>
          </w:tcPr>
          <w:p>
            <w:pPr>
              <w:widowControl/>
              <w:spacing w:line="460" w:lineRule="exact"/>
              <w:jc w:val="left"/>
              <w:rPr>
                <w:rFonts w:eastAsia="仿宋"/>
                <w:kern w:val="0"/>
                <w:sz w:val="24"/>
                <w:szCs w:val="24"/>
              </w:rPr>
            </w:pPr>
          </w:p>
        </w:tc>
        <w:tc>
          <w:tcPr>
            <w:tcW w:w="7513" w:type="dxa"/>
            <w:tcBorders>
              <w:top w:val="nil"/>
              <w:left w:val="nil"/>
              <w:bottom w:val="single" w:color="auto" w:sz="4" w:space="0"/>
              <w:right w:val="single" w:color="auto" w:sz="4" w:space="0"/>
            </w:tcBorders>
            <w:vAlign w:val="center"/>
          </w:tcPr>
          <w:p>
            <w:pPr>
              <w:widowControl/>
              <w:spacing w:line="460" w:lineRule="exact"/>
              <w:jc w:val="left"/>
              <w:rPr>
                <w:rFonts w:eastAsia="仿宋"/>
                <w:kern w:val="0"/>
                <w:sz w:val="24"/>
                <w:szCs w:val="24"/>
              </w:rPr>
            </w:pPr>
            <w:r>
              <w:rPr>
                <w:rFonts w:eastAsia="仿宋"/>
                <w:sz w:val="24"/>
                <w:szCs w:val="24"/>
              </w:rPr>
              <w:t>1.</w:t>
            </w:r>
            <w:r>
              <w:rPr>
                <w:rFonts w:hint="eastAsia" w:eastAsia="仿宋"/>
                <w:sz w:val="24"/>
                <w:szCs w:val="24"/>
              </w:rPr>
              <w:t>4</w:t>
            </w:r>
            <w:r>
              <w:rPr>
                <w:rFonts w:eastAsia="仿宋"/>
                <w:sz w:val="24"/>
                <w:szCs w:val="24"/>
              </w:rPr>
              <w:t xml:space="preserve">  </w:t>
            </w:r>
            <w:r>
              <w:rPr>
                <w:rFonts w:hint="eastAsia" w:eastAsia="仿宋"/>
                <w:sz w:val="24"/>
                <w:szCs w:val="24"/>
              </w:rPr>
              <w:t>规划交互设计</w:t>
            </w:r>
          </w:p>
        </w:tc>
      </w:tr>
      <w:tr>
        <w:tblPrEx>
          <w:tblCellMar>
            <w:top w:w="0" w:type="dxa"/>
            <w:left w:w="108" w:type="dxa"/>
            <w:bottom w:w="0" w:type="dxa"/>
            <w:right w:w="108" w:type="dxa"/>
          </w:tblCellMar>
        </w:tblPrEx>
        <w:trPr>
          <w:trHeight w:val="420" w:hRule="atLeast"/>
          <w:jc w:val="center"/>
        </w:trPr>
        <w:tc>
          <w:tcPr>
            <w:tcW w:w="1276" w:type="dxa"/>
            <w:vMerge w:val="restart"/>
            <w:tcBorders>
              <w:top w:val="single" w:color="auto" w:sz="4" w:space="0"/>
              <w:left w:val="single" w:color="auto" w:sz="4" w:space="0"/>
              <w:right w:val="single" w:color="auto" w:sz="4" w:space="0"/>
            </w:tcBorders>
            <w:vAlign w:val="center"/>
          </w:tcPr>
          <w:p>
            <w:pPr>
              <w:spacing w:line="460" w:lineRule="exact"/>
              <w:jc w:val="center"/>
              <w:rPr>
                <w:rFonts w:eastAsia="仿宋"/>
                <w:sz w:val="24"/>
                <w:szCs w:val="24"/>
              </w:rPr>
            </w:pPr>
            <w:r>
              <w:rPr>
                <w:rFonts w:hint="eastAsia" w:eastAsia="仿宋"/>
                <w:sz w:val="24"/>
                <w:szCs w:val="24"/>
              </w:rPr>
              <w:t>UI设计</w:t>
            </w:r>
          </w:p>
        </w:tc>
        <w:tc>
          <w:tcPr>
            <w:tcW w:w="7513" w:type="dxa"/>
            <w:tcBorders>
              <w:top w:val="nil"/>
              <w:left w:val="single" w:color="auto" w:sz="4" w:space="0"/>
              <w:bottom w:val="single" w:color="auto" w:sz="4" w:space="0"/>
              <w:right w:val="single" w:color="auto" w:sz="4" w:space="0"/>
            </w:tcBorders>
            <w:vAlign w:val="center"/>
          </w:tcPr>
          <w:p>
            <w:pPr>
              <w:spacing w:line="460" w:lineRule="exact"/>
              <w:jc w:val="left"/>
              <w:rPr>
                <w:rFonts w:eastAsia="仿宋"/>
                <w:sz w:val="24"/>
                <w:szCs w:val="24"/>
              </w:rPr>
            </w:pPr>
            <w:r>
              <w:rPr>
                <w:rFonts w:eastAsia="仿宋"/>
                <w:sz w:val="24"/>
                <w:szCs w:val="24"/>
              </w:rPr>
              <w:t>二、</w:t>
            </w:r>
            <w:r>
              <w:rPr>
                <w:rFonts w:hint="eastAsia" w:eastAsia="仿宋"/>
                <w:sz w:val="24"/>
                <w:szCs w:val="24"/>
              </w:rPr>
              <w:t>项目设计</w:t>
            </w:r>
            <w:r>
              <w:rPr>
                <w:rFonts w:eastAsia="仿宋"/>
                <w:sz w:val="24"/>
                <w:szCs w:val="24"/>
              </w:rPr>
              <w:t>阶段</w:t>
            </w:r>
          </w:p>
        </w:tc>
      </w:tr>
      <w:tr>
        <w:tblPrEx>
          <w:tblCellMar>
            <w:top w:w="0" w:type="dxa"/>
            <w:left w:w="108" w:type="dxa"/>
            <w:bottom w:w="0" w:type="dxa"/>
            <w:right w:w="108" w:type="dxa"/>
          </w:tblCellMar>
        </w:tblPrEx>
        <w:trPr>
          <w:trHeight w:val="420" w:hRule="atLeast"/>
          <w:jc w:val="center"/>
        </w:trPr>
        <w:tc>
          <w:tcPr>
            <w:tcW w:w="1276" w:type="dxa"/>
            <w:vMerge w:val="continue"/>
            <w:tcBorders>
              <w:left w:val="single" w:color="auto" w:sz="4" w:space="0"/>
              <w:right w:val="single" w:color="auto" w:sz="4" w:space="0"/>
            </w:tcBorders>
            <w:vAlign w:val="center"/>
          </w:tcPr>
          <w:p>
            <w:pPr>
              <w:spacing w:line="460" w:lineRule="exact"/>
              <w:jc w:val="center"/>
              <w:rPr>
                <w:rFonts w:eastAsia="仿宋"/>
                <w:sz w:val="24"/>
                <w:szCs w:val="24"/>
              </w:rPr>
            </w:pPr>
          </w:p>
        </w:tc>
        <w:tc>
          <w:tcPr>
            <w:tcW w:w="7513" w:type="dxa"/>
            <w:tcBorders>
              <w:top w:val="nil"/>
              <w:left w:val="single" w:color="auto" w:sz="4" w:space="0"/>
              <w:bottom w:val="single" w:color="auto" w:sz="4" w:space="0"/>
              <w:right w:val="single" w:color="auto" w:sz="4" w:space="0"/>
            </w:tcBorders>
            <w:vAlign w:val="center"/>
          </w:tcPr>
          <w:p>
            <w:pPr>
              <w:spacing w:line="460" w:lineRule="exact"/>
              <w:jc w:val="left"/>
              <w:rPr>
                <w:rFonts w:eastAsia="仿宋"/>
                <w:sz w:val="24"/>
                <w:szCs w:val="24"/>
              </w:rPr>
            </w:pPr>
            <w:r>
              <w:rPr>
                <w:rFonts w:hint="eastAsia" w:eastAsia="仿宋"/>
                <w:sz w:val="24"/>
                <w:szCs w:val="24"/>
              </w:rPr>
              <w:t>2.1  根据原型设计UI图</w:t>
            </w:r>
          </w:p>
        </w:tc>
      </w:tr>
      <w:tr>
        <w:tblPrEx>
          <w:tblCellMar>
            <w:top w:w="0" w:type="dxa"/>
            <w:left w:w="108" w:type="dxa"/>
            <w:bottom w:w="0" w:type="dxa"/>
            <w:right w:w="108" w:type="dxa"/>
          </w:tblCellMar>
        </w:tblPrEx>
        <w:trPr>
          <w:trHeight w:val="420" w:hRule="atLeast"/>
          <w:jc w:val="center"/>
        </w:trPr>
        <w:tc>
          <w:tcPr>
            <w:tcW w:w="1276" w:type="dxa"/>
            <w:vMerge w:val="continue"/>
            <w:tcBorders>
              <w:left w:val="single" w:color="auto" w:sz="4" w:space="0"/>
              <w:right w:val="single" w:color="auto" w:sz="4" w:space="0"/>
            </w:tcBorders>
            <w:vAlign w:val="center"/>
          </w:tcPr>
          <w:p>
            <w:pPr>
              <w:widowControl/>
              <w:spacing w:line="460" w:lineRule="exact"/>
              <w:jc w:val="left"/>
              <w:rPr>
                <w:rFonts w:eastAsia="仿宋"/>
                <w:kern w:val="0"/>
                <w:sz w:val="24"/>
                <w:szCs w:val="24"/>
              </w:rPr>
            </w:pPr>
          </w:p>
        </w:tc>
        <w:tc>
          <w:tcPr>
            <w:tcW w:w="7513" w:type="dxa"/>
            <w:tcBorders>
              <w:top w:val="nil"/>
              <w:left w:val="nil"/>
              <w:bottom w:val="single" w:color="auto" w:sz="4" w:space="0"/>
              <w:right w:val="single" w:color="auto" w:sz="4" w:space="0"/>
            </w:tcBorders>
            <w:vAlign w:val="center"/>
          </w:tcPr>
          <w:p>
            <w:pPr>
              <w:widowControl/>
              <w:spacing w:line="460" w:lineRule="exact"/>
              <w:jc w:val="left"/>
              <w:rPr>
                <w:rFonts w:eastAsia="仿宋"/>
                <w:kern w:val="0"/>
                <w:sz w:val="24"/>
                <w:szCs w:val="24"/>
              </w:rPr>
            </w:pPr>
            <w:r>
              <w:rPr>
                <w:rFonts w:eastAsia="仿宋"/>
                <w:sz w:val="24"/>
                <w:szCs w:val="24"/>
              </w:rPr>
              <w:t>2.</w:t>
            </w:r>
            <w:r>
              <w:rPr>
                <w:rFonts w:hint="eastAsia" w:eastAsia="仿宋"/>
                <w:sz w:val="24"/>
                <w:szCs w:val="24"/>
              </w:rPr>
              <w:t>2  与项目负责人沟通设计图</w:t>
            </w:r>
          </w:p>
        </w:tc>
      </w:tr>
      <w:tr>
        <w:trPr>
          <w:trHeight w:val="420" w:hRule="atLeast"/>
          <w:jc w:val="center"/>
        </w:trPr>
        <w:tc>
          <w:tcPr>
            <w:tcW w:w="1276" w:type="dxa"/>
            <w:vMerge w:val="continue"/>
            <w:tcBorders>
              <w:left w:val="single" w:color="auto" w:sz="4" w:space="0"/>
              <w:bottom w:val="single" w:color="auto" w:sz="4" w:space="0"/>
              <w:right w:val="single" w:color="auto" w:sz="4" w:space="0"/>
            </w:tcBorders>
            <w:vAlign w:val="center"/>
          </w:tcPr>
          <w:p>
            <w:pPr>
              <w:widowControl/>
              <w:spacing w:line="460" w:lineRule="exact"/>
              <w:jc w:val="left"/>
              <w:rPr>
                <w:rFonts w:eastAsia="仿宋"/>
                <w:kern w:val="0"/>
                <w:sz w:val="24"/>
                <w:szCs w:val="24"/>
              </w:rPr>
            </w:pPr>
          </w:p>
        </w:tc>
        <w:tc>
          <w:tcPr>
            <w:tcW w:w="7513" w:type="dxa"/>
            <w:tcBorders>
              <w:top w:val="nil"/>
              <w:left w:val="nil"/>
              <w:bottom w:val="single" w:color="auto" w:sz="4" w:space="0"/>
              <w:right w:val="single" w:color="auto" w:sz="4" w:space="0"/>
            </w:tcBorders>
            <w:vAlign w:val="center"/>
          </w:tcPr>
          <w:p>
            <w:pPr>
              <w:widowControl/>
              <w:spacing w:line="460" w:lineRule="exact"/>
              <w:jc w:val="left"/>
              <w:rPr>
                <w:rFonts w:eastAsia="仿宋"/>
                <w:kern w:val="0"/>
                <w:sz w:val="24"/>
                <w:szCs w:val="24"/>
              </w:rPr>
            </w:pPr>
            <w:r>
              <w:rPr>
                <w:rFonts w:eastAsia="仿宋"/>
                <w:sz w:val="24"/>
                <w:szCs w:val="24"/>
              </w:rPr>
              <w:t>2</w:t>
            </w:r>
            <w:r>
              <w:rPr>
                <w:rFonts w:hint="eastAsia" w:eastAsia="仿宋"/>
                <w:sz w:val="24"/>
                <w:szCs w:val="24"/>
              </w:rPr>
              <w:t>.3</w:t>
            </w:r>
            <w:r>
              <w:rPr>
                <w:rFonts w:eastAsia="仿宋"/>
                <w:sz w:val="24"/>
                <w:szCs w:val="24"/>
              </w:rPr>
              <w:t xml:space="preserve"> </w:t>
            </w:r>
            <w:r>
              <w:rPr>
                <w:rFonts w:hint="eastAsia" w:eastAsia="仿宋"/>
                <w:sz w:val="24"/>
                <w:szCs w:val="24"/>
              </w:rPr>
              <w:t xml:space="preserve"> 确认项目设计图</w:t>
            </w:r>
          </w:p>
        </w:tc>
      </w:tr>
      <w:tr>
        <w:trPr>
          <w:trHeight w:val="90" w:hRule="atLeas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eastAsia="仿宋"/>
                <w:sz w:val="24"/>
                <w:szCs w:val="24"/>
              </w:rPr>
            </w:pPr>
            <w:r>
              <w:rPr>
                <w:rFonts w:hint="eastAsia" w:eastAsia="仿宋"/>
                <w:sz w:val="24"/>
                <w:szCs w:val="24"/>
              </w:rPr>
              <w:t>项目开发</w:t>
            </w:r>
            <w:r>
              <w:rPr>
                <w:rFonts w:eastAsia="仿宋"/>
                <w:sz w:val="24"/>
                <w:szCs w:val="24"/>
              </w:rPr>
              <w:t>阶段</w:t>
            </w:r>
          </w:p>
        </w:tc>
        <w:tc>
          <w:tcPr>
            <w:tcW w:w="7513" w:type="dxa"/>
            <w:tcBorders>
              <w:top w:val="nil"/>
              <w:left w:val="nil"/>
              <w:bottom w:val="single" w:color="auto" w:sz="4" w:space="0"/>
              <w:right w:val="single" w:color="auto" w:sz="4" w:space="0"/>
            </w:tcBorders>
            <w:vAlign w:val="center"/>
          </w:tcPr>
          <w:p>
            <w:pPr>
              <w:spacing w:line="460" w:lineRule="exact"/>
              <w:jc w:val="left"/>
              <w:rPr>
                <w:rFonts w:eastAsia="仿宋"/>
                <w:sz w:val="24"/>
                <w:szCs w:val="24"/>
              </w:rPr>
            </w:pPr>
            <w:r>
              <w:rPr>
                <w:rFonts w:eastAsia="仿宋"/>
                <w:sz w:val="24"/>
                <w:szCs w:val="24"/>
              </w:rPr>
              <w:t>三、项目</w:t>
            </w:r>
            <w:r>
              <w:rPr>
                <w:rFonts w:hint="eastAsia" w:eastAsia="仿宋"/>
                <w:sz w:val="24"/>
                <w:szCs w:val="24"/>
              </w:rPr>
              <w:t>开发</w:t>
            </w:r>
            <w:r>
              <w:rPr>
                <w:rFonts w:eastAsia="仿宋"/>
                <w:sz w:val="24"/>
                <w:szCs w:val="24"/>
              </w:rPr>
              <w:t>阶段</w:t>
            </w:r>
          </w:p>
        </w:tc>
      </w:tr>
      <w:tr>
        <w:tblPrEx>
          <w:tblCellMar>
            <w:top w:w="0" w:type="dxa"/>
            <w:left w:w="108" w:type="dxa"/>
            <w:bottom w:w="0" w:type="dxa"/>
            <w:right w:w="108" w:type="dxa"/>
          </w:tblCellMar>
        </w:tblPrEx>
        <w:trPr>
          <w:trHeight w:val="420"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
                <w:kern w:val="0"/>
                <w:sz w:val="24"/>
                <w:szCs w:val="24"/>
              </w:rPr>
            </w:pPr>
          </w:p>
        </w:tc>
        <w:tc>
          <w:tcPr>
            <w:tcW w:w="7513" w:type="dxa"/>
            <w:tcBorders>
              <w:top w:val="nil"/>
              <w:left w:val="nil"/>
              <w:bottom w:val="single" w:color="auto" w:sz="4" w:space="0"/>
              <w:right w:val="single" w:color="auto" w:sz="4" w:space="0"/>
            </w:tcBorders>
            <w:vAlign w:val="center"/>
          </w:tcPr>
          <w:p>
            <w:pPr>
              <w:widowControl/>
              <w:spacing w:line="460" w:lineRule="exact"/>
              <w:jc w:val="left"/>
              <w:rPr>
                <w:rFonts w:eastAsia="仿宋"/>
                <w:kern w:val="0"/>
                <w:sz w:val="24"/>
                <w:szCs w:val="24"/>
              </w:rPr>
            </w:pPr>
            <w:r>
              <w:rPr>
                <w:rFonts w:eastAsia="仿宋"/>
                <w:sz w:val="24"/>
                <w:szCs w:val="24"/>
              </w:rPr>
              <w:t xml:space="preserve">3.1  </w:t>
            </w:r>
            <w:r>
              <w:rPr>
                <w:rFonts w:hint="eastAsia" w:eastAsia="仿宋"/>
                <w:sz w:val="24"/>
                <w:szCs w:val="24"/>
              </w:rPr>
              <w:t>根据原型图设计数据库，搭建项目框架及架构</w:t>
            </w:r>
          </w:p>
        </w:tc>
      </w:tr>
      <w:tr>
        <w:tblPrEx>
          <w:tblCellMar>
            <w:top w:w="0" w:type="dxa"/>
            <w:left w:w="108" w:type="dxa"/>
            <w:bottom w:w="0" w:type="dxa"/>
            <w:right w:w="108" w:type="dxa"/>
          </w:tblCellMar>
        </w:tblPrEx>
        <w:trPr>
          <w:trHeight w:val="420"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
                <w:kern w:val="0"/>
                <w:sz w:val="24"/>
                <w:szCs w:val="24"/>
              </w:rPr>
            </w:pPr>
          </w:p>
        </w:tc>
        <w:tc>
          <w:tcPr>
            <w:tcW w:w="7513" w:type="dxa"/>
            <w:tcBorders>
              <w:top w:val="nil"/>
              <w:left w:val="nil"/>
              <w:bottom w:val="single" w:color="auto" w:sz="4" w:space="0"/>
              <w:right w:val="single" w:color="auto" w:sz="4" w:space="0"/>
            </w:tcBorders>
            <w:vAlign w:val="center"/>
          </w:tcPr>
          <w:p>
            <w:pPr>
              <w:widowControl/>
              <w:spacing w:line="460" w:lineRule="exact"/>
              <w:jc w:val="left"/>
              <w:rPr>
                <w:rFonts w:eastAsia="仿宋"/>
                <w:kern w:val="0"/>
                <w:sz w:val="24"/>
                <w:szCs w:val="24"/>
              </w:rPr>
            </w:pPr>
            <w:r>
              <w:rPr>
                <w:rFonts w:eastAsia="仿宋"/>
                <w:sz w:val="24"/>
                <w:szCs w:val="24"/>
              </w:rPr>
              <w:t xml:space="preserve">3.2  </w:t>
            </w:r>
            <w:r>
              <w:rPr>
                <w:rFonts w:hint="eastAsia" w:eastAsia="仿宋"/>
                <w:sz w:val="24"/>
                <w:szCs w:val="24"/>
              </w:rPr>
              <w:t>根据设计图及原型图编写前端代码</w:t>
            </w:r>
          </w:p>
        </w:tc>
      </w:tr>
      <w:tr>
        <w:tblPrEx>
          <w:tblCellMar>
            <w:top w:w="0" w:type="dxa"/>
            <w:left w:w="108" w:type="dxa"/>
            <w:bottom w:w="0" w:type="dxa"/>
            <w:right w:w="108" w:type="dxa"/>
          </w:tblCellMar>
        </w:tblPrEx>
        <w:trPr>
          <w:trHeight w:val="420"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
                <w:kern w:val="0"/>
                <w:sz w:val="24"/>
                <w:szCs w:val="24"/>
              </w:rPr>
            </w:pPr>
          </w:p>
        </w:tc>
        <w:tc>
          <w:tcPr>
            <w:tcW w:w="7513" w:type="dxa"/>
            <w:tcBorders>
              <w:top w:val="nil"/>
              <w:left w:val="nil"/>
              <w:bottom w:val="nil"/>
              <w:right w:val="single" w:color="auto" w:sz="4" w:space="0"/>
            </w:tcBorders>
            <w:vAlign w:val="center"/>
          </w:tcPr>
          <w:p>
            <w:pPr>
              <w:widowControl/>
              <w:spacing w:line="460" w:lineRule="exact"/>
              <w:jc w:val="left"/>
              <w:rPr>
                <w:rFonts w:eastAsia="仿宋"/>
                <w:kern w:val="0"/>
                <w:sz w:val="24"/>
                <w:szCs w:val="24"/>
              </w:rPr>
            </w:pPr>
            <w:r>
              <w:rPr>
                <w:rFonts w:eastAsia="仿宋"/>
                <w:sz w:val="24"/>
                <w:szCs w:val="24"/>
              </w:rPr>
              <w:t xml:space="preserve">3.3  </w:t>
            </w:r>
            <w:r>
              <w:rPr>
                <w:rFonts w:hint="eastAsia" w:eastAsia="仿宋"/>
                <w:sz w:val="24"/>
                <w:szCs w:val="24"/>
              </w:rPr>
              <w:t>实现项目前后端接口对接</w:t>
            </w:r>
          </w:p>
        </w:tc>
      </w:tr>
      <w:tr>
        <w:trPr>
          <w:trHeight w:val="4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60" w:lineRule="exact"/>
              <w:jc w:val="left"/>
              <w:rPr>
                <w:rFonts w:eastAsia="仿宋"/>
                <w:kern w:val="0"/>
                <w:sz w:val="24"/>
                <w:szCs w:val="24"/>
              </w:rPr>
            </w:pPr>
            <w:bookmarkStart w:id="29" w:name="_Toc30523"/>
            <w:bookmarkStart w:id="30" w:name="_Toc16622"/>
          </w:p>
        </w:tc>
        <w:tc>
          <w:tcPr>
            <w:tcW w:w="7513" w:type="dxa"/>
            <w:tcBorders>
              <w:top w:val="nil"/>
              <w:left w:val="nil"/>
              <w:bottom w:val="single" w:color="auto" w:sz="4" w:space="0"/>
              <w:right w:val="single" w:color="auto" w:sz="4" w:space="0"/>
            </w:tcBorders>
            <w:vAlign w:val="center"/>
          </w:tcPr>
          <w:p>
            <w:pPr>
              <w:widowControl/>
              <w:spacing w:line="460" w:lineRule="exact"/>
              <w:jc w:val="left"/>
              <w:rPr>
                <w:rFonts w:eastAsia="仿宋"/>
                <w:sz w:val="24"/>
                <w:szCs w:val="24"/>
              </w:rPr>
            </w:pPr>
            <w:r>
              <w:rPr>
                <w:rFonts w:hint="eastAsia" w:eastAsia="仿宋"/>
                <w:sz w:val="24"/>
                <w:szCs w:val="24"/>
              </w:rPr>
              <w:t>3.4  开发项目进行测试</w:t>
            </w:r>
          </w:p>
        </w:tc>
      </w:tr>
    </w:tbl>
    <w:p>
      <w:pPr>
        <w:keepNext/>
        <w:keepLines/>
        <w:spacing w:line="460" w:lineRule="exact"/>
        <w:ind w:firstLine="562" w:firstLineChars="200"/>
        <w:outlineLvl w:val="0"/>
        <w:rPr>
          <w:rFonts w:ascii="仿宋" w:hAnsi="仿宋" w:eastAsia="仿宋" w:cs="仿宋"/>
          <w:b/>
          <w:bCs/>
          <w:kern w:val="44"/>
          <w:sz w:val="28"/>
          <w:szCs w:val="28"/>
        </w:rPr>
      </w:pPr>
      <w:r>
        <w:rPr>
          <w:rFonts w:hint="eastAsia" w:ascii="仿宋" w:hAnsi="仿宋" w:eastAsia="仿宋" w:cs="仿宋"/>
          <w:b/>
          <w:bCs/>
          <w:kern w:val="44"/>
          <w:sz w:val="28"/>
          <w:szCs w:val="28"/>
        </w:rPr>
        <w:t>二、项目总费用</w:t>
      </w:r>
      <w:bookmarkEnd w:id="24"/>
      <w:bookmarkEnd w:id="25"/>
      <w:bookmarkEnd w:id="26"/>
      <w:bookmarkEnd w:id="27"/>
      <w:bookmarkEnd w:id="28"/>
      <w:bookmarkEnd w:id="29"/>
      <w:bookmarkEnd w:id="30"/>
    </w:p>
    <w:p>
      <w:pPr>
        <w:spacing w:line="46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项目研发总费用根据开发的工天计算得出</w:t>
      </w:r>
      <w:r>
        <w:rPr>
          <w:rFonts w:hint="eastAsia" w:ascii="仿宋" w:hAnsi="仿宋" w:eastAsia="仿宋" w:cs="仿宋"/>
          <w:b/>
          <w:sz w:val="28"/>
          <w:szCs w:val="28"/>
        </w:rPr>
        <w:t>，</w:t>
      </w:r>
      <w:r>
        <w:rPr>
          <w:rFonts w:hint="eastAsia" w:ascii="仿宋" w:hAnsi="仿宋" w:eastAsia="仿宋" w:cs="仿宋"/>
          <w:bCs/>
          <w:sz w:val="28"/>
          <w:szCs w:val="28"/>
        </w:rPr>
        <w:t>该费用已包括乙方完成本项目开发全部服务内容的所有费用，包括但不限于项目规划，设计，开发，测试，协助上线等全部费用；其中协助上门服务费用不包括在其中。</w:t>
      </w:r>
    </w:p>
    <w:p>
      <w:pPr>
        <w:keepNext/>
        <w:keepLines/>
        <w:spacing w:line="460" w:lineRule="exact"/>
        <w:ind w:firstLine="548" w:firstLineChars="195"/>
        <w:outlineLvl w:val="0"/>
        <w:rPr>
          <w:rFonts w:ascii="仿宋" w:hAnsi="仿宋" w:eastAsia="仿宋" w:cs="仿宋"/>
          <w:b/>
          <w:bCs/>
          <w:kern w:val="44"/>
          <w:sz w:val="28"/>
          <w:szCs w:val="28"/>
        </w:rPr>
      </w:pPr>
      <w:bookmarkStart w:id="31" w:name="_Toc145763269"/>
      <w:bookmarkStart w:id="32" w:name="_Toc14992"/>
      <w:bookmarkStart w:id="33" w:name="_Toc17727"/>
      <w:bookmarkStart w:id="34" w:name="_Toc6601604"/>
      <w:bookmarkStart w:id="35" w:name="_Toc13816"/>
      <w:bookmarkStart w:id="36" w:name="_Toc20525"/>
      <w:bookmarkStart w:id="37" w:name="_Toc25396"/>
      <w:r>
        <w:rPr>
          <w:rFonts w:hint="eastAsia" w:ascii="仿宋" w:hAnsi="仿宋" w:eastAsia="仿宋" w:cs="仿宋"/>
          <w:b/>
          <w:bCs/>
          <w:kern w:val="44"/>
          <w:sz w:val="28"/>
          <w:szCs w:val="28"/>
        </w:rPr>
        <w:t>三、项目实施</w:t>
      </w:r>
      <w:bookmarkEnd w:id="31"/>
      <w:r>
        <w:rPr>
          <w:rFonts w:hint="eastAsia" w:ascii="仿宋" w:hAnsi="仿宋" w:eastAsia="仿宋" w:cs="仿宋"/>
          <w:b/>
          <w:bCs/>
          <w:kern w:val="44"/>
          <w:sz w:val="28"/>
          <w:szCs w:val="28"/>
        </w:rPr>
        <w:t>及人员安排、交付成果</w:t>
      </w:r>
      <w:bookmarkEnd w:id="32"/>
      <w:bookmarkEnd w:id="33"/>
      <w:bookmarkEnd w:id="34"/>
      <w:bookmarkEnd w:id="35"/>
      <w:bookmarkEnd w:id="36"/>
      <w:bookmarkEnd w:id="37"/>
    </w:p>
    <w:p>
      <w:pPr>
        <w:keepNext/>
        <w:keepLines/>
        <w:spacing w:line="460" w:lineRule="exact"/>
        <w:ind w:firstLine="548" w:firstLineChars="195"/>
        <w:outlineLvl w:val="0"/>
        <w:rPr>
          <w:rFonts w:ascii="仿宋" w:hAnsi="仿宋" w:eastAsia="仿宋" w:cs="仿宋"/>
          <w:b/>
          <w:bCs/>
          <w:kern w:val="44"/>
          <w:sz w:val="28"/>
          <w:szCs w:val="28"/>
        </w:rPr>
      </w:pPr>
      <w:bookmarkStart w:id="38" w:name="_Toc145763270"/>
      <w:bookmarkStart w:id="39" w:name="_Toc9193"/>
      <w:bookmarkStart w:id="40" w:name="_Toc2118"/>
      <w:bookmarkStart w:id="41" w:name="_Toc9435"/>
      <w:bookmarkStart w:id="42" w:name="_Toc20989"/>
      <w:bookmarkStart w:id="43" w:name="_Toc9947"/>
      <w:bookmarkStart w:id="44" w:name="_Toc6601605"/>
      <w:r>
        <w:rPr>
          <w:rFonts w:hint="eastAsia" w:ascii="仿宋" w:hAnsi="仿宋" w:eastAsia="仿宋" w:cs="仿宋"/>
          <w:b/>
          <w:bCs/>
          <w:kern w:val="44"/>
          <w:sz w:val="28"/>
          <w:szCs w:val="28"/>
        </w:rPr>
        <w:t>（一）项目各阶段</w:t>
      </w:r>
      <w:bookmarkEnd w:id="38"/>
      <w:r>
        <w:rPr>
          <w:rFonts w:hint="eastAsia" w:ascii="仿宋" w:hAnsi="仿宋" w:eastAsia="仿宋" w:cs="仿宋"/>
          <w:b/>
          <w:bCs/>
          <w:kern w:val="44"/>
          <w:sz w:val="28"/>
          <w:szCs w:val="28"/>
        </w:rPr>
        <w:t>安排及交付物</w:t>
      </w:r>
      <w:bookmarkEnd w:id="39"/>
      <w:bookmarkEnd w:id="40"/>
      <w:bookmarkEnd w:id="41"/>
      <w:bookmarkEnd w:id="42"/>
      <w:bookmarkEnd w:id="43"/>
      <w:bookmarkEnd w:id="44"/>
    </w:p>
    <w:p>
      <w:pPr>
        <w:spacing w:line="460" w:lineRule="exact"/>
        <w:ind w:firstLine="560" w:firstLineChars="200"/>
        <w:rPr>
          <w:rFonts w:ascii="仿宋" w:hAnsi="仿宋" w:eastAsia="仿宋" w:cs="仿宋"/>
          <w:sz w:val="28"/>
          <w:szCs w:val="28"/>
        </w:rPr>
      </w:pPr>
      <w:bookmarkStart w:id="45" w:name="_Toc145763271"/>
      <w:r>
        <w:rPr>
          <w:rFonts w:hint="eastAsia" w:ascii="仿宋" w:hAnsi="仿宋" w:eastAsia="仿宋" w:cs="仿宋"/>
          <w:sz w:val="28"/>
          <w:szCs w:val="28"/>
        </w:rPr>
        <w:t xml:space="preserve">1. </w:t>
      </w:r>
      <w:bookmarkStart w:id="46" w:name="_Hlk513749318"/>
      <w:r>
        <w:rPr>
          <w:rFonts w:hint="eastAsia" w:ascii="仿宋" w:hAnsi="仿宋" w:eastAsia="仿宋" w:cs="仿宋"/>
          <w:sz w:val="28"/>
          <w:szCs w:val="28"/>
        </w:rPr>
        <w:t>本项目</w:t>
      </w:r>
      <w:r>
        <w:rPr>
          <w:rFonts w:hint="eastAsia" w:ascii="仿宋" w:hAnsi="仿宋" w:eastAsia="仿宋" w:cs="仿宋"/>
          <w:sz w:val="28"/>
          <w:szCs w:val="28"/>
          <w:highlight w:val="none"/>
        </w:rPr>
        <w:t>开发经甲方书面确认的最终纸质版乙方应在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日之前完成，原型设计方案经甲方确认之日起为项目开发期，开发期为期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个月，</w:t>
      </w:r>
      <w:bookmarkEnd w:id="46"/>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日之</w:t>
      </w:r>
      <w:r>
        <w:rPr>
          <w:rFonts w:hint="eastAsia" w:ascii="仿宋" w:hAnsi="仿宋" w:eastAsia="仿宋" w:cs="仿宋"/>
          <w:sz w:val="28"/>
          <w:szCs w:val="28"/>
        </w:rPr>
        <w:t>前完成，双方共同据此倒排拟定项目推进计划，严格按计划执行。</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 各阶段工作均包含相应的沟通，调整；</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 项目推进计划可根据项目执行情况经双方商议后适度调整；</w:t>
      </w:r>
    </w:p>
    <w:p>
      <w:pPr>
        <w:spacing w:line="460" w:lineRule="exact"/>
        <w:rPr>
          <w:rFonts w:ascii="仿宋" w:hAnsi="仿宋" w:eastAsia="仿宋" w:cs="仿宋"/>
          <w:szCs w:val="21"/>
        </w:rPr>
      </w:pPr>
    </w:p>
    <w:p>
      <w:pPr>
        <w:keepNext/>
        <w:keepLines/>
        <w:spacing w:line="460" w:lineRule="exact"/>
        <w:ind w:firstLine="200"/>
        <w:outlineLvl w:val="0"/>
        <w:rPr>
          <w:rFonts w:ascii="仿宋" w:hAnsi="仿宋" w:eastAsia="仿宋" w:cs="仿宋"/>
          <w:b/>
          <w:bCs/>
          <w:kern w:val="44"/>
          <w:sz w:val="28"/>
          <w:szCs w:val="28"/>
        </w:rPr>
      </w:pPr>
      <w:bookmarkStart w:id="47" w:name="_Toc21430"/>
      <w:bookmarkStart w:id="48" w:name="_Toc21424"/>
      <w:bookmarkStart w:id="49" w:name="_Toc27114"/>
      <w:bookmarkStart w:id="50" w:name="_Toc6601606"/>
      <w:bookmarkStart w:id="51" w:name="_Toc20875"/>
      <w:bookmarkStart w:id="52" w:name="_Toc9110"/>
      <w:bookmarkStart w:id="53" w:name="_Hlk517275494"/>
      <w:r>
        <w:rPr>
          <w:rFonts w:hint="eastAsia" w:ascii="仿宋" w:hAnsi="仿宋" w:eastAsia="仿宋" w:cs="仿宋"/>
          <w:b/>
          <w:bCs/>
          <w:kern w:val="44"/>
          <w:sz w:val="28"/>
          <w:szCs w:val="28"/>
        </w:rPr>
        <w:t>（二）项目负责人（参与人）</w:t>
      </w:r>
      <w:bookmarkEnd w:id="45"/>
      <w:bookmarkEnd w:id="47"/>
      <w:bookmarkEnd w:id="48"/>
      <w:bookmarkEnd w:id="49"/>
      <w:bookmarkEnd w:id="50"/>
      <w:bookmarkEnd w:id="51"/>
      <w:bookmarkEnd w:id="52"/>
    </w:p>
    <w:bookmarkEnd w:id="53"/>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甲方： </w:t>
      </w:r>
    </w:p>
    <w:p>
      <w:pPr>
        <w:spacing w:line="4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项目</w:t>
      </w:r>
      <w:r>
        <w:rPr>
          <w:rFonts w:hint="eastAsia" w:ascii="仿宋" w:hAnsi="仿宋" w:eastAsia="仿宋" w:cs="仿宋"/>
          <w:sz w:val="28"/>
          <w:szCs w:val="28"/>
          <w:lang w:val="en-US" w:eastAsia="zh-CN"/>
        </w:rPr>
        <w:t>项目负责人：</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联系电话：</w:t>
      </w:r>
    </w:p>
    <w:p>
      <w:pPr>
        <w:spacing w:line="460" w:lineRule="exact"/>
        <w:ind w:firstLine="560" w:firstLineChars="200"/>
        <w:rPr>
          <w:rFonts w:ascii="仿宋" w:hAnsi="仿宋" w:eastAsia="仿宋" w:cs="仿宋"/>
          <w:sz w:val="28"/>
          <w:szCs w:val="28"/>
        </w:rPr>
      </w:pP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乙方：</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项目负责人：</w:t>
      </w:r>
    </w:p>
    <w:p>
      <w:pPr>
        <w:pStyle w:val="2"/>
        <w:ind w:firstLine="568"/>
      </w:pPr>
      <w:r>
        <w:rPr>
          <w:rFonts w:hint="eastAsia" w:ascii="仿宋" w:hAnsi="仿宋" w:eastAsia="仿宋" w:cs="仿宋"/>
          <w:szCs w:val="28"/>
        </w:rPr>
        <w:t>联系电话：</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其他成员视项目情况调配。</w:t>
      </w:r>
    </w:p>
    <w:p>
      <w:pPr>
        <w:pStyle w:val="2"/>
        <w:ind w:firstLine="568"/>
      </w:pPr>
    </w:p>
    <w:p>
      <w:pPr>
        <w:keepNext/>
        <w:keepLines/>
        <w:spacing w:line="460" w:lineRule="exact"/>
        <w:ind w:firstLine="548" w:firstLineChars="195"/>
        <w:outlineLvl w:val="0"/>
        <w:rPr>
          <w:rFonts w:ascii="仿宋" w:hAnsi="仿宋" w:eastAsia="仿宋" w:cs="仿宋"/>
          <w:b/>
          <w:bCs/>
          <w:kern w:val="44"/>
          <w:sz w:val="28"/>
          <w:szCs w:val="28"/>
        </w:rPr>
      </w:pPr>
      <w:bookmarkStart w:id="54" w:name="_Toc11963"/>
      <w:bookmarkStart w:id="55" w:name="_Toc11931"/>
      <w:bookmarkStart w:id="56" w:name="_Toc6601607"/>
      <w:bookmarkStart w:id="57" w:name="_Toc145763272"/>
      <w:bookmarkStart w:id="58" w:name="_Toc30681"/>
      <w:bookmarkStart w:id="59" w:name="_Toc29374"/>
      <w:bookmarkStart w:id="60" w:name="_Toc7046"/>
      <w:r>
        <w:rPr>
          <w:rFonts w:hint="eastAsia" w:ascii="仿宋" w:hAnsi="仿宋" w:eastAsia="仿宋" w:cs="仿宋"/>
          <w:b/>
          <w:bCs/>
          <w:kern w:val="44"/>
          <w:sz w:val="28"/>
          <w:szCs w:val="28"/>
        </w:rPr>
        <w:t>四、费用支付</w:t>
      </w:r>
      <w:bookmarkEnd w:id="54"/>
      <w:bookmarkEnd w:id="55"/>
      <w:bookmarkEnd w:id="56"/>
      <w:bookmarkEnd w:id="57"/>
      <w:bookmarkEnd w:id="58"/>
      <w:bookmarkEnd w:id="59"/>
      <w:bookmarkEnd w:id="60"/>
      <w:r>
        <w:rPr>
          <w:rFonts w:hint="eastAsia" w:ascii="仿宋" w:hAnsi="仿宋" w:eastAsia="仿宋" w:cs="仿宋"/>
          <w:b/>
          <w:bCs/>
          <w:kern w:val="44"/>
          <w:sz w:val="28"/>
          <w:szCs w:val="28"/>
        </w:rPr>
        <w:t xml:space="preserve">      </w:t>
      </w:r>
    </w:p>
    <w:p>
      <w:pPr>
        <w:keepNext/>
        <w:keepLines/>
        <w:spacing w:line="460" w:lineRule="exact"/>
        <w:ind w:firstLine="548" w:firstLineChars="195"/>
        <w:outlineLvl w:val="0"/>
        <w:rPr>
          <w:rFonts w:ascii="仿宋" w:hAnsi="仿宋" w:eastAsia="仿宋" w:cs="仿宋"/>
          <w:b/>
          <w:bCs/>
          <w:kern w:val="44"/>
          <w:sz w:val="28"/>
          <w:szCs w:val="28"/>
        </w:rPr>
      </w:pPr>
      <w:bookmarkStart w:id="61" w:name="_Toc150224579"/>
      <w:bookmarkStart w:id="62" w:name="_Toc30344"/>
      <w:bookmarkStart w:id="63" w:name="_Toc6601608"/>
      <w:bookmarkStart w:id="64" w:name="_Toc30491"/>
      <w:bookmarkStart w:id="65" w:name="_Toc5498"/>
      <w:bookmarkStart w:id="66" w:name="_Toc30702"/>
      <w:bookmarkStart w:id="67" w:name="_Toc19577"/>
      <w:r>
        <w:rPr>
          <w:rFonts w:hint="eastAsia" w:ascii="仿宋" w:hAnsi="仿宋" w:eastAsia="仿宋" w:cs="仿宋"/>
          <w:b/>
          <w:bCs/>
          <w:kern w:val="44"/>
          <w:sz w:val="28"/>
          <w:szCs w:val="28"/>
        </w:rPr>
        <w:t>（一）</w:t>
      </w:r>
      <w:bookmarkEnd w:id="61"/>
      <w:r>
        <w:rPr>
          <w:rFonts w:hint="eastAsia" w:ascii="仿宋" w:hAnsi="仿宋" w:eastAsia="仿宋" w:cs="仿宋"/>
          <w:b/>
          <w:bCs/>
          <w:kern w:val="44"/>
          <w:sz w:val="28"/>
          <w:szCs w:val="28"/>
        </w:rPr>
        <w:t>合同金额</w:t>
      </w:r>
      <w:bookmarkEnd w:id="62"/>
      <w:bookmarkEnd w:id="63"/>
      <w:bookmarkEnd w:id="64"/>
      <w:bookmarkEnd w:id="65"/>
      <w:bookmarkEnd w:id="66"/>
      <w:bookmarkEnd w:id="67"/>
    </w:p>
    <w:p>
      <w:pPr>
        <w:spacing w:line="460" w:lineRule="exact"/>
        <w:ind w:firstLine="560" w:firstLineChars="200"/>
        <w:rPr>
          <w:rFonts w:ascii="仿宋" w:hAnsi="仿宋" w:eastAsia="仿宋" w:cs="仿宋"/>
          <w:szCs w:val="21"/>
        </w:rPr>
      </w:pPr>
      <w:r>
        <w:rPr>
          <w:rFonts w:hint="eastAsia" w:ascii="仿宋" w:hAnsi="仿宋" w:eastAsia="仿宋" w:cs="仿宋"/>
          <w:sz w:val="28"/>
          <w:szCs w:val="28"/>
        </w:rPr>
        <w:t xml:space="preserve">                                               </w:t>
      </w:r>
      <w:r>
        <w:rPr>
          <w:rFonts w:hint="eastAsia" w:ascii="仿宋" w:hAnsi="仿宋" w:eastAsia="仿宋" w:cs="仿宋"/>
          <w:szCs w:val="21"/>
        </w:rPr>
        <w:t>单位：元（人民币）</w:t>
      </w:r>
    </w:p>
    <w:tbl>
      <w:tblPr>
        <w:tblStyle w:val="18"/>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6"/>
        <w:gridCol w:w="2128"/>
        <w:gridCol w:w="1568"/>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486" w:type="dxa"/>
            <w:vAlign w:val="center"/>
          </w:tcPr>
          <w:p>
            <w:pPr>
              <w:spacing w:line="460" w:lineRule="exact"/>
              <w:jc w:val="center"/>
              <w:rPr>
                <w:rFonts w:ascii="仿宋" w:hAnsi="仿宋" w:eastAsia="仿宋" w:cs="仿宋"/>
                <w:sz w:val="24"/>
                <w:szCs w:val="24"/>
              </w:rPr>
            </w:pPr>
            <w:r>
              <w:rPr>
                <w:rFonts w:hint="eastAsia" w:ascii="仿宋" w:hAnsi="仿宋" w:eastAsia="仿宋" w:cs="仿宋"/>
                <w:sz w:val="24"/>
                <w:szCs w:val="24"/>
              </w:rPr>
              <w:t>付款进度</w:t>
            </w:r>
          </w:p>
        </w:tc>
        <w:tc>
          <w:tcPr>
            <w:tcW w:w="2128" w:type="dxa"/>
            <w:vAlign w:val="center"/>
          </w:tcPr>
          <w:p>
            <w:pPr>
              <w:spacing w:line="460" w:lineRule="exact"/>
              <w:jc w:val="center"/>
              <w:rPr>
                <w:rFonts w:ascii="仿宋" w:hAnsi="仿宋" w:eastAsia="仿宋" w:cs="仿宋"/>
                <w:sz w:val="24"/>
                <w:szCs w:val="24"/>
              </w:rPr>
            </w:pPr>
            <w:r>
              <w:rPr>
                <w:rFonts w:hint="eastAsia" w:ascii="仿宋" w:hAnsi="仿宋" w:eastAsia="仿宋" w:cs="仿宋"/>
                <w:sz w:val="24"/>
                <w:szCs w:val="24"/>
              </w:rPr>
              <w:t>计算方法</w:t>
            </w:r>
          </w:p>
        </w:tc>
        <w:tc>
          <w:tcPr>
            <w:tcW w:w="1568" w:type="dxa"/>
            <w:vAlign w:val="center"/>
          </w:tcPr>
          <w:p>
            <w:pPr>
              <w:spacing w:line="460" w:lineRule="exact"/>
              <w:jc w:val="center"/>
              <w:rPr>
                <w:rFonts w:ascii="仿宋" w:hAnsi="仿宋" w:eastAsia="仿宋" w:cs="仿宋"/>
                <w:sz w:val="24"/>
                <w:szCs w:val="24"/>
              </w:rPr>
            </w:pPr>
            <w:r>
              <w:rPr>
                <w:rFonts w:hint="eastAsia" w:ascii="仿宋" w:hAnsi="仿宋" w:eastAsia="仿宋" w:cs="仿宋"/>
                <w:sz w:val="24"/>
                <w:szCs w:val="24"/>
              </w:rPr>
              <w:t>付款金额</w:t>
            </w:r>
          </w:p>
        </w:tc>
        <w:tc>
          <w:tcPr>
            <w:tcW w:w="1050" w:type="dxa"/>
            <w:vAlign w:val="center"/>
          </w:tcPr>
          <w:p>
            <w:pPr>
              <w:spacing w:line="460" w:lineRule="exact"/>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486" w:type="dxa"/>
            <w:vAlign w:val="center"/>
          </w:tcPr>
          <w:p>
            <w:pPr>
              <w:spacing w:line="460" w:lineRule="exact"/>
              <w:rPr>
                <w:rFonts w:ascii="仿宋" w:hAnsi="仿宋" w:eastAsia="仿宋" w:cs="仿宋"/>
                <w:sz w:val="24"/>
                <w:szCs w:val="24"/>
              </w:rPr>
            </w:pPr>
            <w:r>
              <w:rPr>
                <w:rFonts w:hint="eastAsia" w:eastAsia="仿宋"/>
                <w:sz w:val="24"/>
                <w:szCs w:val="24"/>
              </w:rPr>
              <w:t>乙方提交</w:t>
            </w:r>
            <w:r>
              <w:rPr>
                <w:rFonts w:eastAsia="仿宋"/>
                <w:sz w:val="24"/>
                <w:szCs w:val="24"/>
              </w:rPr>
              <w:t>项目</w:t>
            </w:r>
            <w:r>
              <w:rPr>
                <w:rFonts w:hint="eastAsia" w:eastAsia="仿宋"/>
                <w:sz w:val="24"/>
                <w:szCs w:val="24"/>
              </w:rPr>
              <w:t>阶段性</w:t>
            </w:r>
            <w:r>
              <w:rPr>
                <w:rFonts w:eastAsia="仿宋"/>
                <w:sz w:val="24"/>
                <w:szCs w:val="24"/>
              </w:rPr>
              <w:t>成果运行情况</w:t>
            </w:r>
            <w:r>
              <w:rPr>
                <w:rFonts w:hint="eastAsia" w:eastAsia="仿宋"/>
                <w:sz w:val="24"/>
                <w:szCs w:val="24"/>
              </w:rPr>
              <w:t>验收</w:t>
            </w:r>
            <w:r>
              <w:rPr>
                <w:rFonts w:eastAsia="仿宋"/>
                <w:sz w:val="24"/>
                <w:szCs w:val="24"/>
              </w:rPr>
              <w:t>报告</w:t>
            </w:r>
            <w:r>
              <w:rPr>
                <w:rFonts w:hint="eastAsia" w:eastAsia="仿宋"/>
                <w:sz w:val="24"/>
                <w:szCs w:val="24"/>
              </w:rPr>
              <w:t>（纸质版）后</w:t>
            </w:r>
          </w:p>
        </w:tc>
        <w:tc>
          <w:tcPr>
            <w:tcW w:w="2128" w:type="dxa"/>
            <w:vAlign w:val="center"/>
          </w:tcPr>
          <w:p>
            <w:pPr>
              <w:spacing w:line="4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付款50%</w:t>
            </w:r>
          </w:p>
        </w:tc>
        <w:tc>
          <w:tcPr>
            <w:tcW w:w="1568" w:type="dxa"/>
            <w:vAlign w:val="center"/>
          </w:tcPr>
          <w:p>
            <w:pPr>
              <w:spacing w:line="460" w:lineRule="exact"/>
              <w:jc w:val="center"/>
              <w:rPr>
                <w:rFonts w:ascii="仿宋" w:hAnsi="仿宋" w:eastAsia="仿宋" w:cs="仿宋"/>
                <w:sz w:val="24"/>
                <w:szCs w:val="24"/>
              </w:rPr>
            </w:pPr>
          </w:p>
        </w:tc>
        <w:tc>
          <w:tcPr>
            <w:tcW w:w="1050" w:type="dxa"/>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486" w:type="dxa"/>
            <w:vAlign w:val="center"/>
          </w:tcPr>
          <w:p>
            <w:pPr>
              <w:spacing w:line="460" w:lineRule="exact"/>
              <w:rPr>
                <w:rFonts w:hint="default" w:eastAsia="仿宋"/>
                <w:sz w:val="24"/>
                <w:szCs w:val="24"/>
                <w:lang w:val="en-US" w:eastAsia="zh-CN"/>
              </w:rPr>
            </w:pPr>
            <w:r>
              <w:rPr>
                <w:rFonts w:hint="eastAsia" w:eastAsia="仿宋"/>
                <w:sz w:val="24"/>
                <w:szCs w:val="24"/>
                <w:lang w:val="en-US" w:eastAsia="zh-CN"/>
              </w:rPr>
              <w:t>系统开发完成并经甲方验收，上线至正式环境</w:t>
            </w:r>
          </w:p>
        </w:tc>
        <w:tc>
          <w:tcPr>
            <w:tcW w:w="2128" w:type="dxa"/>
            <w:vAlign w:val="center"/>
          </w:tcPr>
          <w:p>
            <w:pPr>
              <w:spacing w:line="4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付款50%</w:t>
            </w:r>
          </w:p>
        </w:tc>
        <w:tc>
          <w:tcPr>
            <w:tcW w:w="1568" w:type="dxa"/>
            <w:vAlign w:val="center"/>
          </w:tcPr>
          <w:p>
            <w:pPr>
              <w:spacing w:line="460" w:lineRule="exact"/>
              <w:jc w:val="center"/>
              <w:rPr>
                <w:rFonts w:ascii="仿宋" w:hAnsi="仿宋" w:eastAsia="仿宋" w:cs="仿宋"/>
                <w:sz w:val="24"/>
                <w:szCs w:val="24"/>
              </w:rPr>
            </w:pPr>
          </w:p>
        </w:tc>
        <w:tc>
          <w:tcPr>
            <w:tcW w:w="1050" w:type="dxa"/>
            <w:vAlign w:val="center"/>
          </w:tcPr>
          <w:p>
            <w:pPr>
              <w:spacing w:line="460" w:lineRule="exact"/>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614" w:type="dxa"/>
            <w:gridSpan w:val="2"/>
            <w:vAlign w:val="center"/>
          </w:tcPr>
          <w:p>
            <w:pPr>
              <w:spacing w:line="460" w:lineRule="exact"/>
              <w:jc w:val="center"/>
              <w:rPr>
                <w:rFonts w:ascii="仿宋" w:hAnsi="仿宋" w:eastAsia="仿宋" w:cs="仿宋"/>
                <w:b/>
                <w:bCs/>
                <w:sz w:val="24"/>
                <w:szCs w:val="24"/>
              </w:rPr>
            </w:pPr>
            <w:r>
              <w:rPr>
                <w:rFonts w:hint="eastAsia" w:ascii="仿宋" w:hAnsi="仿宋" w:eastAsia="仿宋" w:cs="仿宋"/>
                <w:b/>
                <w:bCs/>
                <w:sz w:val="24"/>
                <w:szCs w:val="24"/>
              </w:rPr>
              <w:t>总计（含税价）</w:t>
            </w:r>
          </w:p>
        </w:tc>
        <w:tc>
          <w:tcPr>
            <w:tcW w:w="1568" w:type="dxa"/>
            <w:vAlign w:val="center"/>
          </w:tcPr>
          <w:p>
            <w:pPr>
              <w:spacing w:line="460" w:lineRule="exact"/>
              <w:jc w:val="center"/>
              <w:rPr>
                <w:rFonts w:ascii="仿宋" w:hAnsi="仿宋" w:eastAsia="仿宋" w:cs="仿宋"/>
                <w:b/>
                <w:bCs/>
                <w:sz w:val="24"/>
                <w:szCs w:val="24"/>
              </w:rPr>
            </w:pPr>
          </w:p>
        </w:tc>
        <w:tc>
          <w:tcPr>
            <w:tcW w:w="1050" w:type="dxa"/>
            <w:vAlign w:val="center"/>
          </w:tcPr>
          <w:p>
            <w:pPr>
              <w:spacing w:line="460" w:lineRule="exact"/>
              <w:jc w:val="center"/>
              <w:rPr>
                <w:rFonts w:ascii="仿宋" w:hAnsi="仿宋" w:eastAsia="仿宋" w:cs="仿宋"/>
                <w:sz w:val="24"/>
                <w:szCs w:val="24"/>
              </w:rPr>
            </w:pPr>
          </w:p>
        </w:tc>
      </w:tr>
    </w:tbl>
    <w:p>
      <w:pPr>
        <w:keepNext/>
        <w:keepLines/>
        <w:spacing w:line="460" w:lineRule="exact"/>
        <w:ind w:firstLine="548" w:firstLineChars="195"/>
        <w:outlineLvl w:val="0"/>
        <w:rPr>
          <w:rFonts w:ascii="仿宋" w:hAnsi="仿宋" w:eastAsia="仿宋" w:cs="仿宋"/>
          <w:b/>
          <w:bCs/>
          <w:kern w:val="44"/>
          <w:sz w:val="28"/>
          <w:szCs w:val="28"/>
        </w:rPr>
      </w:pPr>
      <w:bookmarkStart w:id="68" w:name="_Toc145763273"/>
      <w:r>
        <w:rPr>
          <w:rFonts w:hint="eastAsia" w:ascii="仿宋" w:hAnsi="仿宋" w:eastAsia="仿宋" w:cs="仿宋"/>
          <w:b/>
          <w:bCs/>
          <w:kern w:val="44"/>
          <w:sz w:val="28"/>
          <w:szCs w:val="28"/>
        </w:rPr>
        <w:t>（二）合同金额</w:t>
      </w:r>
    </w:p>
    <w:p>
      <w:pPr>
        <w:spacing w:line="460" w:lineRule="exact"/>
        <w:ind w:firstLine="560" w:firstLineChars="200"/>
        <w:rPr>
          <w:rFonts w:ascii="仿宋" w:hAnsi="仿宋" w:eastAsia="仿宋" w:cs="仿宋"/>
          <w:sz w:val="28"/>
          <w:szCs w:val="28"/>
        </w:rPr>
      </w:pPr>
      <w:bookmarkStart w:id="69" w:name="_Hlk69493011"/>
      <w:r>
        <w:rPr>
          <w:rFonts w:hint="eastAsia" w:ascii="仿宋" w:hAnsi="仿宋" w:eastAsia="仿宋" w:cs="仿宋"/>
          <w:sz w:val="28"/>
          <w:szCs w:val="28"/>
        </w:rPr>
        <w:t>项目的阶段成果经甲方书面确认通过后，甲方向乙方支付项目款项，若阶段性成果内容甲方有异议需要调整的，由乙方调整至甲方书面认可后再行支付款项。甲方在付款前，乙方应向甲方开具由税务部门提供的合法有效增值税专票，否则甲方有权拒绝付款且不承担逾期付款违约责任。</w:t>
      </w:r>
    </w:p>
    <w:bookmarkEnd w:id="69"/>
    <w:p>
      <w:pPr>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乙方银行账户如下：</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开户行： </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账  号： </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账  户： </w:t>
      </w:r>
    </w:p>
    <w:p>
      <w:pPr>
        <w:keepNext/>
        <w:keepLines/>
        <w:spacing w:line="460" w:lineRule="exact"/>
        <w:ind w:firstLine="562" w:firstLineChars="200"/>
        <w:outlineLvl w:val="0"/>
        <w:rPr>
          <w:rFonts w:ascii="仿宋" w:hAnsi="仿宋" w:eastAsia="仿宋" w:cs="仿宋"/>
          <w:b/>
          <w:kern w:val="44"/>
          <w:sz w:val="28"/>
          <w:szCs w:val="28"/>
        </w:rPr>
      </w:pPr>
      <w:bookmarkStart w:id="70" w:name="_Toc17730"/>
      <w:bookmarkStart w:id="71" w:name="_Toc5385"/>
      <w:bookmarkStart w:id="72" w:name="_Toc6601610"/>
      <w:bookmarkStart w:id="73" w:name="_Toc24182"/>
      <w:bookmarkStart w:id="74" w:name="_Toc9830"/>
      <w:bookmarkStart w:id="75" w:name="_Toc907"/>
      <w:r>
        <w:rPr>
          <w:rFonts w:hint="eastAsia" w:ascii="仿宋" w:hAnsi="仿宋" w:eastAsia="仿宋" w:cs="仿宋"/>
          <w:b/>
          <w:bCs/>
          <w:kern w:val="44"/>
          <w:sz w:val="28"/>
          <w:szCs w:val="28"/>
        </w:rPr>
        <w:t>五、项目开发质量保证</w:t>
      </w:r>
      <w:bookmarkEnd w:id="68"/>
      <w:bookmarkEnd w:id="70"/>
      <w:bookmarkEnd w:id="71"/>
      <w:bookmarkEnd w:id="72"/>
      <w:bookmarkEnd w:id="73"/>
      <w:bookmarkEnd w:id="74"/>
      <w:bookmarkEnd w:id="75"/>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强调项目推进中的过程控制，在每一个阶段开始前，乙方都向甲方提交该阶段的详细方案和工作计划，若甲方对详细方案或工作计划提出修改意见或者反馈意见，乙方应及时修改直至甲方书面认可。详细方案或工作计划经甲方书面认可后执行。项目每一阶段的产生成果均要向甲方项目组长汇报，经甲方项目组长书面认可后，方可进行后续阶段的工作；</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（二）为保证各项成果的有效推行，乙方须提供必要的技术方法进行支持</w:t>
      </w:r>
      <w:bookmarkStart w:id="76" w:name="_Toc145763274"/>
      <w:r>
        <w:rPr>
          <w:rFonts w:hint="eastAsia" w:ascii="仿宋" w:hAnsi="仿宋" w:eastAsia="仿宋" w:cs="仿宋"/>
          <w:sz w:val="28"/>
          <w:szCs w:val="28"/>
        </w:rPr>
        <w:t>；</w:t>
      </w:r>
    </w:p>
    <w:p>
      <w:pPr>
        <w:keepNext/>
        <w:keepLines/>
        <w:spacing w:line="460" w:lineRule="exact"/>
        <w:ind w:firstLine="548" w:firstLineChars="195"/>
        <w:outlineLvl w:val="0"/>
        <w:rPr>
          <w:rFonts w:ascii="仿宋" w:hAnsi="仿宋" w:eastAsia="仿宋" w:cs="仿宋"/>
          <w:b/>
          <w:bCs/>
          <w:kern w:val="44"/>
          <w:sz w:val="28"/>
          <w:szCs w:val="28"/>
        </w:rPr>
      </w:pPr>
      <w:bookmarkStart w:id="77" w:name="_Toc30703"/>
      <w:bookmarkStart w:id="78" w:name="_Toc882"/>
      <w:bookmarkStart w:id="79" w:name="_Toc6601611"/>
      <w:bookmarkStart w:id="80" w:name="_Toc16823"/>
      <w:bookmarkStart w:id="81" w:name="_Toc24535"/>
      <w:bookmarkStart w:id="82" w:name="_Toc24988"/>
      <w:r>
        <w:rPr>
          <w:rFonts w:hint="eastAsia" w:ascii="仿宋" w:hAnsi="仿宋" w:eastAsia="仿宋" w:cs="仿宋"/>
          <w:b/>
          <w:bCs/>
          <w:kern w:val="44"/>
          <w:sz w:val="28"/>
          <w:szCs w:val="28"/>
        </w:rPr>
        <w:t>六、甲方权利与义务</w:t>
      </w:r>
      <w:bookmarkEnd w:id="76"/>
      <w:bookmarkEnd w:id="77"/>
      <w:bookmarkEnd w:id="78"/>
      <w:bookmarkEnd w:id="79"/>
      <w:bookmarkEnd w:id="80"/>
      <w:bookmarkEnd w:id="81"/>
      <w:bookmarkEnd w:id="82"/>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（一）如果乙方不能按照协议和甲方的执行要求完成各阶段任务，甲方有权拒付后续费用并终止后续实施工作；</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（二）甲方有权要求更换项目策划人员，乙方不得主动替换或调配工作人员的，若确有必要的应提前告知甲方，并经甲方同意；</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（三）甲方有权了解乙方的工作情况及进展，甲方有权对乙方的方案及设计提出反馈意见或修改意见；</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（四）甲方须指定合适的专职人员配合乙方咨询团队工作，甲方应当向乙方提供为完成上述工作所必需的资料；</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（五）甲方负责协调乙方与甲方各部门以及其他有关合作方之间的工作关系；有义务根据协议约定向乙方支付项目费用；</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（六）甲方协调各有关方面人员，对乙方咨询团队完成的报告及研究方案及时进行审议；</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（七）甲方应提供给乙方至少三人办公的固定办公场所，同时应保证为本项目服务的必要的网络、打印、复印、文件装订等条件和相关的消耗材料。</w:t>
      </w:r>
      <w:bookmarkStart w:id="83" w:name="_Toc145763275"/>
    </w:p>
    <w:p>
      <w:pPr>
        <w:keepNext/>
        <w:keepLines/>
        <w:spacing w:line="460" w:lineRule="exact"/>
        <w:ind w:firstLine="548" w:firstLineChars="195"/>
        <w:outlineLvl w:val="0"/>
        <w:rPr>
          <w:rFonts w:ascii="仿宋" w:hAnsi="仿宋" w:eastAsia="仿宋" w:cs="仿宋"/>
          <w:b/>
          <w:bCs/>
          <w:kern w:val="44"/>
          <w:sz w:val="28"/>
          <w:szCs w:val="28"/>
        </w:rPr>
      </w:pPr>
      <w:bookmarkStart w:id="84" w:name="_Toc6601612"/>
      <w:bookmarkStart w:id="85" w:name="_Toc24098"/>
      <w:bookmarkStart w:id="86" w:name="_Toc17394"/>
      <w:bookmarkStart w:id="87" w:name="_Toc10138"/>
      <w:bookmarkStart w:id="88" w:name="_Toc14546"/>
      <w:bookmarkStart w:id="89" w:name="_Toc25466"/>
      <w:r>
        <w:rPr>
          <w:rFonts w:hint="eastAsia" w:ascii="仿宋" w:hAnsi="仿宋" w:eastAsia="仿宋" w:cs="仿宋"/>
          <w:b/>
          <w:bCs/>
          <w:kern w:val="44"/>
          <w:sz w:val="28"/>
          <w:szCs w:val="28"/>
        </w:rPr>
        <w:t>七、乙方权利与义务</w:t>
      </w:r>
      <w:bookmarkEnd w:id="83"/>
      <w:bookmarkEnd w:id="84"/>
      <w:bookmarkEnd w:id="85"/>
      <w:bookmarkEnd w:id="86"/>
      <w:bookmarkEnd w:id="87"/>
      <w:bookmarkEnd w:id="88"/>
      <w:bookmarkEnd w:id="89"/>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（一）乙方有权按照协议约定收取项目费用；乙方有权经甲方同意后根据项目进展情况对咨询顾问进行调配；</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（二）乙方为甲方提供项目开发服务期间及以后，不得有损害甲方的企业形象和合法权益的行为；</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（三）乙方有义务按照本协议要求的时间和质量标准向甲方提供第三条所约定的成果文件；</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（四）乙方保证对其所提供给甲方的所有成果不得侵害任何第三方的合法权益，如造成侵害任何第三方的合法权益，所有经济及法律责任由乙方承担；</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（五）乙方在</w:t>
      </w:r>
      <w:r>
        <w:rPr>
          <w:rFonts w:hint="eastAsia" w:ascii="仿宋" w:hAnsi="仿宋" w:eastAsia="仿宋" w:cs="仿宋"/>
          <w:sz w:val="28"/>
          <w:szCs w:val="28"/>
          <w:lang w:val="en-US" w:eastAsia="zh-CN"/>
        </w:rPr>
        <w:t>开发</w:t>
      </w:r>
      <w:r>
        <w:rPr>
          <w:rFonts w:hint="eastAsia" w:ascii="仿宋" w:hAnsi="仿宋" w:eastAsia="仿宋" w:cs="仿宋"/>
          <w:sz w:val="28"/>
          <w:szCs w:val="28"/>
        </w:rPr>
        <w:t>项目阶段结束进入辅导阶段后，</w:t>
      </w:r>
      <w:r>
        <w:rPr>
          <w:rFonts w:hint="eastAsia" w:ascii="仿宋" w:hAnsi="仿宋" w:eastAsia="仿宋" w:cs="仿宋"/>
          <w:sz w:val="28"/>
          <w:szCs w:val="28"/>
          <w:lang w:val="en-US" w:eastAsia="zh-CN"/>
        </w:rPr>
        <w:t>根据</w:t>
      </w:r>
      <w:r>
        <w:rPr>
          <w:rFonts w:hint="eastAsia" w:ascii="仿宋" w:hAnsi="仿宋" w:eastAsia="仿宋" w:cs="仿宋"/>
          <w:sz w:val="28"/>
          <w:szCs w:val="28"/>
        </w:rPr>
        <w:t>甲方</w:t>
      </w:r>
      <w:r>
        <w:rPr>
          <w:rFonts w:hint="eastAsia" w:ascii="仿宋" w:hAnsi="仿宋" w:eastAsia="仿宋" w:cs="仿宋"/>
          <w:sz w:val="28"/>
          <w:szCs w:val="28"/>
          <w:lang w:val="en-US" w:eastAsia="zh-CN"/>
        </w:rPr>
        <w:t>要求，参与</w:t>
      </w:r>
      <w:r>
        <w:rPr>
          <w:rFonts w:hint="eastAsia" w:ascii="仿宋" w:hAnsi="仿宋" w:eastAsia="仿宋" w:cs="仿宋"/>
          <w:sz w:val="28"/>
          <w:szCs w:val="28"/>
        </w:rPr>
        <w:t>重要</w:t>
      </w:r>
      <w:r>
        <w:rPr>
          <w:rFonts w:hint="eastAsia" w:ascii="仿宋" w:hAnsi="仿宋" w:eastAsia="仿宋" w:cs="仿宋"/>
          <w:sz w:val="28"/>
          <w:szCs w:val="28"/>
          <w:lang w:val="en-US" w:eastAsia="zh-CN"/>
        </w:rPr>
        <w:t>技术</w:t>
      </w:r>
      <w:r>
        <w:rPr>
          <w:rFonts w:hint="eastAsia" w:ascii="仿宋" w:hAnsi="仿宋" w:eastAsia="仿宋" w:cs="仿宋"/>
          <w:sz w:val="28"/>
          <w:szCs w:val="28"/>
        </w:rPr>
        <w:t>会议，出具独立意见，具体</w:t>
      </w:r>
      <w:r>
        <w:rPr>
          <w:rFonts w:hint="eastAsia" w:ascii="仿宋" w:hAnsi="仿宋" w:eastAsia="仿宋" w:cs="仿宋"/>
          <w:sz w:val="28"/>
          <w:szCs w:val="28"/>
          <w:lang w:val="en-US" w:eastAsia="zh-CN"/>
        </w:rPr>
        <w:t>安排</w:t>
      </w:r>
      <w:r>
        <w:rPr>
          <w:rFonts w:hint="eastAsia" w:ascii="仿宋" w:hAnsi="仿宋" w:eastAsia="仿宋" w:cs="仿宋"/>
          <w:sz w:val="28"/>
          <w:szCs w:val="28"/>
        </w:rPr>
        <w:t>由甲方确定；</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（六）乙方在进入辅导阶段后，定期与甲方相关人员就甲方项目成果实施情况进行沟通；</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（七）乙方在进行</w:t>
      </w:r>
      <w:r>
        <w:rPr>
          <w:rFonts w:hint="eastAsia" w:ascii="仿宋" w:hAnsi="仿宋" w:eastAsia="仿宋" w:cs="仿宋"/>
          <w:sz w:val="28"/>
          <w:szCs w:val="28"/>
          <w:lang w:val="en-US" w:eastAsia="zh-CN"/>
        </w:rPr>
        <w:t>运维</w:t>
      </w:r>
      <w:bookmarkStart w:id="165" w:name="_GoBack"/>
      <w:bookmarkEnd w:id="165"/>
      <w:r>
        <w:rPr>
          <w:rFonts w:hint="eastAsia" w:ascii="仿宋" w:hAnsi="仿宋" w:eastAsia="仿宋" w:cs="仿宋"/>
          <w:sz w:val="28"/>
          <w:szCs w:val="28"/>
        </w:rPr>
        <w:t>服务中使用任何第三方资料，涉及知识产权保护问题的，乙方应妥善解决，因此产生任何法律问题，乙方承担损失赔偿责任。</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（八）乙方工作人员在参与甲方经营活动期间或者在甲方办公期间不得泄露甲方任何商业秘密，若因泄露甲方商业秘密导致甲方受到行政处罚或者损失的，责任全部由乙方承担。</w:t>
      </w:r>
    </w:p>
    <w:p>
      <w:pPr>
        <w:keepNext/>
        <w:keepLines/>
        <w:spacing w:line="460" w:lineRule="exact"/>
        <w:ind w:firstLine="548" w:firstLineChars="195"/>
        <w:outlineLvl w:val="0"/>
        <w:rPr>
          <w:rFonts w:ascii="仿宋" w:hAnsi="仿宋" w:eastAsia="仿宋" w:cs="仿宋"/>
          <w:b/>
          <w:bCs/>
          <w:kern w:val="44"/>
          <w:sz w:val="28"/>
          <w:szCs w:val="28"/>
        </w:rPr>
      </w:pPr>
      <w:bookmarkStart w:id="90" w:name="_Toc25489"/>
      <w:bookmarkStart w:id="91" w:name="_Toc1681"/>
      <w:bookmarkStart w:id="92" w:name="_Toc27318"/>
      <w:bookmarkStart w:id="93" w:name="_Toc9234"/>
      <w:bookmarkStart w:id="94" w:name="_Toc6601613"/>
      <w:bookmarkStart w:id="95" w:name="_Toc12099"/>
      <w:bookmarkStart w:id="96" w:name="_Toc145763276"/>
      <w:r>
        <w:rPr>
          <w:rFonts w:hint="eastAsia" w:ascii="仿宋" w:hAnsi="仿宋" w:eastAsia="仿宋" w:cs="仿宋"/>
          <w:b/>
          <w:bCs/>
          <w:kern w:val="44"/>
          <w:sz w:val="28"/>
          <w:szCs w:val="28"/>
        </w:rPr>
        <w:t>八、项目评价及验收方法</w:t>
      </w:r>
      <w:bookmarkEnd w:id="90"/>
      <w:bookmarkEnd w:id="91"/>
      <w:bookmarkEnd w:id="92"/>
      <w:bookmarkEnd w:id="93"/>
      <w:bookmarkEnd w:id="94"/>
      <w:bookmarkEnd w:id="95"/>
      <w:bookmarkEnd w:id="96"/>
    </w:p>
    <w:p>
      <w:pPr>
        <w:spacing w:line="460" w:lineRule="exact"/>
        <w:ind w:firstLine="630" w:firstLineChars="225"/>
        <w:rPr>
          <w:rFonts w:ascii="仿宋" w:hAnsi="仿宋" w:eastAsia="仿宋" w:cs="仿宋"/>
          <w:color w:val="C00000"/>
          <w:sz w:val="28"/>
          <w:szCs w:val="28"/>
        </w:rPr>
      </w:pPr>
      <w:r>
        <w:rPr>
          <w:rFonts w:hint="eastAsia" w:ascii="仿宋" w:hAnsi="仿宋" w:eastAsia="仿宋" w:cs="仿宋"/>
          <w:sz w:val="28"/>
          <w:szCs w:val="28"/>
        </w:rPr>
        <w:t>以乙方提供的交付成果文件得到甲方书面认可为交验合格。</w:t>
      </w:r>
      <w:bookmarkStart w:id="97" w:name="_Toc145763277"/>
      <w:r>
        <w:rPr>
          <w:rFonts w:hint="eastAsia" w:ascii="仿宋" w:hAnsi="仿宋" w:eastAsia="仿宋" w:cs="仿宋"/>
          <w:sz w:val="28"/>
          <w:szCs w:val="28"/>
        </w:rPr>
        <w:t>乙方交付的成果文件不限于第三条约定的“各阶段主要显性成果”中的成果文件（电子版）。甲方收到乙方提交的文件应积极作出反馈意见，甲方认为需要修改的，应及时反馈乙方，直至甲方书面认可为止。</w:t>
      </w:r>
    </w:p>
    <w:p>
      <w:pPr>
        <w:keepNext/>
        <w:keepLines/>
        <w:spacing w:line="460" w:lineRule="exact"/>
        <w:ind w:firstLine="548" w:firstLineChars="195"/>
        <w:outlineLvl w:val="0"/>
        <w:rPr>
          <w:rFonts w:ascii="仿宋" w:hAnsi="仿宋" w:eastAsia="仿宋" w:cs="仿宋"/>
          <w:b/>
          <w:bCs/>
          <w:kern w:val="44"/>
          <w:sz w:val="28"/>
          <w:szCs w:val="28"/>
        </w:rPr>
      </w:pPr>
      <w:bookmarkStart w:id="98" w:name="_Toc14756"/>
      <w:bookmarkStart w:id="99" w:name="_Toc30029"/>
      <w:bookmarkStart w:id="100" w:name="_Toc8795"/>
      <w:bookmarkStart w:id="101" w:name="_Toc6601614"/>
      <w:bookmarkStart w:id="102" w:name="_Toc3547"/>
      <w:bookmarkStart w:id="103" w:name="_Toc23715"/>
      <w:r>
        <w:rPr>
          <w:rFonts w:hint="eastAsia" w:ascii="仿宋" w:hAnsi="仿宋" w:eastAsia="仿宋" w:cs="仿宋"/>
          <w:b/>
          <w:bCs/>
          <w:kern w:val="44"/>
          <w:sz w:val="28"/>
          <w:szCs w:val="28"/>
        </w:rPr>
        <w:t>九、协议的变更、补充、延续</w:t>
      </w:r>
      <w:bookmarkEnd w:id="97"/>
      <w:bookmarkEnd w:id="98"/>
      <w:bookmarkEnd w:id="99"/>
      <w:bookmarkEnd w:id="100"/>
      <w:bookmarkEnd w:id="101"/>
      <w:bookmarkEnd w:id="102"/>
      <w:bookmarkEnd w:id="103"/>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（一）本协议自双方签订之日起生效。</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（二）本协议的附件为本协议的有效组成部分，与本协议具有同等法律效力。</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（三）本协议附件包括乙方在项目初期调研诊断报告基础上做出的项目方案设计、成果验收标准等文件以及双方根据项目进展情况协商一致签订的补充条款。</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（四）项目在每个阶段结束之后，为更好的保证项目实施，根据甲方企业实际情况和项目实际需要，双方可以对协议细节条款进行修订，经双方同意后，签订补充协议,补充协议与本协议具有同等法律效力。</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（五）甲方</w:t>
      </w:r>
      <w:bookmarkStart w:id="104" w:name="_Toc128941562"/>
      <w:bookmarkStart w:id="105" w:name="_Toc141715618"/>
      <w:bookmarkStart w:id="106" w:name="_Toc145763278"/>
      <w:r>
        <w:rPr>
          <w:rFonts w:hint="eastAsia" w:ascii="仿宋" w:hAnsi="仿宋" w:eastAsia="仿宋" w:cs="仿宋"/>
          <w:sz w:val="28"/>
          <w:szCs w:val="28"/>
        </w:rPr>
        <w:t>在协议执行过程中，提出新的咨询任务需求，双方另行协商合作方式。</w:t>
      </w:r>
    </w:p>
    <w:p>
      <w:pPr>
        <w:keepNext/>
        <w:keepLines/>
        <w:spacing w:line="460" w:lineRule="exact"/>
        <w:ind w:firstLine="548" w:firstLineChars="195"/>
        <w:outlineLvl w:val="0"/>
        <w:rPr>
          <w:rFonts w:ascii="仿宋" w:hAnsi="仿宋" w:eastAsia="仿宋" w:cs="仿宋"/>
          <w:b/>
          <w:bCs/>
          <w:kern w:val="44"/>
          <w:sz w:val="28"/>
          <w:szCs w:val="28"/>
        </w:rPr>
      </w:pPr>
      <w:bookmarkStart w:id="107" w:name="_Toc6601615"/>
      <w:bookmarkStart w:id="108" w:name="_Toc8167"/>
      <w:bookmarkStart w:id="109" w:name="_Toc21150"/>
      <w:bookmarkStart w:id="110" w:name="_Toc9771"/>
      <w:bookmarkStart w:id="111" w:name="_Toc28195"/>
      <w:bookmarkStart w:id="112" w:name="_Toc24679"/>
      <w:r>
        <w:rPr>
          <w:rFonts w:hint="eastAsia" w:ascii="仿宋" w:hAnsi="仿宋" w:eastAsia="仿宋" w:cs="仿宋"/>
          <w:b/>
          <w:bCs/>
          <w:kern w:val="44"/>
          <w:sz w:val="28"/>
          <w:szCs w:val="28"/>
        </w:rPr>
        <w:t>十、不放弃条款</w:t>
      </w:r>
      <w:bookmarkEnd w:id="104"/>
      <w:bookmarkEnd w:id="105"/>
      <w:bookmarkEnd w:id="106"/>
      <w:bookmarkEnd w:id="107"/>
      <w:bookmarkEnd w:id="108"/>
      <w:bookmarkEnd w:id="109"/>
      <w:bookmarkEnd w:id="110"/>
      <w:bookmarkEnd w:id="111"/>
      <w:bookmarkEnd w:id="112"/>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任何一方对其权利的放弃，只有以书面形式并经其签字盖章后通知对方，方为有效</w:t>
      </w:r>
      <w:bookmarkStart w:id="113" w:name="_Toc145763279"/>
      <w:r>
        <w:rPr>
          <w:rFonts w:hint="eastAsia" w:ascii="仿宋" w:hAnsi="仿宋" w:eastAsia="仿宋" w:cs="仿宋"/>
          <w:sz w:val="28"/>
          <w:szCs w:val="28"/>
        </w:rPr>
        <w:t>。</w:t>
      </w:r>
    </w:p>
    <w:p>
      <w:pPr>
        <w:keepNext/>
        <w:keepLines/>
        <w:spacing w:line="460" w:lineRule="exact"/>
        <w:ind w:firstLine="548" w:firstLineChars="195"/>
        <w:outlineLvl w:val="0"/>
        <w:rPr>
          <w:rFonts w:ascii="仿宋" w:hAnsi="仿宋" w:eastAsia="仿宋" w:cs="仿宋"/>
          <w:b/>
          <w:bCs/>
          <w:kern w:val="44"/>
          <w:sz w:val="28"/>
          <w:szCs w:val="28"/>
        </w:rPr>
      </w:pPr>
      <w:bookmarkStart w:id="114" w:name="_Toc11563"/>
      <w:bookmarkStart w:id="115" w:name="_Toc28131"/>
      <w:bookmarkStart w:id="116" w:name="_Toc17168"/>
      <w:bookmarkStart w:id="117" w:name="_Toc6601616"/>
      <w:bookmarkStart w:id="118" w:name="_Toc11234"/>
      <w:bookmarkStart w:id="119" w:name="_Toc2375"/>
      <w:r>
        <w:rPr>
          <w:rFonts w:hint="eastAsia" w:ascii="仿宋" w:hAnsi="仿宋" w:eastAsia="仿宋" w:cs="仿宋"/>
          <w:b/>
          <w:bCs/>
          <w:kern w:val="44"/>
          <w:sz w:val="28"/>
          <w:szCs w:val="28"/>
        </w:rPr>
        <w:t>十一、知识产权</w:t>
      </w:r>
      <w:bookmarkEnd w:id="113"/>
      <w:bookmarkEnd w:id="114"/>
      <w:bookmarkEnd w:id="115"/>
      <w:bookmarkEnd w:id="116"/>
      <w:bookmarkEnd w:id="117"/>
      <w:bookmarkEnd w:id="118"/>
      <w:bookmarkEnd w:id="119"/>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（一）本项目成果知识产权及相关权益归甲方所有。未经甲方同意，乙方不得</w:t>
      </w:r>
      <w:r>
        <w:rPr>
          <w:rFonts w:hint="eastAsia" w:ascii="仿宋" w:hAnsi="仿宋" w:eastAsia="仿宋" w:cs="仿宋"/>
          <w:sz w:val="28"/>
          <w:szCs w:val="28"/>
          <w:cs/>
        </w:rPr>
        <w:t>将</w:t>
      </w:r>
      <w:r>
        <w:rPr>
          <w:rFonts w:hint="eastAsia" w:ascii="仿宋" w:hAnsi="仿宋" w:eastAsia="仿宋" w:cs="仿宋"/>
          <w:sz w:val="28"/>
          <w:szCs w:val="28"/>
        </w:rPr>
        <w:t>本</w:t>
      </w:r>
      <w:r>
        <w:rPr>
          <w:rFonts w:hint="eastAsia" w:ascii="仿宋" w:hAnsi="仿宋" w:eastAsia="仿宋" w:cs="仿宋"/>
          <w:sz w:val="28"/>
          <w:szCs w:val="28"/>
          <w:cs/>
        </w:rPr>
        <w:t>项</w:t>
      </w:r>
      <w:r>
        <w:rPr>
          <w:rFonts w:hint="eastAsia" w:ascii="仿宋" w:hAnsi="仿宋" w:eastAsia="仿宋" w:cs="仿宋"/>
          <w:sz w:val="28"/>
          <w:szCs w:val="28"/>
        </w:rPr>
        <w:t>目成果的知</w:t>
      </w:r>
      <w:r>
        <w:rPr>
          <w:rFonts w:hint="eastAsia" w:ascii="仿宋" w:hAnsi="仿宋" w:eastAsia="仿宋" w:cs="仿宋"/>
          <w:sz w:val="28"/>
          <w:szCs w:val="28"/>
          <w:cs/>
        </w:rPr>
        <w:t>识产权转让</w:t>
      </w:r>
      <w:r>
        <w:rPr>
          <w:rFonts w:hint="eastAsia" w:ascii="仿宋" w:hAnsi="仿宋" w:eastAsia="仿宋" w:cs="仿宋"/>
          <w:sz w:val="28"/>
          <w:szCs w:val="28"/>
        </w:rPr>
        <w:t>、共享、出售或泄露</w:t>
      </w:r>
      <w:r>
        <w:rPr>
          <w:rFonts w:hint="eastAsia" w:ascii="仿宋" w:hAnsi="仿宋" w:eastAsia="仿宋" w:cs="仿宋"/>
          <w:sz w:val="28"/>
          <w:szCs w:val="28"/>
          <w:cs/>
        </w:rPr>
        <w:t>给</w:t>
      </w:r>
      <w:r>
        <w:rPr>
          <w:rFonts w:hint="eastAsia" w:ascii="仿宋" w:hAnsi="仿宋" w:eastAsia="仿宋" w:cs="仿宋"/>
          <w:sz w:val="28"/>
          <w:szCs w:val="28"/>
        </w:rPr>
        <w:t>第三方。本项目实施开发中产生的文字作品及技术方法等，归甲方享有（本条所指文字作品及技术方法，即乙方专门提供给甲方的书面方案，以及其中的研究方法和乙方所提出的方案的执行方法）。</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乙方必须保证甲方在使用本项目成果时不会受到任何第三方提出的知识产权及其他侵权指控，否则乙方承担因此发生的一切费用及损失。若甲方因此承担责任的，乙方应赔偿由此给甲方造成的全部损失（包括但不限于甲方对外支付的款项、维权产生的诉讼费、律师费）。</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乙方必须保证甲方在使用本协议范围内乙方所提供的所有文件、数据、图纸等不会引起任何第三方对甲方提出知识产权及其他权益方面的异议，否则乙方承担因此给甲方造成的一切费用和损失。若甲方因此承担责任的，乙方应赔偿由此给甲方造成的全部损失（包括但不限于甲方对外支付的款项、维权产生的诉讼费、律师费）。</w:t>
      </w:r>
    </w:p>
    <w:p>
      <w:pPr>
        <w:keepNext/>
        <w:keepLines/>
        <w:spacing w:line="460" w:lineRule="exact"/>
        <w:ind w:firstLine="548" w:firstLineChars="195"/>
        <w:outlineLvl w:val="0"/>
        <w:rPr>
          <w:rFonts w:ascii="仿宋" w:hAnsi="仿宋" w:eastAsia="仿宋" w:cs="仿宋"/>
          <w:b/>
          <w:bCs/>
          <w:kern w:val="44"/>
          <w:sz w:val="28"/>
          <w:szCs w:val="28"/>
        </w:rPr>
      </w:pPr>
      <w:bookmarkStart w:id="120" w:name="_Toc7879"/>
      <w:bookmarkStart w:id="121" w:name="_Toc20644"/>
      <w:bookmarkStart w:id="122" w:name="_Toc145763280"/>
      <w:bookmarkStart w:id="123" w:name="_Toc141715610"/>
      <w:bookmarkStart w:id="124" w:name="_Toc14061"/>
      <w:bookmarkStart w:id="125" w:name="_Toc18183"/>
      <w:bookmarkStart w:id="126" w:name="_Toc128941553"/>
      <w:bookmarkStart w:id="127" w:name="_Toc13084"/>
      <w:bookmarkStart w:id="128" w:name="_Toc6601617"/>
      <w:r>
        <w:rPr>
          <w:rFonts w:hint="eastAsia" w:ascii="仿宋" w:hAnsi="仿宋" w:eastAsia="仿宋" w:cs="仿宋"/>
          <w:b/>
          <w:bCs/>
          <w:kern w:val="44"/>
          <w:sz w:val="28"/>
          <w:szCs w:val="28"/>
        </w:rPr>
        <w:t>十二、保密条款</w:t>
      </w:r>
      <w:bookmarkEnd w:id="120"/>
      <w:bookmarkEnd w:id="121"/>
      <w:bookmarkEnd w:id="122"/>
      <w:bookmarkEnd w:id="123"/>
      <w:bookmarkEnd w:id="124"/>
      <w:bookmarkEnd w:id="125"/>
      <w:bookmarkEnd w:id="126"/>
      <w:bookmarkEnd w:id="127"/>
      <w:bookmarkEnd w:id="128"/>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本项目中所涉及双方的商业秘密，未经对方书面许可，双方均不得以任何形式用于商业目的，并且任何一方均不得以任何形式向第三方泄露，否则守约方有权追究泄露方的相关经济和法律责任。泄露方应当赔偿因此给另一方造成的全部损失，包括直接损失和间接损失。</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（二）本协议若中途因故解除，则已经交付或尚未交付的本项目相关的所有文档、资料等，均属商业秘密，双方必须恪守上一条的约定。</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（三）本协议提前解除或终止后，双方上述保密条款的义务不免除，对双方继续产生法律效力。</w:t>
      </w:r>
    </w:p>
    <w:p>
      <w:pPr>
        <w:keepNext/>
        <w:keepLines/>
        <w:spacing w:line="460" w:lineRule="exact"/>
        <w:ind w:firstLine="548" w:firstLineChars="195"/>
        <w:outlineLvl w:val="0"/>
        <w:rPr>
          <w:rFonts w:ascii="仿宋" w:hAnsi="仿宋" w:eastAsia="仿宋" w:cs="仿宋"/>
          <w:b/>
          <w:bCs/>
          <w:kern w:val="44"/>
          <w:sz w:val="28"/>
          <w:szCs w:val="28"/>
        </w:rPr>
      </w:pPr>
      <w:bookmarkStart w:id="129" w:name="_Toc6601618"/>
      <w:bookmarkStart w:id="130" w:name="_Toc145763281"/>
      <w:bookmarkStart w:id="131" w:name="_Toc128941558"/>
      <w:bookmarkStart w:id="132" w:name="_Toc4873"/>
      <w:bookmarkStart w:id="133" w:name="_Toc18332"/>
      <w:bookmarkStart w:id="134" w:name="_Toc3269"/>
      <w:bookmarkStart w:id="135" w:name="_Toc141715615"/>
      <w:bookmarkStart w:id="136" w:name="_Toc9721"/>
      <w:bookmarkStart w:id="137" w:name="_Toc8730"/>
      <w:r>
        <w:rPr>
          <w:rFonts w:hint="eastAsia" w:ascii="仿宋" w:hAnsi="仿宋" w:eastAsia="仿宋" w:cs="仿宋"/>
          <w:b/>
          <w:bCs/>
          <w:kern w:val="44"/>
          <w:sz w:val="28"/>
          <w:szCs w:val="28"/>
        </w:rPr>
        <w:t>十三、协议的终止与解除</w:t>
      </w:r>
      <w:bookmarkEnd w:id="129"/>
      <w:bookmarkEnd w:id="130"/>
      <w:bookmarkEnd w:id="131"/>
      <w:bookmarkEnd w:id="132"/>
      <w:bookmarkEnd w:id="133"/>
      <w:bookmarkEnd w:id="134"/>
      <w:bookmarkEnd w:id="135"/>
      <w:bookmarkEnd w:id="136"/>
      <w:bookmarkEnd w:id="137"/>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（一）在下列情</w:t>
      </w:r>
      <w:r>
        <w:rPr>
          <w:rFonts w:hint="eastAsia" w:ascii="仿宋" w:hAnsi="仿宋" w:eastAsia="仿宋" w:cs="仿宋"/>
          <w:sz w:val="28"/>
          <w:szCs w:val="28"/>
          <w:cs/>
        </w:rPr>
        <w:t>况</w:t>
      </w:r>
      <w:r>
        <w:rPr>
          <w:rFonts w:hint="eastAsia" w:ascii="仿宋" w:hAnsi="仿宋" w:eastAsia="仿宋" w:cs="仿宋"/>
          <w:sz w:val="28"/>
          <w:szCs w:val="28"/>
        </w:rPr>
        <w:t>下，本协议</w:t>
      </w:r>
      <w:r>
        <w:rPr>
          <w:rFonts w:hint="eastAsia" w:ascii="仿宋" w:hAnsi="仿宋" w:eastAsia="仿宋" w:cs="仿宋"/>
          <w:sz w:val="28"/>
          <w:szCs w:val="28"/>
          <w:cs/>
        </w:rPr>
        <w:t>终</w:t>
      </w:r>
      <w:r>
        <w:rPr>
          <w:rFonts w:hint="eastAsia" w:ascii="仿宋" w:hAnsi="仿宋" w:eastAsia="仿宋" w:cs="仿宋"/>
          <w:sz w:val="28"/>
          <w:szCs w:val="28"/>
        </w:rPr>
        <w:t>止：</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 乙方的服务和甲方的付款均已完成。</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 双方均同意终止本协议并签署书面协议。</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（二）当一方被证明出现下列事由时，对方在提前5个工作日送达书面通知后，可单方面解除本协议，并且守约方不承担法律责任：</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 严重违约、延迟或确实无能力按本协议的规定履行义务超过30日的，并且双方没有就此达成补充协议；</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 发生资不抵债、自愿申请破产、被申请破产、被指定财产管理人或托管人、或被执行以债权人为受益人的财产转让等严重经营风险；</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 如果协议是部分解除，双方应继续履行未解除的部分。</w:t>
      </w:r>
    </w:p>
    <w:p>
      <w:pPr>
        <w:spacing w:line="460" w:lineRule="exact"/>
        <w:ind w:firstLine="562" w:firstLineChars="200"/>
        <w:outlineLvl w:val="0"/>
        <w:rPr>
          <w:rFonts w:ascii="仿宋" w:hAnsi="仿宋" w:eastAsia="仿宋" w:cs="仿宋"/>
          <w:b/>
          <w:bCs/>
          <w:sz w:val="28"/>
          <w:szCs w:val="28"/>
        </w:rPr>
      </w:pPr>
      <w:bookmarkStart w:id="138" w:name="_Toc11906"/>
      <w:bookmarkStart w:id="139" w:name="_Toc6206"/>
      <w:bookmarkStart w:id="140" w:name="_Toc17451"/>
      <w:r>
        <w:rPr>
          <w:rFonts w:hint="eastAsia" w:ascii="仿宋" w:hAnsi="仿宋" w:eastAsia="仿宋" w:cs="仿宋"/>
          <w:b/>
          <w:bCs/>
          <w:sz w:val="28"/>
          <w:szCs w:val="28"/>
        </w:rPr>
        <w:t>十四、违约责任</w:t>
      </w:r>
      <w:bookmarkEnd w:id="138"/>
      <w:bookmarkEnd w:id="139"/>
      <w:bookmarkEnd w:id="140"/>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（一）甲方未按合同规定支付服务费，乙方有权取消或者中止提供后续的服务；超过</w:t>
      </w:r>
      <w:r>
        <w:rPr>
          <w:rFonts w:ascii="仿宋" w:hAnsi="仿宋" w:eastAsia="仿宋" w:cs="仿宋"/>
          <w:sz w:val="28"/>
          <w:szCs w:val="28"/>
        </w:rPr>
        <w:t>60</w:t>
      </w:r>
      <w:r>
        <w:rPr>
          <w:rFonts w:hint="eastAsia" w:ascii="仿宋" w:hAnsi="仿宋" w:eastAsia="仿宋" w:cs="仿宋"/>
          <w:sz w:val="28"/>
          <w:szCs w:val="28"/>
        </w:rPr>
        <w:t>日内仍不支付的，乙方有权单方解除合同，继续追偿已完成部分尚未支付的款项，同时已收取的不退还。</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乙方不能按照约定的进度完成工作的，或在甲方对其服务方式或提交的某项服务成果提出异议后，在30日内没有完成整改或采取弥补措施的，甲方有权立即停止支付该项服务成果的相应款项，甲方有权单方面解除合同，解除合同通知书到达乙方时解除，合同未支付的款项甲方不再支付，给甲方造成损失的，乙方承担赔偿责任。</w:t>
      </w:r>
    </w:p>
    <w:p>
      <w:pPr>
        <w:keepNext/>
        <w:keepLines/>
        <w:spacing w:line="460" w:lineRule="exact"/>
        <w:ind w:firstLine="562" w:firstLineChars="200"/>
        <w:outlineLvl w:val="0"/>
        <w:rPr>
          <w:rFonts w:ascii="仿宋" w:hAnsi="仿宋" w:eastAsia="仿宋" w:cs="仿宋"/>
          <w:b/>
          <w:bCs/>
          <w:kern w:val="44"/>
          <w:sz w:val="28"/>
          <w:szCs w:val="28"/>
        </w:rPr>
      </w:pPr>
      <w:bookmarkStart w:id="141" w:name="_Toc19731"/>
      <w:bookmarkStart w:id="142" w:name="_Toc128941559"/>
      <w:bookmarkStart w:id="143" w:name="_Toc145763282"/>
      <w:bookmarkStart w:id="144" w:name="_Toc6601619"/>
      <w:bookmarkStart w:id="145" w:name="_Toc30843"/>
      <w:bookmarkStart w:id="146" w:name="_Toc10657"/>
      <w:bookmarkStart w:id="147" w:name="_Toc23332"/>
      <w:bookmarkStart w:id="148" w:name="_Toc10327"/>
      <w:bookmarkStart w:id="149" w:name="_Toc141715616"/>
      <w:r>
        <w:rPr>
          <w:rFonts w:hint="eastAsia" w:ascii="仿宋" w:hAnsi="仿宋" w:eastAsia="仿宋" w:cs="仿宋"/>
          <w:b/>
          <w:bCs/>
          <w:kern w:val="44"/>
          <w:sz w:val="28"/>
          <w:szCs w:val="28"/>
        </w:rPr>
        <w:t>十五、争议的解决</w:t>
      </w:r>
      <w:bookmarkEnd w:id="141"/>
      <w:bookmarkEnd w:id="142"/>
      <w:bookmarkEnd w:id="143"/>
      <w:bookmarkEnd w:id="144"/>
      <w:bookmarkEnd w:id="145"/>
      <w:bookmarkEnd w:id="146"/>
      <w:bookmarkEnd w:id="147"/>
      <w:bookmarkEnd w:id="148"/>
      <w:bookmarkEnd w:id="149"/>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（一）本协议履行地为甲方所在地，凡因本协议引起的或与本协议有关的任何争议，双方同意以诚信的态度，通过协商解决。若协商解决不成，可以向甲方所在地法院提起诉讼；</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（二）在纠纷解决的过程中，除受争议影响的部分外，本协议的其他部分应继续执行。</w:t>
      </w:r>
    </w:p>
    <w:p>
      <w:pPr>
        <w:keepNext/>
        <w:keepLines/>
        <w:spacing w:line="460" w:lineRule="exact"/>
        <w:ind w:firstLine="548" w:firstLineChars="195"/>
        <w:outlineLvl w:val="0"/>
        <w:rPr>
          <w:rFonts w:ascii="仿宋" w:hAnsi="仿宋" w:eastAsia="仿宋" w:cs="仿宋"/>
          <w:b/>
          <w:bCs/>
          <w:kern w:val="44"/>
          <w:sz w:val="28"/>
          <w:szCs w:val="28"/>
        </w:rPr>
      </w:pPr>
      <w:bookmarkStart w:id="150" w:name="_Toc12572"/>
      <w:bookmarkStart w:id="151" w:name="_Toc12083"/>
      <w:bookmarkStart w:id="152" w:name="_Toc6601620"/>
      <w:bookmarkStart w:id="153" w:name="_Toc11578"/>
      <w:bookmarkStart w:id="154" w:name="_Toc128941560"/>
      <w:bookmarkStart w:id="155" w:name="_Toc141715617"/>
      <w:bookmarkStart w:id="156" w:name="_Toc145763283"/>
      <w:bookmarkStart w:id="157" w:name="_Toc32061"/>
      <w:bookmarkStart w:id="158" w:name="_Toc8408"/>
      <w:r>
        <w:rPr>
          <w:rFonts w:hint="eastAsia" w:ascii="仿宋" w:hAnsi="仿宋" w:eastAsia="仿宋" w:cs="仿宋"/>
          <w:b/>
          <w:bCs/>
          <w:kern w:val="44"/>
          <w:sz w:val="28"/>
          <w:szCs w:val="28"/>
        </w:rPr>
        <w:t>十六、协议的完整性和有效性</w:t>
      </w:r>
      <w:bookmarkEnd w:id="150"/>
      <w:bookmarkEnd w:id="151"/>
      <w:bookmarkEnd w:id="152"/>
      <w:bookmarkEnd w:id="153"/>
      <w:bookmarkEnd w:id="154"/>
      <w:bookmarkEnd w:id="155"/>
      <w:bookmarkEnd w:id="156"/>
      <w:bookmarkEnd w:id="157"/>
      <w:bookmarkEnd w:id="158"/>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val="en-US" w:eastAsia="zh-CN"/>
        </w:rPr>
        <w:t>比选项目要求、</w:t>
      </w:r>
      <w:r>
        <w:rPr>
          <w:rFonts w:hint="eastAsia" w:ascii="仿宋" w:hAnsi="仿宋" w:eastAsia="仿宋" w:cs="仿宋"/>
          <w:sz w:val="28"/>
          <w:szCs w:val="28"/>
        </w:rPr>
        <w:t>协议正文、协议附件及补充协议是本协议不可分割的组成部分，与本协议具有同等法律效力。当属于本协议组成部分的两份或多份文本之间存在不一致时，按以下顺序排列的文件具有相对应的优先权：</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 双方最新签署的有效的补充协议；</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 本协议的正文；</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 本协议附件。</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（二）对本协议的任何补充，应经双方盖章方为有效；</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（三）本协议关于知识产权和商业秘密的条款的有效性，不受本协议的终止、解除、转让、变更的影响；</w:t>
      </w:r>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（四）如本协议中的任何条款被依法视为无效，在不影响本协议的整体履行或部分履行时，则双方应继续履行相应的权利和义务。</w:t>
      </w:r>
    </w:p>
    <w:p>
      <w:pPr>
        <w:keepNext/>
        <w:keepLines/>
        <w:spacing w:line="460" w:lineRule="exact"/>
        <w:ind w:firstLine="548" w:firstLineChars="195"/>
        <w:outlineLvl w:val="0"/>
        <w:rPr>
          <w:rFonts w:ascii="仿宋" w:hAnsi="仿宋" w:eastAsia="仿宋" w:cs="仿宋"/>
          <w:b/>
          <w:bCs/>
          <w:kern w:val="44"/>
          <w:sz w:val="28"/>
          <w:szCs w:val="28"/>
        </w:rPr>
      </w:pPr>
      <w:bookmarkStart w:id="159" w:name="_Toc3467"/>
      <w:bookmarkStart w:id="160" w:name="_Toc29149"/>
      <w:bookmarkStart w:id="161" w:name="_Toc6601621"/>
      <w:bookmarkStart w:id="162" w:name="_Toc16779"/>
      <w:bookmarkStart w:id="163" w:name="_Toc3450"/>
      <w:bookmarkStart w:id="164" w:name="_Toc20267"/>
      <w:r>
        <w:rPr>
          <w:rFonts w:hint="eastAsia" w:ascii="仿宋" w:hAnsi="仿宋" w:eastAsia="仿宋" w:cs="仿宋"/>
          <w:b/>
          <w:bCs/>
          <w:kern w:val="44"/>
          <w:sz w:val="28"/>
          <w:szCs w:val="28"/>
        </w:rPr>
        <w:t>十七、其它</w:t>
      </w:r>
      <w:bookmarkEnd w:id="159"/>
      <w:bookmarkEnd w:id="160"/>
      <w:bookmarkEnd w:id="161"/>
      <w:bookmarkEnd w:id="162"/>
      <w:bookmarkEnd w:id="163"/>
      <w:bookmarkEnd w:id="164"/>
    </w:p>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本协议和附件一式伍份，甲方执叁份、乙方执贰份，具有同等法律效力；未尽事宜，双方友好协商。</w:t>
      </w: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rPr>
          <w:rFonts w:ascii="仿宋" w:hAnsi="仿宋" w:eastAsia="仿宋" w:cs="仿宋"/>
          <w:sz w:val="28"/>
          <w:szCs w:val="28"/>
        </w:rPr>
      </w:pPr>
    </w:p>
    <w:p>
      <w:pPr>
        <w:spacing w:line="460" w:lineRule="exact"/>
        <w:ind w:left="8236" w:hanging="8120" w:hangingChars="2900"/>
        <w:rPr>
          <w:rFonts w:ascii="仿宋" w:hAnsi="仿宋" w:eastAsia="仿宋" w:cs="仿宋"/>
          <w:sz w:val="28"/>
          <w:szCs w:val="28"/>
        </w:rPr>
      </w:pPr>
      <w:r>
        <w:rPr>
          <w:rFonts w:hint="eastAsia" w:ascii="仿宋" w:hAnsi="仿宋" w:eastAsia="仿宋" w:cs="仿宋"/>
          <w:sz w:val="28"/>
          <w:szCs w:val="28"/>
        </w:rPr>
        <w:t xml:space="preserve">甲方：                           </w:t>
      </w:r>
      <w:r>
        <w:rPr>
          <w:rFonts w:ascii="仿宋" w:hAnsi="仿宋" w:eastAsia="仿宋" w:cs="仿宋"/>
          <w:sz w:val="28"/>
          <w:szCs w:val="28"/>
        </w:rPr>
        <w:t xml:space="preserve"> </w:t>
      </w:r>
      <w:r>
        <w:rPr>
          <w:rFonts w:hint="eastAsia" w:ascii="仿宋" w:hAnsi="仿宋" w:eastAsia="仿宋" w:cs="仿宋"/>
          <w:sz w:val="28"/>
          <w:szCs w:val="28"/>
        </w:rPr>
        <w:t>乙方：</w:t>
      </w:r>
    </w:p>
    <w:p>
      <w:pPr>
        <w:spacing w:line="460" w:lineRule="exact"/>
        <w:rPr>
          <w:rFonts w:ascii="仿宋" w:hAnsi="仿宋" w:eastAsia="仿宋" w:cs="仿宋"/>
          <w:sz w:val="28"/>
          <w:szCs w:val="28"/>
        </w:rPr>
      </w:pPr>
      <w:r>
        <w:rPr>
          <w:rFonts w:hint="eastAsia" w:ascii="仿宋" w:hAnsi="仿宋" w:eastAsia="仿宋" w:cs="仿宋"/>
          <w:sz w:val="28"/>
          <w:szCs w:val="28"/>
        </w:rPr>
        <w:t xml:space="preserve">（公章）                         （公章）                   </w:t>
      </w:r>
    </w:p>
    <w:p>
      <w:pPr>
        <w:spacing w:before="160" w:beforeLines="50" w:after="160" w:afterLines="50" w:line="460" w:lineRule="exact"/>
        <w:rPr>
          <w:rFonts w:ascii="仿宋" w:hAnsi="仿宋" w:eastAsia="仿宋" w:cs="仿宋"/>
          <w:sz w:val="28"/>
          <w:szCs w:val="28"/>
        </w:rPr>
      </w:pPr>
      <w:r>
        <w:rPr>
          <w:rFonts w:hint="eastAsia" w:ascii="仿宋" w:hAnsi="仿宋" w:eastAsia="仿宋" w:cs="仿宋"/>
          <w:sz w:val="28"/>
          <w:szCs w:val="28"/>
        </w:rPr>
        <w:t>委托代表人：                        委托代表人：</w:t>
      </w:r>
    </w:p>
    <w:p>
      <w:pPr>
        <w:spacing w:before="160" w:beforeLines="50" w:after="160" w:afterLines="50" w:line="460" w:lineRule="exact"/>
        <w:rPr>
          <w:rFonts w:ascii="仿宋" w:hAnsi="仿宋" w:eastAsia="仿宋" w:cs="仿宋"/>
          <w:sz w:val="28"/>
          <w:szCs w:val="28"/>
        </w:rPr>
      </w:pPr>
      <w:r>
        <w:rPr>
          <w:rFonts w:hint="eastAsia" w:ascii="仿宋" w:hAnsi="仿宋" w:eastAsia="仿宋" w:cs="仿宋"/>
          <w:sz w:val="28"/>
          <w:szCs w:val="28"/>
        </w:rPr>
        <w:t>联系电话：                          联系电话：</w:t>
      </w:r>
    </w:p>
    <w:p>
      <w:pPr>
        <w:keepNext w:val="0"/>
        <w:keepLines w:val="0"/>
        <w:pageBreakBefore w:val="0"/>
        <w:widowControl w:val="0"/>
        <w:kinsoku/>
        <w:wordWrap/>
        <w:overflowPunct/>
        <w:topLinePunct w:val="0"/>
        <w:autoSpaceDE/>
        <w:autoSpaceDN/>
        <w:bidi w:val="0"/>
        <w:adjustRightInd/>
        <w:snapToGrid/>
        <w:spacing w:before="160" w:beforeLines="50" w:after="160" w:afterLines="50" w:line="20" w:lineRule="atLeast"/>
        <w:textAlignment w:val="auto"/>
      </w:pPr>
      <w:r>
        <w:rPr>
          <w:rFonts w:hint="eastAsia" w:ascii="仿宋" w:hAnsi="仿宋" w:eastAsia="仿宋" w:cs="仿宋"/>
          <w:sz w:val="28"/>
          <w:szCs w:val="28"/>
        </w:rPr>
        <w:t>签订日期：                          签订</w:t>
      </w:r>
      <w:r>
        <w:rPr>
          <w:rFonts w:hint="eastAsia" w:ascii="仿宋" w:hAnsi="仿宋" w:eastAsia="仿宋" w:cs="仿宋"/>
          <w:sz w:val="28"/>
          <w:szCs w:val="28"/>
          <w:lang w:val="en-US" w:eastAsia="zh-CN"/>
        </w:rPr>
        <w:t>日期：</w:t>
      </w:r>
    </w:p>
    <w:sectPr>
      <w:headerReference r:id="rId3" w:type="default"/>
      <w:footerReference r:id="rId4" w:type="default"/>
      <w:pgSz w:w="11906" w:h="16838"/>
      <w:pgMar w:top="1588" w:right="1247"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方正大标宋简体">
    <w:altName w:val="Arial Unicode MS"/>
    <w:panose1 w:val="020B0604020202020204"/>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42BA1"/>
    <w:multiLevelType w:val="singleLevel"/>
    <w:tmpl w:val="1D242BA1"/>
    <w:lvl w:ilvl="0" w:tentative="0">
      <w:start w:val="1"/>
      <w:numFmt w:val="decimal"/>
      <w:lvlText w:val="%1、"/>
      <w:legacy w:legacy="1" w:legacySpace="0" w:legacyIndent="405"/>
      <w:lvlJc w:val="left"/>
      <w:pPr>
        <w:ind w:left="887" w:hanging="405"/>
      </w:pPr>
      <w:rPr>
        <w:rFonts w:hint="default" w:ascii="Times New Roman" w:hAnsi="Times New Roman"/>
        <w:b w:val="0"/>
        <w:i w:val="0"/>
        <w:sz w:val="24"/>
        <w:u w:val="none"/>
      </w:rPr>
    </w:lvl>
  </w:abstractNum>
  <w:abstractNum w:abstractNumId="1">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38"/>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68F1A07"/>
    <w:multiLevelType w:val="singleLevel"/>
    <w:tmpl w:val="568F1A07"/>
    <w:lvl w:ilvl="0" w:tentative="0">
      <w:start w:val="1"/>
      <w:numFmt w:val="chineseCounting"/>
      <w:suff w:val="nothing"/>
      <w:lvlText w:val="%1、"/>
      <w:lvlJc w:val="left"/>
    </w:lvl>
  </w:abstractNum>
  <w:abstractNum w:abstractNumId="4">
    <w:nsid w:val="5EE87B48"/>
    <w:multiLevelType w:val="singleLevel"/>
    <w:tmpl w:val="5EE87B48"/>
    <w:lvl w:ilvl="0" w:tentative="0">
      <w:start w:val="1"/>
      <w:numFmt w:val="decimal"/>
      <w:suff w:val="nothing"/>
      <w:lvlText w:val="%1．"/>
      <w:lvlJc w:val="left"/>
      <w:pPr>
        <w:ind w:left="-60" w:firstLine="400"/>
      </w:pPr>
      <w:rPr>
        <w:rFonts w:hint="default" w:ascii="宋体" w:hAnsi="宋体" w:eastAsia="宋体" w:cs="宋体"/>
        <w:sz w:val="24"/>
        <w:szCs w:val="24"/>
      </w:rPr>
    </w:lvl>
  </w:abstractNum>
  <w:abstractNum w:abstractNumId="5">
    <w:nsid w:val="5EE97CBC"/>
    <w:multiLevelType w:val="singleLevel"/>
    <w:tmpl w:val="5EE97CBC"/>
    <w:lvl w:ilvl="0" w:tentative="0">
      <w:start w:val="7"/>
      <w:numFmt w:val="decimal"/>
      <w:suff w:val="nothing"/>
      <w:lvlText w:val="%1、"/>
      <w:lvlJc w:val="left"/>
    </w:lvl>
  </w:abstractNum>
  <w:abstractNum w:abstractNumId="6">
    <w:nsid w:val="5EE97F4C"/>
    <w:multiLevelType w:val="singleLevel"/>
    <w:tmpl w:val="5EE97F4C"/>
    <w:lvl w:ilvl="0" w:tentative="0">
      <w:start w:val="2"/>
      <w:numFmt w:val="chineseCounting"/>
      <w:suff w:val="nothing"/>
      <w:lvlText w:val="%1、"/>
      <w:lvlJc w:val="left"/>
    </w:lvl>
  </w:abstractNum>
  <w:abstractNum w:abstractNumId="7">
    <w:nsid w:val="5F3A250B"/>
    <w:multiLevelType w:val="singleLevel"/>
    <w:tmpl w:val="5F3A250B"/>
    <w:lvl w:ilvl="0" w:tentative="0">
      <w:start w:val="1"/>
      <w:numFmt w:val="decimal"/>
      <w:suff w:val="nothing"/>
      <w:lvlText w:val="%1."/>
      <w:lvlJc w:val="left"/>
      <w:rPr>
        <w:rFonts w:hint="default" w:ascii="宋体" w:hAnsi="宋体" w:eastAsia="宋体" w:cs="宋体"/>
      </w:rPr>
    </w:lvl>
  </w:abstractNum>
  <w:abstractNum w:abstractNumId="8">
    <w:nsid w:val="5F3A2647"/>
    <w:multiLevelType w:val="singleLevel"/>
    <w:tmpl w:val="5F3A2647"/>
    <w:lvl w:ilvl="0" w:tentative="0">
      <w:start w:val="1"/>
      <w:numFmt w:val="decimal"/>
      <w:suff w:val="nothing"/>
      <w:lvlText w:val="%1."/>
      <w:lvlJc w:val="left"/>
      <w:rPr>
        <w:rFonts w:hint="default" w:ascii="宋体" w:hAnsi="宋体" w:eastAsia="宋体" w:cs="宋体"/>
      </w:rPr>
    </w:lvl>
  </w:abstractNum>
  <w:num w:numId="1">
    <w:abstractNumId w:val="1"/>
  </w:num>
  <w:num w:numId="2">
    <w:abstractNumId w:val="2"/>
  </w:num>
  <w:num w:numId="3">
    <w:abstractNumId w:val="3"/>
  </w:num>
  <w:num w:numId="4">
    <w:abstractNumId w:val="4"/>
  </w:num>
  <w:num w:numId="5">
    <w:abstractNumId w:val="8"/>
  </w:num>
  <w:num w:numId="6">
    <w:abstractNumId w:val="7"/>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172A27"/>
    <w:rsid w:val="000037B6"/>
    <w:rsid w:val="00011033"/>
    <w:rsid w:val="00020F6A"/>
    <w:rsid w:val="00021B83"/>
    <w:rsid w:val="00023C5A"/>
    <w:rsid w:val="00023D4F"/>
    <w:rsid w:val="00023DB0"/>
    <w:rsid w:val="00026DE7"/>
    <w:rsid w:val="000278C4"/>
    <w:rsid w:val="00033364"/>
    <w:rsid w:val="00037A98"/>
    <w:rsid w:val="00052559"/>
    <w:rsid w:val="00056A45"/>
    <w:rsid w:val="00056CBF"/>
    <w:rsid w:val="00057EE4"/>
    <w:rsid w:val="00060307"/>
    <w:rsid w:val="000627FB"/>
    <w:rsid w:val="00062DF3"/>
    <w:rsid w:val="000638B3"/>
    <w:rsid w:val="000639E0"/>
    <w:rsid w:val="00067D5F"/>
    <w:rsid w:val="00070C1A"/>
    <w:rsid w:val="0007154A"/>
    <w:rsid w:val="00077746"/>
    <w:rsid w:val="00082135"/>
    <w:rsid w:val="000831DB"/>
    <w:rsid w:val="00083C22"/>
    <w:rsid w:val="00092C5A"/>
    <w:rsid w:val="000937B3"/>
    <w:rsid w:val="0009408A"/>
    <w:rsid w:val="000A044A"/>
    <w:rsid w:val="000A67CB"/>
    <w:rsid w:val="000A744D"/>
    <w:rsid w:val="000B3F39"/>
    <w:rsid w:val="000B63E3"/>
    <w:rsid w:val="000C64B5"/>
    <w:rsid w:val="000C6DD8"/>
    <w:rsid w:val="000C7AEE"/>
    <w:rsid w:val="000D1EE6"/>
    <w:rsid w:val="000D2DCA"/>
    <w:rsid w:val="000D3C27"/>
    <w:rsid w:val="000E0A18"/>
    <w:rsid w:val="000E1364"/>
    <w:rsid w:val="000E2DEF"/>
    <w:rsid w:val="000E31EA"/>
    <w:rsid w:val="000F5300"/>
    <w:rsid w:val="000F5DBD"/>
    <w:rsid w:val="0010068B"/>
    <w:rsid w:val="001016B2"/>
    <w:rsid w:val="001169B9"/>
    <w:rsid w:val="00120EF7"/>
    <w:rsid w:val="0012151C"/>
    <w:rsid w:val="00121F66"/>
    <w:rsid w:val="001224CC"/>
    <w:rsid w:val="00125287"/>
    <w:rsid w:val="001319FD"/>
    <w:rsid w:val="0013437A"/>
    <w:rsid w:val="001346DC"/>
    <w:rsid w:val="00142118"/>
    <w:rsid w:val="001447D9"/>
    <w:rsid w:val="00144E8B"/>
    <w:rsid w:val="00146BCF"/>
    <w:rsid w:val="00151976"/>
    <w:rsid w:val="00153974"/>
    <w:rsid w:val="0015444C"/>
    <w:rsid w:val="00157017"/>
    <w:rsid w:val="001608C4"/>
    <w:rsid w:val="00163FC1"/>
    <w:rsid w:val="00167402"/>
    <w:rsid w:val="00172A27"/>
    <w:rsid w:val="00184320"/>
    <w:rsid w:val="0018737A"/>
    <w:rsid w:val="00187F0B"/>
    <w:rsid w:val="00190716"/>
    <w:rsid w:val="0019152D"/>
    <w:rsid w:val="0019242C"/>
    <w:rsid w:val="001940A9"/>
    <w:rsid w:val="001A0EB5"/>
    <w:rsid w:val="001A2771"/>
    <w:rsid w:val="001A3B69"/>
    <w:rsid w:val="001A550F"/>
    <w:rsid w:val="001B2046"/>
    <w:rsid w:val="001B77E5"/>
    <w:rsid w:val="001B7BD8"/>
    <w:rsid w:val="001C44E9"/>
    <w:rsid w:val="001C511B"/>
    <w:rsid w:val="001C65BA"/>
    <w:rsid w:val="001C686F"/>
    <w:rsid w:val="001D4520"/>
    <w:rsid w:val="001E6673"/>
    <w:rsid w:val="001F0536"/>
    <w:rsid w:val="001F37AF"/>
    <w:rsid w:val="001F5522"/>
    <w:rsid w:val="002008CB"/>
    <w:rsid w:val="00201577"/>
    <w:rsid w:val="002038EA"/>
    <w:rsid w:val="00204895"/>
    <w:rsid w:val="00206FA0"/>
    <w:rsid w:val="002071DA"/>
    <w:rsid w:val="00214312"/>
    <w:rsid w:val="00216289"/>
    <w:rsid w:val="00224710"/>
    <w:rsid w:val="002261E4"/>
    <w:rsid w:val="00234AD3"/>
    <w:rsid w:val="00243200"/>
    <w:rsid w:val="00250EC0"/>
    <w:rsid w:val="00251841"/>
    <w:rsid w:val="002527A0"/>
    <w:rsid w:val="00253F44"/>
    <w:rsid w:val="0025522B"/>
    <w:rsid w:val="0026005A"/>
    <w:rsid w:val="002615C7"/>
    <w:rsid w:val="00265894"/>
    <w:rsid w:val="002658DB"/>
    <w:rsid w:val="002663C6"/>
    <w:rsid w:val="00270776"/>
    <w:rsid w:val="00270D7D"/>
    <w:rsid w:val="002766E5"/>
    <w:rsid w:val="0028005E"/>
    <w:rsid w:val="002819EC"/>
    <w:rsid w:val="00285413"/>
    <w:rsid w:val="002858EC"/>
    <w:rsid w:val="0029360A"/>
    <w:rsid w:val="002961D9"/>
    <w:rsid w:val="002A17B3"/>
    <w:rsid w:val="002B036F"/>
    <w:rsid w:val="002B26A6"/>
    <w:rsid w:val="002B2822"/>
    <w:rsid w:val="002B41A8"/>
    <w:rsid w:val="002B4449"/>
    <w:rsid w:val="002C4DCF"/>
    <w:rsid w:val="002D222D"/>
    <w:rsid w:val="002D2590"/>
    <w:rsid w:val="002D2743"/>
    <w:rsid w:val="002D31EC"/>
    <w:rsid w:val="002D4000"/>
    <w:rsid w:val="002E005D"/>
    <w:rsid w:val="002E257B"/>
    <w:rsid w:val="002E29E2"/>
    <w:rsid w:val="002E7778"/>
    <w:rsid w:val="003007FF"/>
    <w:rsid w:val="00302606"/>
    <w:rsid w:val="00303E13"/>
    <w:rsid w:val="00307C66"/>
    <w:rsid w:val="003123A9"/>
    <w:rsid w:val="00313621"/>
    <w:rsid w:val="003169EB"/>
    <w:rsid w:val="00317048"/>
    <w:rsid w:val="00321BAE"/>
    <w:rsid w:val="00322411"/>
    <w:rsid w:val="003269B0"/>
    <w:rsid w:val="00327D49"/>
    <w:rsid w:val="0033088A"/>
    <w:rsid w:val="0033166F"/>
    <w:rsid w:val="003377A3"/>
    <w:rsid w:val="0034629D"/>
    <w:rsid w:val="003507F0"/>
    <w:rsid w:val="00352D63"/>
    <w:rsid w:val="00357CB1"/>
    <w:rsid w:val="003626B5"/>
    <w:rsid w:val="00371232"/>
    <w:rsid w:val="00371697"/>
    <w:rsid w:val="00376E30"/>
    <w:rsid w:val="00380CCC"/>
    <w:rsid w:val="003819C4"/>
    <w:rsid w:val="0038724E"/>
    <w:rsid w:val="00391F87"/>
    <w:rsid w:val="003943E6"/>
    <w:rsid w:val="003A1FE9"/>
    <w:rsid w:val="003A3763"/>
    <w:rsid w:val="003A46D1"/>
    <w:rsid w:val="003A5AF8"/>
    <w:rsid w:val="003A6474"/>
    <w:rsid w:val="003A70CA"/>
    <w:rsid w:val="003B40EA"/>
    <w:rsid w:val="003B441D"/>
    <w:rsid w:val="003B764B"/>
    <w:rsid w:val="003B7F0B"/>
    <w:rsid w:val="003C482A"/>
    <w:rsid w:val="003C5F04"/>
    <w:rsid w:val="003D7D30"/>
    <w:rsid w:val="003E04CD"/>
    <w:rsid w:val="003F0D17"/>
    <w:rsid w:val="003F4BDD"/>
    <w:rsid w:val="003F4E41"/>
    <w:rsid w:val="003F701B"/>
    <w:rsid w:val="004105CF"/>
    <w:rsid w:val="00410AEB"/>
    <w:rsid w:val="0041567B"/>
    <w:rsid w:val="00415ED2"/>
    <w:rsid w:val="00416427"/>
    <w:rsid w:val="00417A51"/>
    <w:rsid w:val="00420571"/>
    <w:rsid w:val="00420D76"/>
    <w:rsid w:val="004241CD"/>
    <w:rsid w:val="0042698D"/>
    <w:rsid w:val="004322F3"/>
    <w:rsid w:val="00437244"/>
    <w:rsid w:val="004372B6"/>
    <w:rsid w:val="004372F7"/>
    <w:rsid w:val="004425E5"/>
    <w:rsid w:val="00442ABB"/>
    <w:rsid w:val="0044582C"/>
    <w:rsid w:val="00446AED"/>
    <w:rsid w:val="0044700D"/>
    <w:rsid w:val="0045011C"/>
    <w:rsid w:val="00452C93"/>
    <w:rsid w:val="00453D56"/>
    <w:rsid w:val="004543E8"/>
    <w:rsid w:val="00461407"/>
    <w:rsid w:val="00464756"/>
    <w:rsid w:val="00465364"/>
    <w:rsid w:val="00465BDC"/>
    <w:rsid w:val="00471E3E"/>
    <w:rsid w:val="00473B8F"/>
    <w:rsid w:val="00476661"/>
    <w:rsid w:val="00477D13"/>
    <w:rsid w:val="00490E6E"/>
    <w:rsid w:val="004913FB"/>
    <w:rsid w:val="00492402"/>
    <w:rsid w:val="00494116"/>
    <w:rsid w:val="00494ACF"/>
    <w:rsid w:val="004978FF"/>
    <w:rsid w:val="004A47F4"/>
    <w:rsid w:val="004A5C3E"/>
    <w:rsid w:val="004B007C"/>
    <w:rsid w:val="004B4E0A"/>
    <w:rsid w:val="004B6B12"/>
    <w:rsid w:val="004B7E06"/>
    <w:rsid w:val="004C0C81"/>
    <w:rsid w:val="004C1408"/>
    <w:rsid w:val="004D355E"/>
    <w:rsid w:val="004E36D5"/>
    <w:rsid w:val="004E517F"/>
    <w:rsid w:val="004E57D0"/>
    <w:rsid w:val="004E5E93"/>
    <w:rsid w:val="004F0820"/>
    <w:rsid w:val="004F0929"/>
    <w:rsid w:val="004F2253"/>
    <w:rsid w:val="005002EA"/>
    <w:rsid w:val="0050139F"/>
    <w:rsid w:val="00501C62"/>
    <w:rsid w:val="00503975"/>
    <w:rsid w:val="00505843"/>
    <w:rsid w:val="00506EEF"/>
    <w:rsid w:val="0051051C"/>
    <w:rsid w:val="00511CDC"/>
    <w:rsid w:val="005151F5"/>
    <w:rsid w:val="00522D12"/>
    <w:rsid w:val="00522E64"/>
    <w:rsid w:val="00523EB0"/>
    <w:rsid w:val="005245F1"/>
    <w:rsid w:val="00527675"/>
    <w:rsid w:val="00531F0A"/>
    <w:rsid w:val="0053402F"/>
    <w:rsid w:val="00534EC2"/>
    <w:rsid w:val="0053569E"/>
    <w:rsid w:val="00535E7A"/>
    <w:rsid w:val="0053772D"/>
    <w:rsid w:val="00540164"/>
    <w:rsid w:val="00541942"/>
    <w:rsid w:val="00545C51"/>
    <w:rsid w:val="00550E35"/>
    <w:rsid w:val="005515D2"/>
    <w:rsid w:val="005575A5"/>
    <w:rsid w:val="00560645"/>
    <w:rsid w:val="00561C89"/>
    <w:rsid w:val="005620DB"/>
    <w:rsid w:val="00564B1C"/>
    <w:rsid w:val="005664F8"/>
    <w:rsid w:val="00572BB7"/>
    <w:rsid w:val="00573676"/>
    <w:rsid w:val="005752ED"/>
    <w:rsid w:val="005769E6"/>
    <w:rsid w:val="00577013"/>
    <w:rsid w:val="0058012D"/>
    <w:rsid w:val="00581924"/>
    <w:rsid w:val="005840DF"/>
    <w:rsid w:val="00592A63"/>
    <w:rsid w:val="00594449"/>
    <w:rsid w:val="0059450B"/>
    <w:rsid w:val="005B01B0"/>
    <w:rsid w:val="005B0689"/>
    <w:rsid w:val="005B1E77"/>
    <w:rsid w:val="005B2CA2"/>
    <w:rsid w:val="005B2F61"/>
    <w:rsid w:val="005B5E45"/>
    <w:rsid w:val="005B63F8"/>
    <w:rsid w:val="005C0CB2"/>
    <w:rsid w:val="005C2D55"/>
    <w:rsid w:val="005D1DAD"/>
    <w:rsid w:val="005D40A3"/>
    <w:rsid w:val="005D4EC4"/>
    <w:rsid w:val="005D695A"/>
    <w:rsid w:val="005D6D7F"/>
    <w:rsid w:val="005E0C6A"/>
    <w:rsid w:val="005E36D0"/>
    <w:rsid w:val="005F0D05"/>
    <w:rsid w:val="005F4193"/>
    <w:rsid w:val="005F52E0"/>
    <w:rsid w:val="00604B0E"/>
    <w:rsid w:val="00605421"/>
    <w:rsid w:val="006060D9"/>
    <w:rsid w:val="006063B9"/>
    <w:rsid w:val="00607103"/>
    <w:rsid w:val="0061078D"/>
    <w:rsid w:val="0062596A"/>
    <w:rsid w:val="00626A52"/>
    <w:rsid w:val="006311C5"/>
    <w:rsid w:val="006321D1"/>
    <w:rsid w:val="00632CD4"/>
    <w:rsid w:val="006340EA"/>
    <w:rsid w:val="00634E12"/>
    <w:rsid w:val="006361E5"/>
    <w:rsid w:val="00636913"/>
    <w:rsid w:val="00637F51"/>
    <w:rsid w:val="00641492"/>
    <w:rsid w:val="006451EF"/>
    <w:rsid w:val="00660549"/>
    <w:rsid w:val="006674A3"/>
    <w:rsid w:val="00673586"/>
    <w:rsid w:val="00677BD1"/>
    <w:rsid w:val="00681B2E"/>
    <w:rsid w:val="00684244"/>
    <w:rsid w:val="00690600"/>
    <w:rsid w:val="006917DB"/>
    <w:rsid w:val="006946A1"/>
    <w:rsid w:val="006A1E14"/>
    <w:rsid w:val="006A566E"/>
    <w:rsid w:val="006A6EE6"/>
    <w:rsid w:val="006A70D3"/>
    <w:rsid w:val="006B0650"/>
    <w:rsid w:val="006B4F71"/>
    <w:rsid w:val="006B7149"/>
    <w:rsid w:val="006C07CF"/>
    <w:rsid w:val="006C0CE9"/>
    <w:rsid w:val="006C2723"/>
    <w:rsid w:val="006C39E8"/>
    <w:rsid w:val="006C4F2A"/>
    <w:rsid w:val="006C6C22"/>
    <w:rsid w:val="006D035F"/>
    <w:rsid w:val="006D1C13"/>
    <w:rsid w:val="006D3AB1"/>
    <w:rsid w:val="006E1668"/>
    <w:rsid w:val="006E2B8B"/>
    <w:rsid w:val="006E7951"/>
    <w:rsid w:val="006F69BD"/>
    <w:rsid w:val="006F7F01"/>
    <w:rsid w:val="00700594"/>
    <w:rsid w:val="007006EC"/>
    <w:rsid w:val="0070089B"/>
    <w:rsid w:val="00701551"/>
    <w:rsid w:val="00703FFE"/>
    <w:rsid w:val="00704150"/>
    <w:rsid w:val="00704DEC"/>
    <w:rsid w:val="00714154"/>
    <w:rsid w:val="00715E09"/>
    <w:rsid w:val="00716605"/>
    <w:rsid w:val="00720BA0"/>
    <w:rsid w:val="00721E2A"/>
    <w:rsid w:val="0072274D"/>
    <w:rsid w:val="00731F63"/>
    <w:rsid w:val="0073666B"/>
    <w:rsid w:val="00737A41"/>
    <w:rsid w:val="00741072"/>
    <w:rsid w:val="007457B7"/>
    <w:rsid w:val="00747804"/>
    <w:rsid w:val="0075282A"/>
    <w:rsid w:val="007576E9"/>
    <w:rsid w:val="00761E9C"/>
    <w:rsid w:val="00765AFB"/>
    <w:rsid w:val="007673BE"/>
    <w:rsid w:val="0077387C"/>
    <w:rsid w:val="00776A8E"/>
    <w:rsid w:val="007814F3"/>
    <w:rsid w:val="00786302"/>
    <w:rsid w:val="007915CB"/>
    <w:rsid w:val="007976BD"/>
    <w:rsid w:val="007A2EC5"/>
    <w:rsid w:val="007A551F"/>
    <w:rsid w:val="007A7E3F"/>
    <w:rsid w:val="007B036C"/>
    <w:rsid w:val="007B04A8"/>
    <w:rsid w:val="007B1AF9"/>
    <w:rsid w:val="007B3863"/>
    <w:rsid w:val="007B7940"/>
    <w:rsid w:val="007C21D4"/>
    <w:rsid w:val="007C330A"/>
    <w:rsid w:val="007C6CEC"/>
    <w:rsid w:val="007C75E7"/>
    <w:rsid w:val="007D0728"/>
    <w:rsid w:val="007D2DF2"/>
    <w:rsid w:val="007D5172"/>
    <w:rsid w:val="007E4F13"/>
    <w:rsid w:val="007E5626"/>
    <w:rsid w:val="007E71BE"/>
    <w:rsid w:val="007E736B"/>
    <w:rsid w:val="007F5882"/>
    <w:rsid w:val="007F6FD6"/>
    <w:rsid w:val="00805AE2"/>
    <w:rsid w:val="008140BB"/>
    <w:rsid w:val="00817404"/>
    <w:rsid w:val="00825EFB"/>
    <w:rsid w:val="00826A28"/>
    <w:rsid w:val="00830E0E"/>
    <w:rsid w:val="008322BB"/>
    <w:rsid w:val="00836AAF"/>
    <w:rsid w:val="008450B4"/>
    <w:rsid w:val="00853169"/>
    <w:rsid w:val="00872585"/>
    <w:rsid w:val="00875408"/>
    <w:rsid w:val="00876D8D"/>
    <w:rsid w:val="008772B0"/>
    <w:rsid w:val="00880286"/>
    <w:rsid w:val="00880A17"/>
    <w:rsid w:val="00884891"/>
    <w:rsid w:val="0088538B"/>
    <w:rsid w:val="008859A1"/>
    <w:rsid w:val="00890D55"/>
    <w:rsid w:val="00891365"/>
    <w:rsid w:val="008957E5"/>
    <w:rsid w:val="008963D2"/>
    <w:rsid w:val="008A1BBE"/>
    <w:rsid w:val="008B073D"/>
    <w:rsid w:val="008B1758"/>
    <w:rsid w:val="008B5573"/>
    <w:rsid w:val="008C6F27"/>
    <w:rsid w:val="008D2290"/>
    <w:rsid w:val="008D235D"/>
    <w:rsid w:val="008D618E"/>
    <w:rsid w:val="008D70EB"/>
    <w:rsid w:val="008D74E0"/>
    <w:rsid w:val="008E4AA1"/>
    <w:rsid w:val="008F06D4"/>
    <w:rsid w:val="009001EE"/>
    <w:rsid w:val="0090202B"/>
    <w:rsid w:val="009052C2"/>
    <w:rsid w:val="009100A0"/>
    <w:rsid w:val="009118B3"/>
    <w:rsid w:val="00913C3C"/>
    <w:rsid w:val="00914CBB"/>
    <w:rsid w:val="00916E3F"/>
    <w:rsid w:val="00921775"/>
    <w:rsid w:val="00922FDA"/>
    <w:rsid w:val="00924B90"/>
    <w:rsid w:val="00932590"/>
    <w:rsid w:val="00932EEB"/>
    <w:rsid w:val="00933424"/>
    <w:rsid w:val="0093660F"/>
    <w:rsid w:val="009429F0"/>
    <w:rsid w:val="00945BBF"/>
    <w:rsid w:val="00947458"/>
    <w:rsid w:val="00950D9F"/>
    <w:rsid w:val="00952C3B"/>
    <w:rsid w:val="00956508"/>
    <w:rsid w:val="0096580F"/>
    <w:rsid w:val="00971D20"/>
    <w:rsid w:val="0097507B"/>
    <w:rsid w:val="0097612A"/>
    <w:rsid w:val="00983659"/>
    <w:rsid w:val="00984E9A"/>
    <w:rsid w:val="009853D5"/>
    <w:rsid w:val="0099284E"/>
    <w:rsid w:val="009953DE"/>
    <w:rsid w:val="009A03F9"/>
    <w:rsid w:val="009B464B"/>
    <w:rsid w:val="009B5238"/>
    <w:rsid w:val="009B5C94"/>
    <w:rsid w:val="009B6A04"/>
    <w:rsid w:val="009B772F"/>
    <w:rsid w:val="009C0FB9"/>
    <w:rsid w:val="009C2136"/>
    <w:rsid w:val="009C401B"/>
    <w:rsid w:val="009C5F5D"/>
    <w:rsid w:val="009C7B0F"/>
    <w:rsid w:val="009D25FD"/>
    <w:rsid w:val="009D5689"/>
    <w:rsid w:val="009D6A33"/>
    <w:rsid w:val="009D6A8C"/>
    <w:rsid w:val="009E1A53"/>
    <w:rsid w:val="009E2DEE"/>
    <w:rsid w:val="009E427F"/>
    <w:rsid w:val="009E47B3"/>
    <w:rsid w:val="009E4B27"/>
    <w:rsid w:val="009E5342"/>
    <w:rsid w:val="009E6403"/>
    <w:rsid w:val="009F0263"/>
    <w:rsid w:val="009F2C15"/>
    <w:rsid w:val="00A04987"/>
    <w:rsid w:val="00A04BDC"/>
    <w:rsid w:val="00A11379"/>
    <w:rsid w:val="00A1397C"/>
    <w:rsid w:val="00A14C01"/>
    <w:rsid w:val="00A15B54"/>
    <w:rsid w:val="00A17CFE"/>
    <w:rsid w:val="00A209E1"/>
    <w:rsid w:val="00A22259"/>
    <w:rsid w:val="00A2225A"/>
    <w:rsid w:val="00A245D1"/>
    <w:rsid w:val="00A255ED"/>
    <w:rsid w:val="00A3295D"/>
    <w:rsid w:val="00A32E36"/>
    <w:rsid w:val="00A33DD2"/>
    <w:rsid w:val="00A350F5"/>
    <w:rsid w:val="00A41975"/>
    <w:rsid w:val="00A426C2"/>
    <w:rsid w:val="00A529D9"/>
    <w:rsid w:val="00A559AD"/>
    <w:rsid w:val="00A579E2"/>
    <w:rsid w:val="00A61B9B"/>
    <w:rsid w:val="00A61EA0"/>
    <w:rsid w:val="00A63432"/>
    <w:rsid w:val="00A7090D"/>
    <w:rsid w:val="00A75C50"/>
    <w:rsid w:val="00A815C8"/>
    <w:rsid w:val="00A84FFF"/>
    <w:rsid w:val="00A871B4"/>
    <w:rsid w:val="00A9434C"/>
    <w:rsid w:val="00A956E8"/>
    <w:rsid w:val="00AA13C9"/>
    <w:rsid w:val="00AA4449"/>
    <w:rsid w:val="00AB0DED"/>
    <w:rsid w:val="00AB530F"/>
    <w:rsid w:val="00AB541F"/>
    <w:rsid w:val="00AB62AE"/>
    <w:rsid w:val="00AB6AAE"/>
    <w:rsid w:val="00AB71A4"/>
    <w:rsid w:val="00AC6E5A"/>
    <w:rsid w:val="00AE1189"/>
    <w:rsid w:val="00AE526B"/>
    <w:rsid w:val="00AE7350"/>
    <w:rsid w:val="00AE78A8"/>
    <w:rsid w:val="00AF4AC1"/>
    <w:rsid w:val="00AF77AC"/>
    <w:rsid w:val="00B146DE"/>
    <w:rsid w:val="00B1488B"/>
    <w:rsid w:val="00B230C7"/>
    <w:rsid w:val="00B254ED"/>
    <w:rsid w:val="00B262F1"/>
    <w:rsid w:val="00B2689E"/>
    <w:rsid w:val="00B40721"/>
    <w:rsid w:val="00B42B05"/>
    <w:rsid w:val="00B435AF"/>
    <w:rsid w:val="00B4470F"/>
    <w:rsid w:val="00B452E3"/>
    <w:rsid w:val="00B4604D"/>
    <w:rsid w:val="00B502BC"/>
    <w:rsid w:val="00B50884"/>
    <w:rsid w:val="00B52879"/>
    <w:rsid w:val="00B65797"/>
    <w:rsid w:val="00B6745D"/>
    <w:rsid w:val="00B7140E"/>
    <w:rsid w:val="00B7474E"/>
    <w:rsid w:val="00B7715F"/>
    <w:rsid w:val="00B771B7"/>
    <w:rsid w:val="00B77AD3"/>
    <w:rsid w:val="00B8394B"/>
    <w:rsid w:val="00B8727D"/>
    <w:rsid w:val="00B91BD0"/>
    <w:rsid w:val="00B923DF"/>
    <w:rsid w:val="00BA59B5"/>
    <w:rsid w:val="00BA6D9E"/>
    <w:rsid w:val="00BB198A"/>
    <w:rsid w:val="00BB360A"/>
    <w:rsid w:val="00BB5860"/>
    <w:rsid w:val="00BB5C2D"/>
    <w:rsid w:val="00BB6B05"/>
    <w:rsid w:val="00BC060D"/>
    <w:rsid w:val="00BC1B42"/>
    <w:rsid w:val="00BC6C1B"/>
    <w:rsid w:val="00BD1072"/>
    <w:rsid w:val="00BD3389"/>
    <w:rsid w:val="00BD499C"/>
    <w:rsid w:val="00BE21DB"/>
    <w:rsid w:val="00BE2B13"/>
    <w:rsid w:val="00BE743B"/>
    <w:rsid w:val="00BF07BA"/>
    <w:rsid w:val="00C00090"/>
    <w:rsid w:val="00C01C4F"/>
    <w:rsid w:val="00C1152C"/>
    <w:rsid w:val="00C20885"/>
    <w:rsid w:val="00C2230A"/>
    <w:rsid w:val="00C22F66"/>
    <w:rsid w:val="00C23041"/>
    <w:rsid w:val="00C267A1"/>
    <w:rsid w:val="00C313D8"/>
    <w:rsid w:val="00C35222"/>
    <w:rsid w:val="00C36E63"/>
    <w:rsid w:val="00C414E0"/>
    <w:rsid w:val="00C441E0"/>
    <w:rsid w:val="00C44316"/>
    <w:rsid w:val="00C44D92"/>
    <w:rsid w:val="00C600AF"/>
    <w:rsid w:val="00C642BA"/>
    <w:rsid w:val="00C724B3"/>
    <w:rsid w:val="00C742E2"/>
    <w:rsid w:val="00C7471F"/>
    <w:rsid w:val="00C767C3"/>
    <w:rsid w:val="00C76987"/>
    <w:rsid w:val="00C811B5"/>
    <w:rsid w:val="00C82A44"/>
    <w:rsid w:val="00C858BB"/>
    <w:rsid w:val="00C859AB"/>
    <w:rsid w:val="00C863B0"/>
    <w:rsid w:val="00C86984"/>
    <w:rsid w:val="00C86C2C"/>
    <w:rsid w:val="00C957F6"/>
    <w:rsid w:val="00C97A81"/>
    <w:rsid w:val="00CA1B73"/>
    <w:rsid w:val="00CA3CA9"/>
    <w:rsid w:val="00CB2365"/>
    <w:rsid w:val="00CB5B9A"/>
    <w:rsid w:val="00CB6FE2"/>
    <w:rsid w:val="00CC0082"/>
    <w:rsid w:val="00CC0884"/>
    <w:rsid w:val="00CC5860"/>
    <w:rsid w:val="00CD1148"/>
    <w:rsid w:val="00CD39EB"/>
    <w:rsid w:val="00CD69B2"/>
    <w:rsid w:val="00CD72BA"/>
    <w:rsid w:val="00CD7EF3"/>
    <w:rsid w:val="00CE1C01"/>
    <w:rsid w:val="00CE4A28"/>
    <w:rsid w:val="00CE67D9"/>
    <w:rsid w:val="00CE759C"/>
    <w:rsid w:val="00CF01B1"/>
    <w:rsid w:val="00CF06C9"/>
    <w:rsid w:val="00CF11EA"/>
    <w:rsid w:val="00CF72AE"/>
    <w:rsid w:val="00CF7733"/>
    <w:rsid w:val="00D02719"/>
    <w:rsid w:val="00D053F0"/>
    <w:rsid w:val="00D0569B"/>
    <w:rsid w:val="00D06ED6"/>
    <w:rsid w:val="00D07EF4"/>
    <w:rsid w:val="00D11013"/>
    <w:rsid w:val="00D1126F"/>
    <w:rsid w:val="00D11AAA"/>
    <w:rsid w:val="00D11DCD"/>
    <w:rsid w:val="00D12253"/>
    <w:rsid w:val="00D14221"/>
    <w:rsid w:val="00D14FA4"/>
    <w:rsid w:val="00D16DA5"/>
    <w:rsid w:val="00D20E4A"/>
    <w:rsid w:val="00D21FC7"/>
    <w:rsid w:val="00D270A5"/>
    <w:rsid w:val="00D33504"/>
    <w:rsid w:val="00D358D9"/>
    <w:rsid w:val="00D358E7"/>
    <w:rsid w:val="00D3619C"/>
    <w:rsid w:val="00D3793A"/>
    <w:rsid w:val="00D4272F"/>
    <w:rsid w:val="00D43602"/>
    <w:rsid w:val="00D438CE"/>
    <w:rsid w:val="00D46B49"/>
    <w:rsid w:val="00D473EB"/>
    <w:rsid w:val="00D55487"/>
    <w:rsid w:val="00D61701"/>
    <w:rsid w:val="00D61768"/>
    <w:rsid w:val="00D65085"/>
    <w:rsid w:val="00D65791"/>
    <w:rsid w:val="00D751BD"/>
    <w:rsid w:val="00D80E32"/>
    <w:rsid w:val="00D81A9F"/>
    <w:rsid w:val="00D84F2A"/>
    <w:rsid w:val="00D91176"/>
    <w:rsid w:val="00D91542"/>
    <w:rsid w:val="00D91AD5"/>
    <w:rsid w:val="00D951F6"/>
    <w:rsid w:val="00D968A9"/>
    <w:rsid w:val="00D971B4"/>
    <w:rsid w:val="00DA147B"/>
    <w:rsid w:val="00DA2BEC"/>
    <w:rsid w:val="00DA722C"/>
    <w:rsid w:val="00DB1EF6"/>
    <w:rsid w:val="00DB3761"/>
    <w:rsid w:val="00DD1704"/>
    <w:rsid w:val="00DD49EE"/>
    <w:rsid w:val="00DD5338"/>
    <w:rsid w:val="00DD76D9"/>
    <w:rsid w:val="00DE102A"/>
    <w:rsid w:val="00DE312E"/>
    <w:rsid w:val="00DE3B85"/>
    <w:rsid w:val="00DE690B"/>
    <w:rsid w:val="00DF102D"/>
    <w:rsid w:val="00DF597B"/>
    <w:rsid w:val="00E01629"/>
    <w:rsid w:val="00E02027"/>
    <w:rsid w:val="00E152E9"/>
    <w:rsid w:val="00E17E33"/>
    <w:rsid w:val="00E2023C"/>
    <w:rsid w:val="00E214FD"/>
    <w:rsid w:val="00E33FD0"/>
    <w:rsid w:val="00E344BD"/>
    <w:rsid w:val="00E35E15"/>
    <w:rsid w:val="00E36EA7"/>
    <w:rsid w:val="00E4263D"/>
    <w:rsid w:val="00E429CE"/>
    <w:rsid w:val="00E4323B"/>
    <w:rsid w:val="00E43417"/>
    <w:rsid w:val="00E54E74"/>
    <w:rsid w:val="00E62542"/>
    <w:rsid w:val="00E714BF"/>
    <w:rsid w:val="00E73CD8"/>
    <w:rsid w:val="00E75C8C"/>
    <w:rsid w:val="00E75EB8"/>
    <w:rsid w:val="00E7758C"/>
    <w:rsid w:val="00E800F6"/>
    <w:rsid w:val="00E8290C"/>
    <w:rsid w:val="00E82E82"/>
    <w:rsid w:val="00E85C9E"/>
    <w:rsid w:val="00E86A37"/>
    <w:rsid w:val="00E976F9"/>
    <w:rsid w:val="00EA2C18"/>
    <w:rsid w:val="00EA4730"/>
    <w:rsid w:val="00EA7DE0"/>
    <w:rsid w:val="00EC0A34"/>
    <w:rsid w:val="00EC2403"/>
    <w:rsid w:val="00EC77EB"/>
    <w:rsid w:val="00ED363F"/>
    <w:rsid w:val="00ED6B6E"/>
    <w:rsid w:val="00EE4EFE"/>
    <w:rsid w:val="00EE7D26"/>
    <w:rsid w:val="00EF10C7"/>
    <w:rsid w:val="00EF5E39"/>
    <w:rsid w:val="00EF68A1"/>
    <w:rsid w:val="00EF7614"/>
    <w:rsid w:val="00F06C18"/>
    <w:rsid w:val="00F07316"/>
    <w:rsid w:val="00F13020"/>
    <w:rsid w:val="00F1348E"/>
    <w:rsid w:val="00F14EFF"/>
    <w:rsid w:val="00F24724"/>
    <w:rsid w:val="00F30A7F"/>
    <w:rsid w:val="00F30EBF"/>
    <w:rsid w:val="00F328A1"/>
    <w:rsid w:val="00F32A94"/>
    <w:rsid w:val="00F35B8A"/>
    <w:rsid w:val="00F401C4"/>
    <w:rsid w:val="00F422B5"/>
    <w:rsid w:val="00F42E6B"/>
    <w:rsid w:val="00F4344F"/>
    <w:rsid w:val="00F44FE7"/>
    <w:rsid w:val="00F52755"/>
    <w:rsid w:val="00F536F1"/>
    <w:rsid w:val="00F57D45"/>
    <w:rsid w:val="00F60207"/>
    <w:rsid w:val="00F60575"/>
    <w:rsid w:val="00F60FBF"/>
    <w:rsid w:val="00F624FC"/>
    <w:rsid w:val="00F63696"/>
    <w:rsid w:val="00F643C2"/>
    <w:rsid w:val="00F649F7"/>
    <w:rsid w:val="00F65D9C"/>
    <w:rsid w:val="00F74E67"/>
    <w:rsid w:val="00F81066"/>
    <w:rsid w:val="00F81425"/>
    <w:rsid w:val="00F83D22"/>
    <w:rsid w:val="00F84A8C"/>
    <w:rsid w:val="00F92C64"/>
    <w:rsid w:val="00F92E02"/>
    <w:rsid w:val="00F975D8"/>
    <w:rsid w:val="00FA148D"/>
    <w:rsid w:val="00FA1F30"/>
    <w:rsid w:val="00FA2005"/>
    <w:rsid w:val="00FA26AC"/>
    <w:rsid w:val="00FA3CC5"/>
    <w:rsid w:val="00FA47E8"/>
    <w:rsid w:val="00FA6846"/>
    <w:rsid w:val="00FA777F"/>
    <w:rsid w:val="00FB5C44"/>
    <w:rsid w:val="00FC1361"/>
    <w:rsid w:val="00FC75DD"/>
    <w:rsid w:val="00FD0B52"/>
    <w:rsid w:val="00FD1932"/>
    <w:rsid w:val="00FD4742"/>
    <w:rsid w:val="00FD647D"/>
    <w:rsid w:val="00FE3063"/>
    <w:rsid w:val="00FF01DD"/>
    <w:rsid w:val="00FF0485"/>
    <w:rsid w:val="00FF73AD"/>
    <w:rsid w:val="010158D6"/>
    <w:rsid w:val="011E1FE4"/>
    <w:rsid w:val="01211866"/>
    <w:rsid w:val="012A2737"/>
    <w:rsid w:val="015D5C78"/>
    <w:rsid w:val="01785B98"/>
    <w:rsid w:val="018C3587"/>
    <w:rsid w:val="01C072FE"/>
    <w:rsid w:val="01CD7566"/>
    <w:rsid w:val="02377801"/>
    <w:rsid w:val="024617F2"/>
    <w:rsid w:val="025241C8"/>
    <w:rsid w:val="02CD1F13"/>
    <w:rsid w:val="02D23086"/>
    <w:rsid w:val="02DC5F87"/>
    <w:rsid w:val="02EB239A"/>
    <w:rsid w:val="0303388A"/>
    <w:rsid w:val="03127926"/>
    <w:rsid w:val="032F672A"/>
    <w:rsid w:val="0391707A"/>
    <w:rsid w:val="03D20D1C"/>
    <w:rsid w:val="03D338B0"/>
    <w:rsid w:val="03E94B2B"/>
    <w:rsid w:val="03F60FF6"/>
    <w:rsid w:val="04041965"/>
    <w:rsid w:val="04610B65"/>
    <w:rsid w:val="04E10B0F"/>
    <w:rsid w:val="050E411D"/>
    <w:rsid w:val="052A7826"/>
    <w:rsid w:val="056106F1"/>
    <w:rsid w:val="056D52E8"/>
    <w:rsid w:val="05704DD8"/>
    <w:rsid w:val="058147F6"/>
    <w:rsid w:val="059D7D06"/>
    <w:rsid w:val="060C4B01"/>
    <w:rsid w:val="06345E06"/>
    <w:rsid w:val="064249C6"/>
    <w:rsid w:val="065A2F74"/>
    <w:rsid w:val="06B66915"/>
    <w:rsid w:val="06BA27AF"/>
    <w:rsid w:val="06D91147"/>
    <w:rsid w:val="070959D4"/>
    <w:rsid w:val="071A4E44"/>
    <w:rsid w:val="071E0F8F"/>
    <w:rsid w:val="0720094A"/>
    <w:rsid w:val="072145DC"/>
    <w:rsid w:val="073F2CB4"/>
    <w:rsid w:val="07513298"/>
    <w:rsid w:val="0753627E"/>
    <w:rsid w:val="0754675F"/>
    <w:rsid w:val="076057D5"/>
    <w:rsid w:val="07A03E12"/>
    <w:rsid w:val="07A34FF1"/>
    <w:rsid w:val="07F10452"/>
    <w:rsid w:val="07FE2B6F"/>
    <w:rsid w:val="080D2DB2"/>
    <w:rsid w:val="0828199A"/>
    <w:rsid w:val="08966904"/>
    <w:rsid w:val="08AB1D1F"/>
    <w:rsid w:val="08C40A39"/>
    <w:rsid w:val="08F301FA"/>
    <w:rsid w:val="091F2D9D"/>
    <w:rsid w:val="092A0A20"/>
    <w:rsid w:val="095B2810"/>
    <w:rsid w:val="09842C00"/>
    <w:rsid w:val="09975029"/>
    <w:rsid w:val="09CD27F9"/>
    <w:rsid w:val="09CD34DD"/>
    <w:rsid w:val="0A1977EC"/>
    <w:rsid w:val="0A3960E0"/>
    <w:rsid w:val="0A3D61EC"/>
    <w:rsid w:val="0A486323"/>
    <w:rsid w:val="0A6749FB"/>
    <w:rsid w:val="0A6E3B6B"/>
    <w:rsid w:val="0A786E26"/>
    <w:rsid w:val="0AAB5AC7"/>
    <w:rsid w:val="0ACB0FF8"/>
    <w:rsid w:val="0AD83203"/>
    <w:rsid w:val="0AE41BA8"/>
    <w:rsid w:val="0AE9707E"/>
    <w:rsid w:val="0B4B7E79"/>
    <w:rsid w:val="0B631A17"/>
    <w:rsid w:val="0BEC6E1F"/>
    <w:rsid w:val="0C1F2FB7"/>
    <w:rsid w:val="0C3E0D8C"/>
    <w:rsid w:val="0C3E749E"/>
    <w:rsid w:val="0C402975"/>
    <w:rsid w:val="0C4F154C"/>
    <w:rsid w:val="0C5D60B6"/>
    <w:rsid w:val="0C7C4062"/>
    <w:rsid w:val="0CA041F5"/>
    <w:rsid w:val="0CA05FA3"/>
    <w:rsid w:val="0CBF57FC"/>
    <w:rsid w:val="0CC2416B"/>
    <w:rsid w:val="0CC779D3"/>
    <w:rsid w:val="0CCE0D62"/>
    <w:rsid w:val="0CF00771"/>
    <w:rsid w:val="0CF877F2"/>
    <w:rsid w:val="0CFD51A3"/>
    <w:rsid w:val="0D2656A8"/>
    <w:rsid w:val="0D366907"/>
    <w:rsid w:val="0D674D12"/>
    <w:rsid w:val="0DA16476"/>
    <w:rsid w:val="0DA33F9D"/>
    <w:rsid w:val="0DBF4B4E"/>
    <w:rsid w:val="0DD81D9D"/>
    <w:rsid w:val="0E297963"/>
    <w:rsid w:val="0E372937"/>
    <w:rsid w:val="0E56100F"/>
    <w:rsid w:val="0E8611C8"/>
    <w:rsid w:val="0E8D07A9"/>
    <w:rsid w:val="0E8D735D"/>
    <w:rsid w:val="0EB83A78"/>
    <w:rsid w:val="0F046CBD"/>
    <w:rsid w:val="0F2C0F5A"/>
    <w:rsid w:val="0F9A4F2B"/>
    <w:rsid w:val="0FCB0857"/>
    <w:rsid w:val="0FCD3553"/>
    <w:rsid w:val="0FD4797C"/>
    <w:rsid w:val="100675DC"/>
    <w:rsid w:val="101A2510"/>
    <w:rsid w:val="103A226A"/>
    <w:rsid w:val="103C27CE"/>
    <w:rsid w:val="105B0B5E"/>
    <w:rsid w:val="10AF6B15"/>
    <w:rsid w:val="10FC2BD8"/>
    <w:rsid w:val="11034D52"/>
    <w:rsid w:val="11140D0D"/>
    <w:rsid w:val="11241AA9"/>
    <w:rsid w:val="114E06C3"/>
    <w:rsid w:val="115048E3"/>
    <w:rsid w:val="116C51CB"/>
    <w:rsid w:val="118532FB"/>
    <w:rsid w:val="11AB1672"/>
    <w:rsid w:val="11BB4499"/>
    <w:rsid w:val="11DF131B"/>
    <w:rsid w:val="11ED1C8A"/>
    <w:rsid w:val="120B2110"/>
    <w:rsid w:val="12212FCD"/>
    <w:rsid w:val="12331667"/>
    <w:rsid w:val="123B0638"/>
    <w:rsid w:val="12A8795F"/>
    <w:rsid w:val="12DC3AAD"/>
    <w:rsid w:val="12DF02B4"/>
    <w:rsid w:val="12E50BB3"/>
    <w:rsid w:val="13001549"/>
    <w:rsid w:val="1317540C"/>
    <w:rsid w:val="132C0590"/>
    <w:rsid w:val="13DB5B12"/>
    <w:rsid w:val="13E40E6B"/>
    <w:rsid w:val="13E62E35"/>
    <w:rsid w:val="13FF4804"/>
    <w:rsid w:val="142909DB"/>
    <w:rsid w:val="143A6CDD"/>
    <w:rsid w:val="14610194"/>
    <w:rsid w:val="146A5814"/>
    <w:rsid w:val="146B6E96"/>
    <w:rsid w:val="14926F94"/>
    <w:rsid w:val="14A979BF"/>
    <w:rsid w:val="14C97136"/>
    <w:rsid w:val="14D013EF"/>
    <w:rsid w:val="14D62EA9"/>
    <w:rsid w:val="14E76146"/>
    <w:rsid w:val="14FE6CBC"/>
    <w:rsid w:val="150A4901"/>
    <w:rsid w:val="151853EA"/>
    <w:rsid w:val="151B0C63"/>
    <w:rsid w:val="1525173B"/>
    <w:rsid w:val="152D239E"/>
    <w:rsid w:val="154020D1"/>
    <w:rsid w:val="155362A8"/>
    <w:rsid w:val="155E2E9F"/>
    <w:rsid w:val="15B71440"/>
    <w:rsid w:val="15C949A6"/>
    <w:rsid w:val="161B7B46"/>
    <w:rsid w:val="167923AB"/>
    <w:rsid w:val="16A576BF"/>
    <w:rsid w:val="16C136E5"/>
    <w:rsid w:val="16C66B03"/>
    <w:rsid w:val="16E64EFA"/>
    <w:rsid w:val="170F0F39"/>
    <w:rsid w:val="172B64E5"/>
    <w:rsid w:val="173E6AE4"/>
    <w:rsid w:val="17424826"/>
    <w:rsid w:val="17516817"/>
    <w:rsid w:val="179E57D5"/>
    <w:rsid w:val="17AC1CA0"/>
    <w:rsid w:val="17B374D2"/>
    <w:rsid w:val="17BD20FF"/>
    <w:rsid w:val="17C92852"/>
    <w:rsid w:val="17CB6825"/>
    <w:rsid w:val="17E94CA2"/>
    <w:rsid w:val="18BC5F12"/>
    <w:rsid w:val="18BE612E"/>
    <w:rsid w:val="18FF22A3"/>
    <w:rsid w:val="193232C0"/>
    <w:rsid w:val="19AD7CB8"/>
    <w:rsid w:val="19BE7E70"/>
    <w:rsid w:val="19FF69FF"/>
    <w:rsid w:val="1A09162B"/>
    <w:rsid w:val="1A7D7923"/>
    <w:rsid w:val="1A815666"/>
    <w:rsid w:val="1AA749A0"/>
    <w:rsid w:val="1AE856E5"/>
    <w:rsid w:val="1B4D19EC"/>
    <w:rsid w:val="1B530A55"/>
    <w:rsid w:val="1B634D6B"/>
    <w:rsid w:val="1B697EA8"/>
    <w:rsid w:val="1B7A3E63"/>
    <w:rsid w:val="1B9211AC"/>
    <w:rsid w:val="1BA710FC"/>
    <w:rsid w:val="1BC81072"/>
    <w:rsid w:val="1BED0AD9"/>
    <w:rsid w:val="1BFE58A9"/>
    <w:rsid w:val="1C166281"/>
    <w:rsid w:val="1C530C03"/>
    <w:rsid w:val="1C914C75"/>
    <w:rsid w:val="1D3310E0"/>
    <w:rsid w:val="1D4407A9"/>
    <w:rsid w:val="1D463D59"/>
    <w:rsid w:val="1D4A4435"/>
    <w:rsid w:val="1D4B3D09"/>
    <w:rsid w:val="1D6941BF"/>
    <w:rsid w:val="1D7E7C3A"/>
    <w:rsid w:val="1D90796E"/>
    <w:rsid w:val="1DBA4E23"/>
    <w:rsid w:val="1DFC3255"/>
    <w:rsid w:val="1E1D08F3"/>
    <w:rsid w:val="1E311151"/>
    <w:rsid w:val="1E3635C1"/>
    <w:rsid w:val="1E3D18A3"/>
    <w:rsid w:val="1E6A164B"/>
    <w:rsid w:val="1E9516DF"/>
    <w:rsid w:val="1EA5569B"/>
    <w:rsid w:val="1EBB0A1A"/>
    <w:rsid w:val="1EDC1D5D"/>
    <w:rsid w:val="1EE14925"/>
    <w:rsid w:val="1EF87EC0"/>
    <w:rsid w:val="1F134CFA"/>
    <w:rsid w:val="1F186F92"/>
    <w:rsid w:val="1F1F544D"/>
    <w:rsid w:val="1F234F3D"/>
    <w:rsid w:val="1F33604A"/>
    <w:rsid w:val="1F5A0233"/>
    <w:rsid w:val="1F647304"/>
    <w:rsid w:val="1F83778A"/>
    <w:rsid w:val="1F973235"/>
    <w:rsid w:val="1FD320AF"/>
    <w:rsid w:val="1FE806A1"/>
    <w:rsid w:val="203767C6"/>
    <w:rsid w:val="206F4D7A"/>
    <w:rsid w:val="207277FE"/>
    <w:rsid w:val="208B1E9C"/>
    <w:rsid w:val="20E96173"/>
    <w:rsid w:val="20EE157B"/>
    <w:rsid w:val="211242AE"/>
    <w:rsid w:val="213D5744"/>
    <w:rsid w:val="216B2BCB"/>
    <w:rsid w:val="21E53240"/>
    <w:rsid w:val="22385E83"/>
    <w:rsid w:val="22391E45"/>
    <w:rsid w:val="223B6204"/>
    <w:rsid w:val="224551CB"/>
    <w:rsid w:val="225D5873"/>
    <w:rsid w:val="227B0488"/>
    <w:rsid w:val="22B03D8B"/>
    <w:rsid w:val="22B934C3"/>
    <w:rsid w:val="22F95FB5"/>
    <w:rsid w:val="23024B27"/>
    <w:rsid w:val="23D804A0"/>
    <w:rsid w:val="23E3766A"/>
    <w:rsid w:val="23F913C8"/>
    <w:rsid w:val="245D6B58"/>
    <w:rsid w:val="24816262"/>
    <w:rsid w:val="24840AB4"/>
    <w:rsid w:val="24853FA4"/>
    <w:rsid w:val="24D679B4"/>
    <w:rsid w:val="24DD0350"/>
    <w:rsid w:val="25205A7B"/>
    <w:rsid w:val="25276812"/>
    <w:rsid w:val="25291319"/>
    <w:rsid w:val="25545725"/>
    <w:rsid w:val="2576775A"/>
    <w:rsid w:val="25BE55B4"/>
    <w:rsid w:val="25D51411"/>
    <w:rsid w:val="25E44CFA"/>
    <w:rsid w:val="263A2B6C"/>
    <w:rsid w:val="264C4285"/>
    <w:rsid w:val="265E2CFF"/>
    <w:rsid w:val="26793695"/>
    <w:rsid w:val="27361586"/>
    <w:rsid w:val="277A18F1"/>
    <w:rsid w:val="27B01338"/>
    <w:rsid w:val="27C76682"/>
    <w:rsid w:val="27CE17BE"/>
    <w:rsid w:val="284E1B09"/>
    <w:rsid w:val="28810F26"/>
    <w:rsid w:val="288A6C1C"/>
    <w:rsid w:val="289E73E3"/>
    <w:rsid w:val="28BC3D0D"/>
    <w:rsid w:val="28BE5CD7"/>
    <w:rsid w:val="28D76D98"/>
    <w:rsid w:val="28DC615D"/>
    <w:rsid w:val="291476A5"/>
    <w:rsid w:val="298A3E0B"/>
    <w:rsid w:val="2A151926"/>
    <w:rsid w:val="2A201EF5"/>
    <w:rsid w:val="2A2878AC"/>
    <w:rsid w:val="2A380FE1"/>
    <w:rsid w:val="2A461ECE"/>
    <w:rsid w:val="2A691C72"/>
    <w:rsid w:val="2A6A2937"/>
    <w:rsid w:val="2A743529"/>
    <w:rsid w:val="2A9C5BA4"/>
    <w:rsid w:val="2AAC0D79"/>
    <w:rsid w:val="2AB4113F"/>
    <w:rsid w:val="2ACF41CB"/>
    <w:rsid w:val="2AD01CF1"/>
    <w:rsid w:val="2AD175C2"/>
    <w:rsid w:val="2AFC3D20"/>
    <w:rsid w:val="2B1C6CE5"/>
    <w:rsid w:val="2B2F4C6A"/>
    <w:rsid w:val="2B5D1A5E"/>
    <w:rsid w:val="2B6640B7"/>
    <w:rsid w:val="2BC053AF"/>
    <w:rsid w:val="2BEB6DE3"/>
    <w:rsid w:val="2BFD6B16"/>
    <w:rsid w:val="2C025EDA"/>
    <w:rsid w:val="2C1B62D4"/>
    <w:rsid w:val="2C363032"/>
    <w:rsid w:val="2C5C383D"/>
    <w:rsid w:val="2C622E1D"/>
    <w:rsid w:val="2C844B41"/>
    <w:rsid w:val="2CAA057B"/>
    <w:rsid w:val="2CB82A3D"/>
    <w:rsid w:val="2CD44FE8"/>
    <w:rsid w:val="2D236108"/>
    <w:rsid w:val="2D2F2CFF"/>
    <w:rsid w:val="2D404F0C"/>
    <w:rsid w:val="2D46629B"/>
    <w:rsid w:val="2D7C6E89"/>
    <w:rsid w:val="2DB125B7"/>
    <w:rsid w:val="2DCE2330"/>
    <w:rsid w:val="2E2D36FA"/>
    <w:rsid w:val="2E4C5B33"/>
    <w:rsid w:val="2E5073D1"/>
    <w:rsid w:val="2E5A42CF"/>
    <w:rsid w:val="2E7A444E"/>
    <w:rsid w:val="2EA339A5"/>
    <w:rsid w:val="2EC47CA8"/>
    <w:rsid w:val="2ECA4010"/>
    <w:rsid w:val="2EE60B97"/>
    <w:rsid w:val="2F3E36CD"/>
    <w:rsid w:val="2F5B602D"/>
    <w:rsid w:val="2F6F7D2B"/>
    <w:rsid w:val="2F7470EF"/>
    <w:rsid w:val="2F9E23BE"/>
    <w:rsid w:val="2FB92D54"/>
    <w:rsid w:val="2FBE65BC"/>
    <w:rsid w:val="2FC11C09"/>
    <w:rsid w:val="2FE36B69"/>
    <w:rsid w:val="300B14A7"/>
    <w:rsid w:val="300C37CC"/>
    <w:rsid w:val="3014544A"/>
    <w:rsid w:val="302F1268"/>
    <w:rsid w:val="30787032"/>
    <w:rsid w:val="3082583C"/>
    <w:rsid w:val="30CC4D09"/>
    <w:rsid w:val="314B3E80"/>
    <w:rsid w:val="316C1083"/>
    <w:rsid w:val="3199108F"/>
    <w:rsid w:val="31AD68E8"/>
    <w:rsid w:val="31D44CC7"/>
    <w:rsid w:val="31DF6089"/>
    <w:rsid w:val="31E06CBE"/>
    <w:rsid w:val="31F12C79"/>
    <w:rsid w:val="32036508"/>
    <w:rsid w:val="321150C9"/>
    <w:rsid w:val="32325146"/>
    <w:rsid w:val="32472899"/>
    <w:rsid w:val="3253002A"/>
    <w:rsid w:val="32B55A55"/>
    <w:rsid w:val="32D560F7"/>
    <w:rsid w:val="3307705A"/>
    <w:rsid w:val="33105381"/>
    <w:rsid w:val="336735B5"/>
    <w:rsid w:val="33686F6B"/>
    <w:rsid w:val="33B57CD6"/>
    <w:rsid w:val="33C10429"/>
    <w:rsid w:val="33D463AE"/>
    <w:rsid w:val="33D91C17"/>
    <w:rsid w:val="33DB598F"/>
    <w:rsid w:val="34155C98"/>
    <w:rsid w:val="34930017"/>
    <w:rsid w:val="34B57AE6"/>
    <w:rsid w:val="34D07FCF"/>
    <w:rsid w:val="351A24E7"/>
    <w:rsid w:val="35303AB8"/>
    <w:rsid w:val="353C245D"/>
    <w:rsid w:val="355D23D3"/>
    <w:rsid w:val="35633E8E"/>
    <w:rsid w:val="358931C8"/>
    <w:rsid w:val="359202CF"/>
    <w:rsid w:val="3599165E"/>
    <w:rsid w:val="35A4706D"/>
    <w:rsid w:val="35B87C39"/>
    <w:rsid w:val="35D16FD2"/>
    <w:rsid w:val="361B6516"/>
    <w:rsid w:val="3660217B"/>
    <w:rsid w:val="36B026F5"/>
    <w:rsid w:val="36EC6762"/>
    <w:rsid w:val="37135440"/>
    <w:rsid w:val="375173C6"/>
    <w:rsid w:val="377B53F9"/>
    <w:rsid w:val="37AB5678"/>
    <w:rsid w:val="37DC443F"/>
    <w:rsid w:val="384E1F0C"/>
    <w:rsid w:val="387F6B81"/>
    <w:rsid w:val="38B467AE"/>
    <w:rsid w:val="38D047CF"/>
    <w:rsid w:val="38D17360"/>
    <w:rsid w:val="39A24A96"/>
    <w:rsid w:val="39B504C7"/>
    <w:rsid w:val="39EB337D"/>
    <w:rsid w:val="3A0B0650"/>
    <w:rsid w:val="3A1C5787"/>
    <w:rsid w:val="3A347BA7"/>
    <w:rsid w:val="3A4A561C"/>
    <w:rsid w:val="3A6F5083"/>
    <w:rsid w:val="3AA27206"/>
    <w:rsid w:val="3AB156AE"/>
    <w:rsid w:val="3B16781C"/>
    <w:rsid w:val="3B381919"/>
    <w:rsid w:val="3B484044"/>
    <w:rsid w:val="3B7C235D"/>
    <w:rsid w:val="3BA42B0A"/>
    <w:rsid w:val="3BCE5DD9"/>
    <w:rsid w:val="3BD10177"/>
    <w:rsid w:val="3C243C4B"/>
    <w:rsid w:val="3C2F11CB"/>
    <w:rsid w:val="3C5066D0"/>
    <w:rsid w:val="3C6504EB"/>
    <w:rsid w:val="3C7720CB"/>
    <w:rsid w:val="3C7F0E81"/>
    <w:rsid w:val="3C85293C"/>
    <w:rsid w:val="3C9F1649"/>
    <w:rsid w:val="3CA628B2"/>
    <w:rsid w:val="3CC176EC"/>
    <w:rsid w:val="3CC64D02"/>
    <w:rsid w:val="3CC86CCC"/>
    <w:rsid w:val="3CEA3331"/>
    <w:rsid w:val="3CF655E7"/>
    <w:rsid w:val="3D0E79A1"/>
    <w:rsid w:val="3D202664"/>
    <w:rsid w:val="3D804EB1"/>
    <w:rsid w:val="3D913A4F"/>
    <w:rsid w:val="3D946757"/>
    <w:rsid w:val="3DB66B25"/>
    <w:rsid w:val="3DD566A9"/>
    <w:rsid w:val="3DF02037"/>
    <w:rsid w:val="3E1222C4"/>
    <w:rsid w:val="3E3208A1"/>
    <w:rsid w:val="3E487CDE"/>
    <w:rsid w:val="3E8A5162"/>
    <w:rsid w:val="3E9926CE"/>
    <w:rsid w:val="3E9A01F4"/>
    <w:rsid w:val="3EAF1EF2"/>
    <w:rsid w:val="3ECC2AA4"/>
    <w:rsid w:val="3F033FEC"/>
    <w:rsid w:val="3F3643C1"/>
    <w:rsid w:val="3F3F333C"/>
    <w:rsid w:val="3F400D9C"/>
    <w:rsid w:val="3F47212A"/>
    <w:rsid w:val="3F522423"/>
    <w:rsid w:val="3F7C275B"/>
    <w:rsid w:val="3F7D78FA"/>
    <w:rsid w:val="3FF81676"/>
    <w:rsid w:val="40262EAD"/>
    <w:rsid w:val="40316936"/>
    <w:rsid w:val="40420B44"/>
    <w:rsid w:val="4047615A"/>
    <w:rsid w:val="40905D53"/>
    <w:rsid w:val="40980764"/>
    <w:rsid w:val="40A32C15"/>
    <w:rsid w:val="40AB4C84"/>
    <w:rsid w:val="40AF74F2"/>
    <w:rsid w:val="40E74215"/>
    <w:rsid w:val="411029F0"/>
    <w:rsid w:val="41520324"/>
    <w:rsid w:val="41636FC4"/>
    <w:rsid w:val="41670862"/>
    <w:rsid w:val="41823AA0"/>
    <w:rsid w:val="4183371D"/>
    <w:rsid w:val="41836124"/>
    <w:rsid w:val="41AA074E"/>
    <w:rsid w:val="41D35EF7"/>
    <w:rsid w:val="41FC290C"/>
    <w:rsid w:val="42044303"/>
    <w:rsid w:val="420B186A"/>
    <w:rsid w:val="424B5E02"/>
    <w:rsid w:val="429F24EB"/>
    <w:rsid w:val="42BF703A"/>
    <w:rsid w:val="42D261AF"/>
    <w:rsid w:val="42E47C90"/>
    <w:rsid w:val="430C716C"/>
    <w:rsid w:val="433C5D1E"/>
    <w:rsid w:val="434853DA"/>
    <w:rsid w:val="435A582F"/>
    <w:rsid w:val="4396542E"/>
    <w:rsid w:val="446F7A2D"/>
    <w:rsid w:val="44EA6B99"/>
    <w:rsid w:val="450B12DE"/>
    <w:rsid w:val="452278D6"/>
    <w:rsid w:val="454B17D7"/>
    <w:rsid w:val="458F3751"/>
    <w:rsid w:val="459950B6"/>
    <w:rsid w:val="45CB4C8D"/>
    <w:rsid w:val="45ED50AE"/>
    <w:rsid w:val="46004DE1"/>
    <w:rsid w:val="46094DD0"/>
    <w:rsid w:val="463E3B5B"/>
    <w:rsid w:val="46594474"/>
    <w:rsid w:val="468909AF"/>
    <w:rsid w:val="468C2B19"/>
    <w:rsid w:val="46DD3374"/>
    <w:rsid w:val="473C009B"/>
    <w:rsid w:val="47482EE3"/>
    <w:rsid w:val="47613FA5"/>
    <w:rsid w:val="478507E9"/>
    <w:rsid w:val="47AF2F63"/>
    <w:rsid w:val="47B24801"/>
    <w:rsid w:val="47CE5302"/>
    <w:rsid w:val="484F4B3F"/>
    <w:rsid w:val="48545A88"/>
    <w:rsid w:val="4876582E"/>
    <w:rsid w:val="489953F7"/>
    <w:rsid w:val="48D14DF5"/>
    <w:rsid w:val="48EE103E"/>
    <w:rsid w:val="48F72153"/>
    <w:rsid w:val="490770C8"/>
    <w:rsid w:val="49496A9F"/>
    <w:rsid w:val="498D2E30"/>
    <w:rsid w:val="49973CAE"/>
    <w:rsid w:val="49A60395"/>
    <w:rsid w:val="4A25750C"/>
    <w:rsid w:val="4A5971B6"/>
    <w:rsid w:val="4A7144FF"/>
    <w:rsid w:val="4A79313B"/>
    <w:rsid w:val="4A88388F"/>
    <w:rsid w:val="4AAB1556"/>
    <w:rsid w:val="4AAC3789"/>
    <w:rsid w:val="4AC565F9"/>
    <w:rsid w:val="4AD60B6E"/>
    <w:rsid w:val="4ADA6548"/>
    <w:rsid w:val="4AEB7395"/>
    <w:rsid w:val="4AF55130"/>
    <w:rsid w:val="4B8A1D1C"/>
    <w:rsid w:val="4BB9615E"/>
    <w:rsid w:val="4C650094"/>
    <w:rsid w:val="4C9F7BD5"/>
    <w:rsid w:val="4CB95742"/>
    <w:rsid w:val="4CBE77A4"/>
    <w:rsid w:val="4CC63490"/>
    <w:rsid w:val="4CE216E4"/>
    <w:rsid w:val="4CEF5BAF"/>
    <w:rsid w:val="4D146BCE"/>
    <w:rsid w:val="4D1D31ED"/>
    <w:rsid w:val="4D423F31"/>
    <w:rsid w:val="4D844549"/>
    <w:rsid w:val="4D9E1AAF"/>
    <w:rsid w:val="4E013DEC"/>
    <w:rsid w:val="4E236172"/>
    <w:rsid w:val="4E2F2866"/>
    <w:rsid w:val="4ED447AB"/>
    <w:rsid w:val="4F0B69B3"/>
    <w:rsid w:val="4F1D43F5"/>
    <w:rsid w:val="4F795A1E"/>
    <w:rsid w:val="4F7A3E56"/>
    <w:rsid w:val="4F813436"/>
    <w:rsid w:val="4F840831"/>
    <w:rsid w:val="4F895E47"/>
    <w:rsid w:val="4F9D18F3"/>
    <w:rsid w:val="4FB413E0"/>
    <w:rsid w:val="500951DA"/>
    <w:rsid w:val="503009B9"/>
    <w:rsid w:val="504B134F"/>
    <w:rsid w:val="5099655E"/>
    <w:rsid w:val="50A373DC"/>
    <w:rsid w:val="50AF7B2F"/>
    <w:rsid w:val="510A120A"/>
    <w:rsid w:val="511F2F07"/>
    <w:rsid w:val="517E1B45"/>
    <w:rsid w:val="519D3E2C"/>
    <w:rsid w:val="522307D5"/>
    <w:rsid w:val="52720E14"/>
    <w:rsid w:val="52F7756C"/>
    <w:rsid w:val="534D4F99"/>
    <w:rsid w:val="5367649F"/>
    <w:rsid w:val="53CB2ED2"/>
    <w:rsid w:val="540573E5"/>
    <w:rsid w:val="54297BF9"/>
    <w:rsid w:val="54484523"/>
    <w:rsid w:val="546926EB"/>
    <w:rsid w:val="546E1AAF"/>
    <w:rsid w:val="54E67898"/>
    <w:rsid w:val="54F75F49"/>
    <w:rsid w:val="55354676"/>
    <w:rsid w:val="554C4801"/>
    <w:rsid w:val="557A2085"/>
    <w:rsid w:val="55E62245"/>
    <w:rsid w:val="565F4D57"/>
    <w:rsid w:val="566118CC"/>
    <w:rsid w:val="569D042A"/>
    <w:rsid w:val="56AC7B63"/>
    <w:rsid w:val="56C1680E"/>
    <w:rsid w:val="56C836F9"/>
    <w:rsid w:val="56F049FE"/>
    <w:rsid w:val="573637BE"/>
    <w:rsid w:val="5738293A"/>
    <w:rsid w:val="5741085B"/>
    <w:rsid w:val="57697B04"/>
    <w:rsid w:val="57921595"/>
    <w:rsid w:val="57A55F7D"/>
    <w:rsid w:val="57D61E46"/>
    <w:rsid w:val="58250159"/>
    <w:rsid w:val="58403763"/>
    <w:rsid w:val="584E5E80"/>
    <w:rsid w:val="5855720E"/>
    <w:rsid w:val="58A81A34"/>
    <w:rsid w:val="58B101BD"/>
    <w:rsid w:val="58C148EA"/>
    <w:rsid w:val="58E16CF4"/>
    <w:rsid w:val="592E180D"/>
    <w:rsid w:val="596811C3"/>
    <w:rsid w:val="599D0B3D"/>
    <w:rsid w:val="59B20B67"/>
    <w:rsid w:val="59B9557B"/>
    <w:rsid w:val="59C02DAD"/>
    <w:rsid w:val="59E36A9C"/>
    <w:rsid w:val="59E567DE"/>
    <w:rsid w:val="59F46BD0"/>
    <w:rsid w:val="5A056A12"/>
    <w:rsid w:val="5A160C1F"/>
    <w:rsid w:val="5A214618"/>
    <w:rsid w:val="5A5F4374"/>
    <w:rsid w:val="5A8A7D83"/>
    <w:rsid w:val="5B1E7D8B"/>
    <w:rsid w:val="5BD668B8"/>
    <w:rsid w:val="5BEC7E8A"/>
    <w:rsid w:val="5C0F3B78"/>
    <w:rsid w:val="5C4035E0"/>
    <w:rsid w:val="5C6362D9"/>
    <w:rsid w:val="5C685A44"/>
    <w:rsid w:val="5C714A5C"/>
    <w:rsid w:val="5C733286"/>
    <w:rsid w:val="5CEE7976"/>
    <w:rsid w:val="5D066D29"/>
    <w:rsid w:val="5D0B2591"/>
    <w:rsid w:val="5D0B6880"/>
    <w:rsid w:val="5D7E5C21"/>
    <w:rsid w:val="5DCB1D21"/>
    <w:rsid w:val="5DD2614B"/>
    <w:rsid w:val="5DE352BC"/>
    <w:rsid w:val="5DE3706A"/>
    <w:rsid w:val="5EAE13B8"/>
    <w:rsid w:val="5F166FCB"/>
    <w:rsid w:val="5F180F96"/>
    <w:rsid w:val="5F3F6522"/>
    <w:rsid w:val="5F6950FA"/>
    <w:rsid w:val="601366DA"/>
    <w:rsid w:val="602A5424"/>
    <w:rsid w:val="602D0A71"/>
    <w:rsid w:val="60504142"/>
    <w:rsid w:val="605D3104"/>
    <w:rsid w:val="6074166E"/>
    <w:rsid w:val="60BD0047"/>
    <w:rsid w:val="60C05441"/>
    <w:rsid w:val="60E2520B"/>
    <w:rsid w:val="611048BB"/>
    <w:rsid w:val="613025C6"/>
    <w:rsid w:val="61442516"/>
    <w:rsid w:val="61447646"/>
    <w:rsid w:val="615A5895"/>
    <w:rsid w:val="615D5386"/>
    <w:rsid w:val="6162299C"/>
    <w:rsid w:val="6244777B"/>
    <w:rsid w:val="62553A40"/>
    <w:rsid w:val="6267026A"/>
    <w:rsid w:val="628F156F"/>
    <w:rsid w:val="62A342C7"/>
    <w:rsid w:val="62AC2121"/>
    <w:rsid w:val="62B66AFB"/>
    <w:rsid w:val="63103A86"/>
    <w:rsid w:val="632717A7"/>
    <w:rsid w:val="63584057"/>
    <w:rsid w:val="63A4729C"/>
    <w:rsid w:val="63A77190"/>
    <w:rsid w:val="63A83475"/>
    <w:rsid w:val="63C11BFC"/>
    <w:rsid w:val="63DC4C88"/>
    <w:rsid w:val="63E54AF4"/>
    <w:rsid w:val="640735E3"/>
    <w:rsid w:val="64155AA4"/>
    <w:rsid w:val="642E6B65"/>
    <w:rsid w:val="644B5969"/>
    <w:rsid w:val="645A795A"/>
    <w:rsid w:val="645C1924"/>
    <w:rsid w:val="64607667"/>
    <w:rsid w:val="647F3C5A"/>
    <w:rsid w:val="6486074F"/>
    <w:rsid w:val="649A7DD1"/>
    <w:rsid w:val="64A532CB"/>
    <w:rsid w:val="64C33752"/>
    <w:rsid w:val="64C93AB4"/>
    <w:rsid w:val="64D4595F"/>
    <w:rsid w:val="650A1380"/>
    <w:rsid w:val="650C2858"/>
    <w:rsid w:val="65200BA4"/>
    <w:rsid w:val="65444892"/>
    <w:rsid w:val="65953340"/>
    <w:rsid w:val="65A05841"/>
    <w:rsid w:val="65BF660F"/>
    <w:rsid w:val="65EC0A86"/>
    <w:rsid w:val="663E7534"/>
    <w:rsid w:val="663F32AC"/>
    <w:rsid w:val="664363FD"/>
    <w:rsid w:val="66806CD9"/>
    <w:rsid w:val="66CD6B09"/>
    <w:rsid w:val="66FE4F15"/>
    <w:rsid w:val="670F7430"/>
    <w:rsid w:val="67627D3A"/>
    <w:rsid w:val="676C00D0"/>
    <w:rsid w:val="677A0A3F"/>
    <w:rsid w:val="677C0B32"/>
    <w:rsid w:val="679A4C3E"/>
    <w:rsid w:val="67BD092C"/>
    <w:rsid w:val="67CD09D1"/>
    <w:rsid w:val="67F56318"/>
    <w:rsid w:val="68077DF9"/>
    <w:rsid w:val="68141536"/>
    <w:rsid w:val="681E5AE4"/>
    <w:rsid w:val="68222A5C"/>
    <w:rsid w:val="686D20B3"/>
    <w:rsid w:val="68810530"/>
    <w:rsid w:val="688F76FA"/>
    <w:rsid w:val="691E5F3F"/>
    <w:rsid w:val="692844CB"/>
    <w:rsid w:val="69450C74"/>
    <w:rsid w:val="694F0B69"/>
    <w:rsid w:val="69605A13"/>
    <w:rsid w:val="69C8089A"/>
    <w:rsid w:val="69D1637A"/>
    <w:rsid w:val="6A066A76"/>
    <w:rsid w:val="6A184540"/>
    <w:rsid w:val="6A2D7FEB"/>
    <w:rsid w:val="6A3C1FDC"/>
    <w:rsid w:val="6A425119"/>
    <w:rsid w:val="6A5C55B5"/>
    <w:rsid w:val="6A8D0FE2"/>
    <w:rsid w:val="6AA7604D"/>
    <w:rsid w:val="6AB9362D"/>
    <w:rsid w:val="6ABF6769"/>
    <w:rsid w:val="6AF66787"/>
    <w:rsid w:val="6B2A452A"/>
    <w:rsid w:val="6B2C2051"/>
    <w:rsid w:val="6B5D66AE"/>
    <w:rsid w:val="6B5E41D4"/>
    <w:rsid w:val="6B6712DB"/>
    <w:rsid w:val="6B6F018F"/>
    <w:rsid w:val="6B8974A3"/>
    <w:rsid w:val="6B8C0D41"/>
    <w:rsid w:val="6BAC4F3F"/>
    <w:rsid w:val="6BD9740F"/>
    <w:rsid w:val="6BE20961"/>
    <w:rsid w:val="6BF62E0F"/>
    <w:rsid w:val="6C315445"/>
    <w:rsid w:val="6C4C04D0"/>
    <w:rsid w:val="6C5850C7"/>
    <w:rsid w:val="6C77379F"/>
    <w:rsid w:val="6C9205D9"/>
    <w:rsid w:val="6C982547"/>
    <w:rsid w:val="6C9F4AA4"/>
    <w:rsid w:val="6CB5251A"/>
    <w:rsid w:val="6CFD2FD4"/>
    <w:rsid w:val="6D36092A"/>
    <w:rsid w:val="6D5C1224"/>
    <w:rsid w:val="6D697368"/>
    <w:rsid w:val="6DB64EE7"/>
    <w:rsid w:val="6DBF7D15"/>
    <w:rsid w:val="6DE24C48"/>
    <w:rsid w:val="6DE8487B"/>
    <w:rsid w:val="6E1742CD"/>
    <w:rsid w:val="6E4753F3"/>
    <w:rsid w:val="6E714300"/>
    <w:rsid w:val="6ED8429D"/>
    <w:rsid w:val="6EF2EAB2"/>
    <w:rsid w:val="6F345978"/>
    <w:rsid w:val="6F6A1399"/>
    <w:rsid w:val="6FB70357"/>
    <w:rsid w:val="6FE253D4"/>
    <w:rsid w:val="6FE70C3C"/>
    <w:rsid w:val="701F0DA1"/>
    <w:rsid w:val="70383246"/>
    <w:rsid w:val="7073427E"/>
    <w:rsid w:val="70BF3967"/>
    <w:rsid w:val="70C0087E"/>
    <w:rsid w:val="70FB075C"/>
    <w:rsid w:val="70FB4331"/>
    <w:rsid w:val="70FC24C5"/>
    <w:rsid w:val="71600CA6"/>
    <w:rsid w:val="716B0416"/>
    <w:rsid w:val="71755DD4"/>
    <w:rsid w:val="718264B5"/>
    <w:rsid w:val="71B72890"/>
    <w:rsid w:val="71CD3E62"/>
    <w:rsid w:val="721176C1"/>
    <w:rsid w:val="721675B7"/>
    <w:rsid w:val="723D2D95"/>
    <w:rsid w:val="728B49B4"/>
    <w:rsid w:val="72930C07"/>
    <w:rsid w:val="72C9287B"/>
    <w:rsid w:val="72D1172F"/>
    <w:rsid w:val="7314713E"/>
    <w:rsid w:val="733F6699"/>
    <w:rsid w:val="73665E76"/>
    <w:rsid w:val="737E5413"/>
    <w:rsid w:val="73C117A4"/>
    <w:rsid w:val="73DB0AB8"/>
    <w:rsid w:val="744C1625"/>
    <w:rsid w:val="744C5B80"/>
    <w:rsid w:val="74566390"/>
    <w:rsid w:val="745B131E"/>
    <w:rsid w:val="745F135C"/>
    <w:rsid w:val="74956EB2"/>
    <w:rsid w:val="749858D8"/>
    <w:rsid w:val="74AC231C"/>
    <w:rsid w:val="74CA6436"/>
    <w:rsid w:val="74D72C4B"/>
    <w:rsid w:val="74D72DFC"/>
    <w:rsid w:val="74DF1EE2"/>
    <w:rsid w:val="75071547"/>
    <w:rsid w:val="751029E3"/>
    <w:rsid w:val="75377F70"/>
    <w:rsid w:val="759A22AD"/>
    <w:rsid w:val="75B94E29"/>
    <w:rsid w:val="76257DC8"/>
    <w:rsid w:val="762F3D42"/>
    <w:rsid w:val="76366479"/>
    <w:rsid w:val="764364A0"/>
    <w:rsid w:val="76972408"/>
    <w:rsid w:val="76A1458D"/>
    <w:rsid w:val="76B31878"/>
    <w:rsid w:val="76C2624C"/>
    <w:rsid w:val="76D40B6E"/>
    <w:rsid w:val="76E9529A"/>
    <w:rsid w:val="76EE28B0"/>
    <w:rsid w:val="76F837EC"/>
    <w:rsid w:val="76FF686B"/>
    <w:rsid w:val="772064E9"/>
    <w:rsid w:val="773C1270"/>
    <w:rsid w:val="778A6E0A"/>
    <w:rsid w:val="77AA6554"/>
    <w:rsid w:val="77D625A6"/>
    <w:rsid w:val="77F263D0"/>
    <w:rsid w:val="7808174F"/>
    <w:rsid w:val="780D6D66"/>
    <w:rsid w:val="78911745"/>
    <w:rsid w:val="789D458E"/>
    <w:rsid w:val="78CA10FB"/>
    <w:rsid w:val="78F146AB"/>
    <w:rsid w:val="78F341AE"/>
    <w:rsid w:val="79110AD8"/>
    <w:rsid w:val="796450AB"/>
    <w:rsid w:val="79986B03"/>
    <w:rsid w:val="79B92FB5"/>
    <w:rsid w:val="79F0693F"/>
    <w:rsid w:val="7A140880"/>
    <w:rsid w:val="7A344A7E"/>
    <w:rsid w:val="7A49604F"/>
    <w:rsid w:val="7AA86972"/>
    <w:rsid w:val="7AAD037B"/>
    <w:rsid w:val="7AC51B7A"/>
    <w:rsid w:val="7AE5221C"/>
    <w:rsid w:val="7AF4420D"/>
    <w:rsid w:val="7B002BB2"/>
    <w:rsid w:val="7B0E1773"/>
    <w:rsid w:val="7B18439F"/>
    <w:rsid w:val="7B187EFC"/>
    <w:rsid w:val="7B290329"/>
    <w:rsid w:val="7B931C78"/>
    <w:rsid w:val="7B9D073C"/>
    <w:rsid w:val="7BA72A20"/>
    <w:rsid w:val="7BB11B75"/>
    <w:rsid w:val="7BB35E76"/>
    <w:rsid w:val="7BB75966"/>
    <w:rsid w:val="7BC5563A"/>
    <w:rsid w:val="7BC77B74"/>
    <w:rsid w:val="7BD83B2F"/>
    <w:rsid w:val="7BEF7644"/>
    <w:rsid w:val="7C1728A9"/>
    <w:rsid w:val="7C1B457B"/>
    <w:rsid w:val="7C4A6854"/>
    <w:rsid w:val="7C5D293F"/>
    <w:rsid w:val="7C683105"/>
    <w:rsid w:val="7C703D67"/>
    <w:rsid w:val="7C7C5A8E"/>
    <w:rsid w:val="7C865123"/>
    <w:rsid w:val="7C944B68"/>
    <w:rsid w:val="7C9A0DE4"/>
    <w:rsid w:val="7C9C690A"/>
    <w:rsid w:val="7CC04CEF"/>
    <w:rsid w:val="7CCD2F68"/>
    <w:rsid w:val="7CE54755"/>
    <w:rsid w:val="7D056BA5"/>
    <w:rsid w:val="7D5A6419"/>
    <w:rsid w:val="7D61201B"/>
    <w:rsid w:val="7D8B5CB8"/>
    <w:rsid w:val="7DAB4DF0"/>
    <w:rsid w:val="7DD56578"/>
    <w:rsid w:val="7DED1B13"/>
    <w:rsid w:val="7DF54524"/>
    <w:rsid w:val="7E243B96"/>
    <w:rsid w:val="7E7200FE"/>
    <w:rsid w:val="7E8B5402"/>
    <w:rsid w:val="7E8E2E65"/>
    <w:rsid w:val="7E907B0B"/>
    <w:rsid w:val="7EAA3114"/>
    <w:rsid w:val="7EB919F5"/>
    <w:rsid w:val="7EBB576E"/>
    <w:rsid w:val="7EF667A6"/>
    <w:rsid w:val="7F166E48"/>
    <w:rsid w:val="7F1E7AAB"/>
    <w:rsid w:val="7F2E1B35"/>
    <w:rsid w:val="7F531E4A"/>
    <w:rsid w:val="7F5C1797"/>
    <w:rsid w:val="7F6F0306"/>
    <w:rsid w:val="7F855C77"/>
    <w:rsid w:val="7F9F9531"/>
    <w:rsid w:val="7FA420B8"/>
    <w:rsid w:val="7FAA3AFD"/>
    <w:rsid w:val="7FB14DC3"/>
    <w:rsid w:val="7FE44850"/>
    <w:rsid w:val="E5FD495A"/>
    <w:rsid w:val="E7BF804F"/>
    <w:rsid w:val="FDEFD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ahoma" w:hAnsi="Tahoma"/>
      <w:b/>
      <w:bCs/>
      <w:kern w:val="44"/>
      <w:sz w:val="44"/>
      <w:szCs w:val="44"/>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unhideWhenUsed/>
    <w:qFormat/>
    <w:uiPriority w:val="99"/>
    <w:pPr>
      <w:widowControl w:val="0"/>
      <w:ind w:firstLine="420" w:firstLineChars="200"/>
      <w:jc w:val="both"/>
    </w:pPr>
    <w:rPr>
      <w:rFonts w:ascii="Calibri" w:hAnsi="Calibri" w:eastAsia="仿宋_GB2312" w:cs="Times New Roman"/>
      <w:kern w:val="2"/>
      <w:sz w:val="28"/>
      <w:lang w:val="en-US" w:eastAsia="zh-CN" w:bidi="ar-SA"/>
    </w:rPr>
  </w:style>
  <w:style w:type="paragraph" w:styleId="5">
    <w:name w:val="annotation text"/>
    <w:basedOn w:val="1"/>
    <w:link w:val="25"/>
    <w:qFormat/>
    <w:uiPriority w:val="0"/>
    <w:pPr>
      <w:jc w:val="left"/>
    </w:pPr>
  </w:style>
  <w:style w:type="paragraph" w:styleId="6">
    <w:name w:val="Body Text"/>
    <w:basedOn w:val="1"/>
    <w:next w:val="1"/>
    <w:qFormat/>
    <w:uiPriority w:val="0"/>
    <w:pPr>
      <w:spacing w:after="120"/>
    </w:pPr>
  </w:style>
  <w:style w:type="paragraph" w:styleId="7">
    <w:name w:val="Body Text Indent"/>
    <w:basedOn w:val="1"/>
    <w:qFormat/>
    <w:uiPriority w:val="0"/>
    <w:pPr>
      <w:spacing w:line="580" w:lineRule="exact"/>
      <w:ind w:left="2" w:firstLine="720" w:firstLineChars="225"/>
    </w:pPr>
    <w:rPr>
      <w:rFonts w:eastAsia="仿宋_GB2312"/>
      <w:sz w:val="32"/>
    </w:rPr>
  </w:style>
  <w:style w:type="paragraph" w:styleId="8">
    <w:name w:val="Plain Text"/>
    <w:basedOn w:val="1"/>
    <w:link w:val="33"/>
    <w:qFormat/>
    <w:uiPriority w:val="0"/>
    <w:rPr>
      <w:rFonts w:ascii="宋体" w:hAnsi="Courier New"/>
      <w:kern w:val="0"/>
      <w:sz w:val="20"/>
    </w:rPr>
  </w:style>
  <w:style w:type="paragraph" w:styleId="9">
    <w:name w:val="Date"/>
    <w:basedOn w:val="1"/>
    <w:next w:val="1"/>
    <w:qFormat/>
    <w:uiPriority w:val="0"/>
    <w:pPr>
      <w:ind w:left="100" w:leftChars="2500"/>
    </w:pPr>
    <w:rPr>
      <w:rFonts w:eastAsia="仿宋_GB2312"/>
      <w:sz w:val="32"/>
    </w:rPr>
  </w:style>
  <w:style w:type="paragraph" w:styleId="10">
    <w:name w:val="Body Text Indent 2"/>
    <w:basedOn w:val="1"/>
    <w:qFormat/>
    <w:uiPriority w:val="0"/>
    <w:pPr>
      <w:ind w:firstLine="645"/>
    </w:pPr>
    <w:rPr>
      <w:rFonts w:ascii="华文中宋" w:hAnsi="华文中宋" w:eastAsia="仿宋_GB2312"/>
      <w:sz w:val="32"/>
    </w:rPr>
  </w:style>
  <w:style w:type="paragraph" w:styleId="11">
    <w:name w:val="Balloon Text"/>
    <w:basedOn w:val="1"/>
    <w:qFormat/>
    <w:uiPriority w:val="0"/>
    <w:rPr>
      <w:sz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next w:val="14"/>
    <w:qFormat/>
    <w:uiPriority w:val="0"/>
    <w:pPr>
      <w:pBdr>
        <w:bottom w:val="single" w:color="auto" w:sz="6" w:space="1"/>
      </w:pBdr>
      <w:tabs>
        <w:tab w:val="center" w:pos="4153"/>
        <w:tab w:val="right" w:pos="8306"/>
      </w:tabs>
      <w:snapToGrid w:val="0"/>
      <w:jc w:val="center"/>
    </w:pPr>
    <w:rPr>
      <w:sz w:val="18"/>
    </w:rPr>
  </w:style>
  <w:style w:type="paragraph" w:customStyle="1" w:styleId="14">
    <w:name w:val="引用1"/>
    <w:next w:val="1"/>
    <w:qFormat/>
    <w:uiPriority w:val="99"/>
    <w:pPr>
      <w:wordWrap w:val="0"/>
      <w:spacing w:before="200" w:after="160"/>
      <w:ind w:left="864" w:right="864"/>
      <w:jc w:val="center"/>
    </w:pPr>
    <w:rPr>
      <w:rFonts w:ascii="宋体" w:hAnsi="Times New Roman" w:eastAsia="宋体" w:cs="Times New Roman"/>
      <w:i/>
      <w:color w:val="404040"/>
      <w:kern w:val="2"/>
      <w:sz w:val="21"/>
      <w:szCs w:val="24"/>
      <w:lang w:val="en-US" w:eastAsia="zh-CN" w:bidi="ar-SA"/>
    </w:rPr>
  </w:style>
  <w:style w:type="paragraph" w:styleId="15">
    <w:name w:val="toc 9"/>
    <w:basedOn w:val="1"/>
    <w:next w:val="1"/>
    <w:qFormat/>
    <w:uiPriority w:val="0"/>
    <w:pPr>
      <w:ind w:left="1680"/>
      <w:jc w:val="left"/>
    </w:pPr>
    <w:rPr>
      <w:szCs w:val="21"/>
    </w:rPr>
  </w:style>
  <w:style w:type="paragraph" w:styleId="16">
    <w:name w:val="Normal (Web)"/>
    <w:basedOn w:val="1"/>
    <w:qFormat/>
    <w:uiPriority w:val="0"/>
    <w:pPr>
      <w:widowControl/>
      <w:spacing w:before="100" w:beforeAutospacing="1" w:after="119"/>
      <w:jc w:val="left"/>
    </w:pPr>
    <w:rPr>
      <w:rFonts w:ascii="宋体" w:hAnsi="宋体"/>
      <w:kern w:val="0"/>
      <w:sz w:val="24"/>
    </w:rPr>
  </w:style>
  <w:style w:type="paragraph" w:styleId="17">
    <w:name w:val="annotation subject"/>
    <w:basedOn w:val="5"/>
    <w:next w:val="5"/>
    <w:link w:val="32"/>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qFormat/>
    <w:uiPriority w:val="0"/>
    <w:rPr>
      <w:color w:val="000000"/>
      <w:u w:val="none"/>
    </w:rPr>
  </w:style>
  <w:style w:type="character" w:styleId="23">
    <w:name w:val="Hyperlink"/>
    <w:qFormat/>
    <w:uiPriority w:val="0"/>
    <w:rPr>
      <w:color w:val="000000"/>
      <w:u w:val="none"/>
    </w:rPr>
  </w:style>
  <w:style w:type="character" w:styleId="24">
    <w:name w:val="annotation reference"/>
    <w:qFormat/>
    <w:uiPriority w:val="0"/>
    <w:rPr>
      <w:sz w:val="21"/>
    </w:rPr>
  </w:style>
  <w:style w:type="character" w:customStyle="1" w:styleId="25">
    <w:name w:val="批注文字 字符"/>
    <w:link w:val="5"/>
    <w:qFormat/>
    <w:uiPriority w:val="0"/>
    <w:rPr>
      <w:kern w:val="2"/>
      <w:sz w:val="21"/>
    </w:rPr>
  </w:style>
  <w:style w:type="character" w:customStyle="1" w:styleId="26">
    <w:name w:val="warnicon"/>
    <w:basedOn w:val="20"/>
    <w:qFormat/>
    <w:uiPriority w:val="0"/>
  </w:style>
  <w:style w:type="character" w:customStyle="1" w:styleId="27">
    <w:name w:val="blckicon"/>
    <w:basedOn w:val="20"/>
    <w:qFormat/>
    <w:uiPriority w:val="0"/>
  </w:style>
  <w:style w:type="character" w:customStyle="1" w:styleId="28">
    <w:name w:val="hlpicon"/>
    <w:basedOn w:val="20"/>
    <w:qFormat/>
    <w:uiPriority w:val="0"/>
  </w:style>
  <w:style w:type="character" w:customStyle="1" w:styleId="29">
    <w:name w:val="infoicon"/>
    <w:basedOn w:val="20"/>
    <w:qFormat/>
    <w:uiPriority w:val="0"/>
  </w:style>
  <w:style w:type="character" w:customStyle="1" w:styleId="30">
    <w:name w:val="alrticon"/>
    <w:basedOn w:val="20"/>
    <w:qFormat/>
    <w:uiPriority w:val="0"/>
  </w:style>
  <w:style w:type="character" w:customStyle="1" w:styleId="31">
    <w:name w:val="red"/>
    <w:qFormat/>
    <w:uiPriority w:val="0"/>
    <w:rPr>
      <w:rFonts w:ascii="Verdana" w:hAnsi="Verdana" w:cs="Verdana"/>
      <w:b/>
      <w:color w:val="FF0000"/>
      <w:sz w:val="21"/>
      <w:szCs w:val="21"/>
    </w:rPr>
  </w:style>
  <w:style w:type="character" w:customStyle="1" w:styleId="32">
    <w:name w:val="批注主题 字符"/>
    <w:basedOn w:val="25"/>
    <w:link w:val="17"/>
    <w:qFormat/>
    <w:uiPriority w:val="0"/>
    <w:rPr>
      <w:kern w:val="2"/>
      <w:sz w:val="21"/>
    </w:rPr>
  </w:style>
  <w:style w:type="character" w:customStyle="1" w:styleId="33">
    <w:name w:val="纯文本 字符"/>
    <w:link w:val="8"/>
    <w:qFormat/>
    <w:uiPriority w:val="0"/>
    <w:rPr>
      <w:rFonts w:ascii="宋体" w:hAnsi="Courier New"/>
      <w:lang w:bidi="ar-SA"/>
    </w:rPr>
  </w:style>
  <w:style w:type="character" w:customStyle="1" w:styleId="34">
    <w:name w:val="tipicon"/>
    <w:basedOn w:val="20"/>
    <w:qFormat/>
    <w:uiPriority w:val="0"/>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6">
    <w:name w:val="_Style 33"/>
    <w:unhideWhenUsed/>
    <w:qFormat/>
    <w:uiPriority w:val="99"/>
    <w:rPr>
      <w:rFonts w:ascii="Times New Roman" w:hAnsi="Times New Roman" w:eastAsia="宋体" w:cs="Times New Roman"/>
      <w:kern w:val="2"/>
      <w:sz w:val="21"/>
      <w:lang w:val="en-US" w:eastAsia="zh-CN" w:bidi="ar-SA"/>
    </w:rPr>
  </w:style>
  <w:style w:type="paragraph" w:customStyle="1" w:styleId="37">
    <w:name w:val="Char Char1"/>
    <w:basedOn w:val="1"/>
    <w:qFormat/>
    <w:uiPriority w:val="0"/>
    <w:pPr>
      <w:adjustRightInd w:val="0"/>
      <w:snapToGrid w:val="0"/>
      <w:spacing w:before="156" w:beforeLines="50" w:after="156" w:afterLines="50" w:line="480" w:lineRule="exact"/>
      <w:ind w:firstLine="200" w:firstLineChars="200"/>
    </w:pPr>
  </w:style>
  <w:style w:type="paragraph" w:customStyle="1" w:styleId="38">
    <w:name w:val="(符号)五标题1.1.1"/>
    <w:basedOn w:val="1"/>
    <w:qFormat/>
    <w:uiPriority w:val="0"/>
    <w:pPr>
      <w:numPr>
        <w:ilvl w:val="2"/>
        <w:numId w:val="1"/>
      </w:numPr>
      <w:spacing w:line="500" w:lineRule="exact"/>
    </w:pPr>
    <w:rPr>
      <w:rFonts w:ascii="宋体" w:hAnsi="宋体" w:cs="宋体"/>
      <w:color w:val="000000"/>
      <w:sz w:val="24"/>
    </w:rPr>
  </w:style>
  <w:style w:type="paragraph" w:customStyle="1" w:styleId="39">
    <w:name w:val="Char Char11"/>
    <w:basedOn w:val="1"/>
    <w:qFormat/>
    <w:uiPriority w:val="0"/>
    <w:pPr>
      <w:adjustRightInd w:val="0"/>
      <w:snapToGrid w:val="0"/>
      <w:spacing w:beforeLines="50" w:afterLines="50" w:line="480" w:lineRule="exact"/>
      <w:ind w:firstLine="200" w:firstLineChars="200"/>
    </w:pPr>
  </w:style>
  <w:style w:type="paragraph" w:customStyle="1" w:styleId="40">
    <w:name w:val="Default"/>
    <w:unhideWhenUsed/>
    <w:qFormat/>
    <w:uiPriority w:val="99"/>
    <w:pPr>
      <w:widowControl w:val="0"/>
      <w:autoSpaceDE w:val="0"/>
      <w:autoSpaceDN w:val="0"/>
      <w:adjustRightInd w:val="0"/>
    </w:pPr>
    <w:rPr>
      <w:rFonts w:ascii="微软雅黑" w:hAnsi="微软雅黑" w:eastAsia="微软雅黑" w:cs="Times New Roman"/>
      <w:color w:val="000000"/>
      <w:sz w:val="24"/>
      <w:lang w:val="en-US" w:eastAsia="zh-CN" w:bidi="ar-SA"/>
    </w:rPr>
  </w:style>
  <w:style w:type="paragraph" w:customStyle="1" w:styleId="41">
    <w:name w:val="ee"/>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42">
    <w:name w:val="题一"/>
    <w:basedOn w:val="1"/>
    <w:qFormat/>
    <w:uiPriority w:val="0"/>
    <w:pPr>
      <w:adjustRightInd w:val="0"/>
      <w:spacing w:before="120" w:after="120"/>
      <w:textAlignment w:val="baseline"/>
    </w:pPr>
    <w:rPr>
      <w:rFonts w:ascii="宋体" w:cs="宋体"/>
      <w:b/>
      <w:bCs/>
      <w:spacing w:val="5"/>
      <w:kern w:val="0"/>
      <w:szCs w:val="21"/>
    </w:rPr>
  </w:style>
  <w:style w:type="paragraph" w:customStyle="1" w:styleId="43">
    <w:name w:val="标题 5（有编号）（绿盟科技）"/>
    <w:basedOn w:val="1"/>
    <w:next w:val="35"/>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4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Char"/>
    <w:basedOn w:val="1"/>
    <w:qFormat/>
    <w:uiPriority w:val="0"/>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Revision"/>
    <w:hidden/>
    <w:semiHidden/>
    <w:qFormat/>
    <w:uiPriority w:val="99"/>
    <w:rPr>
      <w:rFonts w:ascii="Times New Roman" w:hAnsi="Times New Roman" w:eastAsia="宋体" w:cs="Times New Roman"/>
      <w:kern w:val="2"/>
      <w:sz w:val="21"/>
      <w:lang w:val="en-US" w:eastAsia="zh-CN" w:bidi="ar-SA"/>
    </w:rPr>
  </w:style>
  <w:style w:type="paragraph" w:customStyle="1" w:styleId="48">
    <w:name w:val="列表段落1"/>
    <w:basedOn w:val="1"/>
    <w:qFormat/>
    <w:uiPriority w:val="34"/>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hbzbb</Company>
  <Pages>32</Pages>
  <Words>14778</Words>
  <Characters>15464</Characters>
  <Lines>121</Lines>
  <Paragraphs>34</Paragraphs>
  <TotalTime>6</TotalTime>
  <ScaleCrop>false</ScaleCrop>
  <LinksUpToDate>false</LinksUpToDate>
  <CharactersWithSpaces>16172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2020-12-21T18:11:00Z</dcterms:created>
  <dc:creator>zhm</dc:creator>
  <cp:lastModifiedBy>张醒东</cp:lastModifiedBy>
  <cp:lastPrinted>2020-11-26T18:23:00Z</cp:lastPrinted>
  <dcterms:modified xsi:type="dcterms:W3CDTF">2023-12-07T10:10:58Z</dcterms:modified>
  <dc:title>冀招办[2002]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97AE28A8AE3B98B317DF5D64E5A4D8DB</vt:lpwstr>
  </property>
</Properties>
</file>