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auto"/>
          <w:sz w:val="32"/>
          <w:szCs w:val="32"/>
          <w:highlight w:val="none"/>
          <w:lang w:val="en-US" w:eastAsia="zh-CN"/>
        </w:rPr>
      </w:pPr>
      <w:bookmarkStart w:id="0" w:name="_Toc23663"/>
      <w:bookmarkStart w:id="1" w:name="_Toc663"/>
      <w:bookmarkStart w:id="2" w:name="_Toc12242"/>
      <w:bookmarkStart w:id="3" w:name="_Toc16098"/>
      <w:bookmarkStart w:id="4" w:name="_Toc23535"/>
      <w:bookmarkStart w:id="5" w:name="_Toc4830"/>
      <w:bookmarkStart w:id="6" w:name="_Toc9903"/>
      <w:bookmarkStart w:id="7" w:name="_Toc17499"/>
      <w:bookmarkStart w:id="443" w:name="_GoBack"/>
      <w:r>
        <w:rPr>
          <w:rFonts w:hint="eastAsia" w:ascii="方正仿宋_GB2312" w:hAnsi="方正仿宋_GB2312" w:eastAsia="方正仿宋_GB2312" w:cs="方正仿宋_GB2312"/>
          <w:b w:val="0"/>
          <w:bCs w:val="0"/>
          <w:color w:val="auto"/>
          <w:sz w:val="32"/>
          <w:szCs w:val="32"/>
          <w:highlight w:val="none"/>
          <w:lang w:val="en-US" w:eastAsia="zh-CN"/>
        </w:rPr>
        <w:t>项目编号：JTWZ20250104</w:t>
      </w:r>
    </w:p>
    <w:p w14:paraId="63C34150">
      <w:pPr>
        <w:pStyle w:val="3"/>
        <w:rPr>
          <w:rFonts w:hint="eastAsia"/>
          <w:color w:val="auto"/>
          <w:highlight w:val="none"/>
          <w:lang w:val="en-US" w:eastAsia="zh-CN"/>
        </w:rPr>
      </w:pPr>
    </w:p>
    <w:p w14:paraId="41DBCC2C">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四川省交通物资有限责任公司</w:t>
      </w:r>
    </w:p>
    <w:p w14:paraId="702EDA3F">
      <w:pPr>
        <w:jc w:val="center"/>
        <w:rPr>
          <w:rFonts w:hint="default" w:ascii="方正小标宋简体" w:hAnsi="方正小标宋简体" w:eastAsia="方正小标宋简体" w:cs="方正小标宋简体"/>
          <w:b w:val="0"/>
          <w:bCs w:val="0"/>
          <w:color w:val="auto"/>
          <w:sz w:val="24"/>
          <w:szCs w:val="2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专项律师事务所</w:t>
      </w:r>
    </w:p>
    <w:p w14:paraId="1ECADA0F">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14:paraId="0C216AEB">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14:paraId="4BA6DA0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p>
    <w:p w14:paraId="0E574342">
      <w:pPr>
        <w:tabs>
          <w:tab w:val="left" w:pos="6972"/>
        </w:tabs>
        <w:jc w:val="left"/>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ab/>
      </w:r>
    </w:p>
    <w:p w14:paraId="43CCBE9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比</w:t>
      </w:r>
    </w:p>
    <w:p w14:paraId="41677FC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选</w:t>
      </w:r>
    </w:p>
    <w:p w14:paraId="5621BBBA">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文</w:t>
      </w:r>
    </w:p>
    <w:p w14:paraId="68401D1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件</w:t>
      </w:r>
    </w:p>
    <w:p w14:paraId="1E4F2135">
      <w:pPr>
        <w:jc w:val="center"/>
        <w:rPr>
          <w:rFonts w:hint="eastAsia" w:ascii="方正仿宋_GB2312" w:hAnsi="方正仿宋_GB2312" w:eastAsia="方正仿宋_GB2312" w:cs="方正仿宋_GB2312"/>
          <w:b/>
          <w:bCs/>
          <w:color w:val="auto"/>
          <w:sz w:val="32"/>
          <w:szCs w:val="32"/>
          <w:highlight w:val="none"/>
          <w:lang w:val="en-US" w:eastAsia="zh-CN"/>
        </w:rPr>
      </w:pPr>
    </w:p>
    <w:p w14:paraId="404D531A">
      <w:pPr>
        <w:jc w:val="center"/>
        <w:rPr>
          <w:rFonts w:hint="eastAsia" w:ascii="方正仿宋_GB2312" w:hAnsi="方正仿宋_GB2312" w:eastAsia="方正仿宋_GB2312" w:cs="方正仿宋_GB2312"/>
          <w:b/>
          <w:bCs/>
          <w:color w:val="auto"/>
          <w:sz w:val="32"/>
          <w:szCs w:val="32"/>
          <w:highlight w:val="none"/>
          <w:lang w:val="en-US" w:eastAsia="zh-CN"/>
        </w:rPr>
      </w:pPr>
    </w:p>
    <w:p w14:paraId="7A35E059">
      <w:pPr>
        <w:jc w:val="both"/>
        <w:rPr>
          <w:rFonts w:hint="eastAsia" w:ascii="方正仿宋_GB2312" w:hAnsi="方正仿宋_GB2312" w:eastAsia="方正仿宋_GB2312" w:cs="方正仿宋_GB2312"/>
          <w:b/>
          <w:bCs/>
          <w:color w:val="auto"/>
          <w:sz w:val="32"/>
          <w:szCs w:val="32"/>
          <w:highlight w:val="none"/>
          <w:lang w:val="en-US" w:eastAsia="zh-CN"/>
        </w:rPr>
      </w:pPr>
    </w:p>
    <w:p w14:paraId="56F2BFD0">
      <w:pPr>
        <w:jc w:val="center"/>
        <w:rPr>
          <w:rFonts w:hint="default"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比选人：四川省交通物资有限责任公司</w:t>
      </w:r>
    </w:p>
    <w:p w14:paraId="71AE76B2">
      <w:pPr>
        <w:jc w:val="center"/>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二0二五年一月</w:t>
      </w:r>
    </w:p>
    <w:p w14:paraId="4209E1E6">
      <w:pPr>
        <w:jc w:val="center"/>
        <w:rPr>
          <w:rFonts w:hint="eastAsia" w:ascii="仿宋" w:hAnsi="仿宋" w:eastAsia="仿宋" w:cs="仿宋"/>
          <w:b/>
          <w:bCs/>
          <w:color w:val="auto"/>
          <w:sz w:val="36"/>
          <w:szCs w:val="36"/>
          <w:highlight w:val="none"/>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15150002">
      <w:pPr>
        <w:rPr>
          <w:rFonts w:ascii="仿宋" w:hAnsi="仿宋" w:eastAsia="仿宋" w:cs="仿宋"/>
          <w:b/>
          <w:bCs/>
          <w:color w:val="auto"/>
          <w:sz w:val="32"/>
          <w:szCs w:val="32"/>
          <w:highlight w:val="none"/>
        </w:rPr>
      </w:pPr>
    </w:p>
    <w:p w14:paraId="365A4C85">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"_Toc2468"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第一章 比选公告</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p>
    <w:p w14:paraId="37D2550E">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"_Toc8513"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第二章 比选申请人须知</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p>
    <w:p w14:paraId="4465951D">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"_Toc19085"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第三章 比选申请人的资格要求证明材料</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8</w:t>
      </w:r>
      <w:r>
        <w:rPr>
          <w:rFonts w:hint="eastAsia" w:ascii="仿宋" w:hAnsi="仿宋" w:eastAsia="仿宋" w:cs="仿宋"/>
          <w:b/>
          <w:bCs/>
          <w:color w:val="auto"/>
          <w:sz w:val="32"/>
          <w:szCs w:val="32"/>
          <w:highlight w:val="none"/>
          <w:lang w:val="en-US" w:eastAsia="zh-CN" w:bidi="ar-SA"/>
        </w:rPr>
        <w:fldChar w:fldCharType="end"/>
      </w:r>
    </w:p>
    <w:p w14:paraId="5046DDD7">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"_Toc302"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第四章 比选申请书格式</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9</w:t>
      </w:r>
      <w:r>
        <w:rPr>
          <w:rFonts w:hint="eastAsia" w:ascii="仿宋" w:hAnsi="仿宋" w:eastAsia="仿宋" w:cs="仿宋"/>
          <w:b/>
          <w:bCs/>
          <w:color w:val="auto"/>
          <w:sz w:val="32"/>
          <w:szCs w:val="32"/>
          <w:highlight w:val="none"/>
          <w:lang w:val="en-US" w:eastAsia="zh-CN" w:bidi="ar-SA"/>
        </w:rPr>
        <w:fldChar w:fldCharType="end"/>
      </w:r>
    </w:p>
    <w:p w14:paraId="09823CEE">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"_Toc31984"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第五章 项目需求及服务、团队等相关要求</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7</w:t>
      </w:r>
    </w:p>
    <w:p w14:paraId="06D62F28">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"_Toc17709"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第六章 评审方法</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9</w:t>
      </w:r>
    </w:p>
    <w:p w14:paraId="3E39986F">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"_Toc10904"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第七章 主要合同条款（草案）</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2</w:t>
      </w:r>
    </w:p>
    <w:p w14:paraId="7950402D">
      <w:pPr>
        <w:jc w:val="center"/>
        <w:rPr>
          <w:rFonts w:ascii="仿宋_GB2312" w:hAnsi="仿宋_GB2312" w:eastAsia="仿宋_GB2312" w:cs="仿宋_GB2312"/>
          <w:b/>
          <w:bCs/>
          <w:color w:val="auto"/>
          <w:sz w:val="36"/>
          <w:szCs w:val="36"/>
          <w:highlight w:val="none"/>
        </w:rPr>
      </w:pPr>
    </w:p>
    <w:p w14:paraId="73E1CB79">
      <w:pPr>
        <w:rPr>
          <w:rFonts w:ascii="仿宋_GB2312" w:hAnsi="仿宋_GB2312" w:eastAsia="仿宋_GB2312" w:cs="仿宋_GB2312"/>
          <w:b/>
          <w:bCs/>
          <w:color w:val="auto"/>
          <w:sz w:val="32"/>
          <w:szCs w:val="32"/>
          <w:highlight w:val="none"/>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auto"/>
          <w:kern w:val="44"/>
          <w:sz w:val="24"/>
          <w:szCs w:val="24"/>
          <w:highlight w:val="none"/>
          <w:lang w:val="en-US" w:eastAsia="zh-CN" w:bidi="ar-SA"/>
        </w:rPr>
      </w:pPr>
    </w:p>
    <w:p w14:paraId="036230FE">
      <w:pPr>
        <w:spacing w:line="460" w:lineRule="exact"/>
        <w:rPr>
          <w:rFonts w:ascii="仿宋_GB2312" w:hAnsi="仿宋_GB2312" w:eastAsia="仿宋_GB2312" w:cs="仿宋_GB2312"/>
          <w:color w:val="auto"/>
          <w:sz w:val="24"/>
          <w:highlight w:val="none"/>
        </w:rPr>
      </w:pPr>
    </w:p>
    <w:p w14:paraId="13C93B9A">
      <w:pPr>
        <w:spacing w:line="460" w:lineRule="exact"/>
        <w:rPr>
          <w:rFonts w:ascii="仿宋_GB2312" w:hAnsi="仿宋_GB2312" w:eastAsia="仿宋_GB2312" w:cs="仿宋_GB2312"/>
          <w:color w:val="auto"/>
          <w:sz w:val="24"/>
          <w:highlight w:val="none"/>
        </w:rPr>
      </w:pPr>
    </w:p>
    <w:p w14:paraId="2997537D">
      <w:pPr>
        <w:spacing w:line="460" w:lineRule="exact"/>
        <w:rPr>
          <w:rFonts w:ascii="仿宋_GB2312" w:hAnsi="仿宋_GB2312" w:eastAsia="仿宋_GB2312" w:cs="仿宋_GB2312"/>
          <w:color w:val="auto"/>
          <w:sz w:val="24"/>
          <w:highlight w:val="none"/>
        </w:rPr>
      </w:pPr>
    </w:p>
    <w:p w14:paraId="6D305770">
      <w:pPr>
        <w:keepNext/>
        <w:keepLines/>
        <w:widowControl w:val="0"/>
        <w:spacing w:before="340" w:after="330" w:line="460" w:lineRule="exact"/>
        <w:jc w:val="both"/>
        <w:outlineLvl w:val="0"/>
        <w:rPr>
          <w:rFonts w:ascii="仿宋_GB2312" w:hAnsi="仿宋_GB2312" w:eastAsia="仿宋_GB2312" w:cs="仿宋_GB2312"/>
          <w:b/>
          <w:bCs/>
          <w:color w:val="auto"/>
          <w:kern w:val="44"/>
          <w:sz w:val="24"/>
          <w:szCs w:val="24"/>
          <w:highlight w:val="none"/>
          <w:lang w:val="en-US" w:eastAsia="zh-CN" w:bidi="ar-SA"/>
        </w:rPr>
      </w:pPr>
    </w:p>
    <w:p w14:paraId="237581C7">
      <w:pPr>
        <w:spacing w:line="460" w:lineRule="exact"/>
        <w:rPr>
          <w:rFonts w:ascii="仿宋_GB2312" w:hAnsi="仿宋_GB2312" w:eastAsia="仿宋_GB2312" w:cs="仿宋_GB2312"/>
          <w:color w:val="auto"/>
          <w:sz w:val="24"/>
          <w:highlight w:val="none"/>
        </w:rPr>
      </w:pPr>
    </w:p>
    <w:p w14:paraId="58FF94C5">
      <w:pPr>
        <w:spacing w:line="460" w:lineRule="exact"/>
        <w:rPr>
          <w:rFonts w:ascii="仿宋_GB2312" w:hAnsi="仿宋_GB2312" w:eastAsia="仿宋_GB2312" w:cs="仿宋_GB2312"/>
          <w:color w:val="auto"/>
          <w:sz w:val="24"/>
          <w:highlight w:val="none"/>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8" w:name="_Toc31088"/>
      <w:bookmarkStart w:id="9" w:name="_Toc24957"/>
      <w:bookmarkStart w:id="10" w:name="_Toc25176"/>
      <w:bookmarkStart w:id="11" w:name="_Toc2468"/>
      <w:r>
        <w:rPr>
          <w:rFonts w:hint="eastAsia" w:ascii="仿宋_GB2312" w:hAnsi="仿宋_GB2312" w:eastAsia="仿宋_GB2312" w:cs="仿宋_GB2312"/>
          <w:b/>
          <w:bCs/>
          <w:color w:val="auto"/>
          <w:kern w:val="44"/>
          <w:sz w:val="32"/>
          <w:szCs w:val="32"/>
          <w:highlight w:val="none"/>
          <w:lang w:val="en-US" w:eastAsia="zh-CN" w:bidi="ar-SA"/>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auto"/>
          <w:kern w:val="44"/>
          <w:sz w:val="32"/>
          <w:szCs w:val="32"/>
          <w:highlight w:val="none"/>
          <w:lang w:val="en-US" w:eastAsia="zh-CN" w:bidi="ar-SA"/>
        </w:rPr>
        <w:t>公告</w:t>
      </w:r>
    </w:p>
    <w:p w14:paraId="3F57C5E2">
      <w:pPr>
        <w:rPr>
          <w:rFonts w:ascii="仿宋_GB2312" w:hAnsi="仿宋_GB2312" w:eastAsia="仿宋_GB2312" w:cs="仿宋_GB2312"/>
          <w:color w:val="auto"/>
          <w:highlight w:val="none"/>
        </w:rPr>
      </w:pPr>
    </w:p>
    <w:p w14:paraId="6CBCDC6C">
      <w:pPr>
        <w:widowControl w:val="0"/>
        <w:spacing w:after="156" w:afterLines="50" w:line="460" w:lineRule="exact"/>
        <w:ind w:firstLine="482" w:firstLineChars="200"/>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四川省交通物资有限责任公司（以下简称：“比选人”“交通物资公司”或“公司”）</w:t>
      </w:r>
      <w:r>
        <w:rPr>
          <w:rFonts w:hint="eastAsia" w:ascii="仿宋_GB2312" w:hAnsi="仿宋_GB2312" w:eastAsia="仿宋_GB2312" w:cs="仿宋_GB2312"/>
          <w:color w:val="auto"/>
          <w:kern w:val="2"/>
          <w:sz w:val="24"/>
          <w:szCs w:val="24"/>
          <w:highlight w:val="none"/>
          <w:lang w:val="en-US" w:eastAsia="zh-CN" w:bidi="ar-SA"/>
        </w:rPr>
        <w:t xml:space="preserve">公开比选神州国开供应链管理（成都）有限公司合同纠纷案专项律所。根据四川省国资委相关规定、《蜀道投资集团法律事务管理暂行办法》等有关规定，现将公开比选有关事项公告如下： </w:t>
      </w:r>
    </w:p>
    <w:p w14:paraId="14D646E6">
      <w:pPr>
        <w:numPr>
          <w:ilvl w:val="0"/>
          <w:numId w:val="0"/>
        </w:numPr>
        <w:spacing w:line="460" w:lineRule="exact"/>
        <w:rPr>
          <w:rFonts w:ascii="仿宋_GB2312" w:hAnsi="仿宋_GB2312" w:eastAsia="仿宋_GB2312" w:cs="仿宋_GB2312"/>
          <w:b/>
          <w:bCs/>
          <w:color w:val="auto"/>
          <w:sz w:val="24"/>
          <w:highlight w:val="none"/>
        </w:rPr>
      </w:pPr>
      <w:bookmarkStart w:id="12" w:name="_Toc26286"/>
      <w:bookmarkStart w:id="13" w:name="_Toc22141"/>
      <w:bookmarkStart w:id="14" w:name="_Toc13534"/>
      <w:r>
        <w:rPr>
          <w:rFonts w:hint="eastAsia" w:ascii="仿宋_GB2312" w:hAnsi="仿宋_GB2312" w:eastAsia="仿宋_GB2312" w:cs="仿宋_GB2312"/>
          <w:b/>
          <w:bCs/>
          <w:color w:val="auto"/>
          <w:kern w:val="2"/>
          <w:sz w:val="24"/>
          <w:szCs w:val="24"/>
          <w:highlight w:val="none"/>
          <w:lang w:val="en-US" w:eastAsia="zh-CN" w:bidi="ar-SA"/>
        </w:rPr>
        <w:t>一、</w:t>
      </w:r>
      <w:r>
        <w:rPr>
          <w:rFonts w:hint="eastAsia" w:ascii="仿宋_GB2312" w:hAnsi="仿宋_GB2312" w:eastAsia="仿宋_GB2312" w:cs="仿宋_GB2312"/>
          <w:b/>
          <w:bCs/>
          <w:color w:val="auto"/>
          <w:sz w:val="24"/>
          <w:highlight w:val="none"/>
        </w:rPr>
        <w:t>项目名称：</w:t>
      </w:r>
      <w:bookmarkEnd w:id="12"/>
      <w:bookmarkEnd w:id="13"/>
      <w:bookmarkEnd w:id="14"/>
    </w:p>
    <w:p w14:paraId="60D56BE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kern w:val="2"/>
          <w:sz w:val="24"/>
          <w:szCs w:val="24"/>
          <w:highlight w:val="none"/>
          <w:lang w:val="en-US" w:eastAsia="zh-CN" w:bidi="ar-SA"/>
        </w:rPr>
        <w:t>神州国开供应链管理（成都）有限公司合同纠纷案专项律所公开</w:t>
      </w:r>
      <w:r>
        <w:rPr>
          <w:rFonts w:hint="eastAsia" w:ascii="仿宋_GB2312" w:hAnsi="仿宋_GB2312" w:eastAsia="仿宋_GB2312" w:cs="仿宋_GB2312"/>
          <w:color w:val="auto"/>
          <w:sz w:val="24"/>
          <w:highlight w:val="none"/>
        </w:rPr>
        <w:t>选聘项目。</w:t>
      </w:r>
    </w:p>
    <w:p w14:paraId="6EB61215">
      <w:pPr>
        <w:numPr>
          <w:ilvl w:val="0"/>
          <w:numId w:val="0"/>
        </w:numPr>
        <w:spacing w:line="460" w:lineRule="exact"/>
        <w:rPr>
          <w:rFonts w:ascii="仿宋_GB2312" w:hAnsi="仿宋_GB2312" w:eastAsia="仿宋_GB2312" w:cs="仿宋_GB2312"/>
          <w:b/>
          <w:color w:val="auto"/>
          <w:sz w:val="24"/>
          <w:highlight w:val="none"/>
        </w:rPr>
      </w:pPr>
      <w:bookmarkStart w:id="15" w:name="_Toc31392"/>
      <w:bookmarkStart w:id="16" w:name="_Toc25535"/>
      <w:bookmarkStart w:id="17" w:name="_Toc22566"/>
      <w:r>
        <w:rPr>
          <w:rFonts w:hint="eastAsia" w:ascii="仿宋_GB2312" w:hAnsi="仿宋_GB2312" w:eastAsia="仿宋_GB2312" w:cs="仿宋_GB2312"/>
          <w:b/>
          <w:color w:val="auto"/>
          <w:kern w:val="2"/>
          <w:sz w:val="24"/>
          <w:szCs w:val="24"/>
          <w:highlight w:val="none"/>
          <w:lang w:val="en-US" w:eastAsia="zh-CN" w:bidi="ar-SA"/>
        </w:rPr>
        <w:t>二、</w:t>
      </w:r>
      <w:r>
        <w:rPr>
          <w:rFonts w:hint="eastAsia" w:ascii="仿宋_GB2312" w:hAnsi="仿宋_GB2312" w:eastAsia="仿宋_GB2312" w:cs="仿宋_GB2312"/>
          <w:b/>
          <w:color w:val="auto"/>
          <w:sz w:val="24"/>
          <w:highlight w:val="none"/>
        </w:rPr>
        <w:t>资金来源：</w:t>
      </w:r>
      <w:bookmarkEnd w:id="15"/>
      <w:bookmarkEnd w:id="16"/>
      <w:bookmarkEnd w:id="17"/>
    </w:p>
    <w:p w14:paraId="209C62E2">
      <w:pPr>
        <w:spacing w:line="460" w:lineRule="exact"/>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自筹资金。</w:t>
      </w:r>
    </w:p>
    <w:p w14:paraId="04C7FAC4">
      <w:pPr>
        <w:spacing w:line="460" w:lineRule="exact"/>
        <w:rPr>
          <w:rFonts w:ascii="仿宋_GB2312" w:hAnsi="仿宋_GB2312" w:eastAsia="仿宋_GB2312" w:cs="仿宋_GB2312"/>
          <w:b/>
          <w:bCs/>
          <w:color w:val="auto"/>
          <w:sz w:val="24"/>
          <w:highlight w:val="none"/>
        </w:rPr>
      </w:pPr>
      <w:bookmarkStart w:id="18" w:name="_Toc4797"/>
      <w:bookmarkStart w:id="19" w:name="_Toc30655"/>
      <w:bookmarkStart w:id="20" w:name="_Toc6088"/>
      <w:r>
        <w:rPr>
          <w:rFonts w:hint="eastAsia" w:ascii="仿宋_GB2312" w:hAnsi="仿宋_GB2312" w:eastAsia="仿宋_GB2312" w:cs="仿宋_GB2312"/>
          <w:b/>
          <w:bCs/>
          <w:color w:val="auto"/>
          <w:sz w:val="24"/>
          <w:highlight w:val="none"/>
        </w:rPr>
        <w:t>三、比选项目简介：</w:t>
      </w:r>
      <w:bookmarkEnd w:id="18"/>
      <w:bookmarkEnd w:id="19"/>
      <w:bookmarkEnd w:id="20"/>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10"/>
        <w:gridCol w:w="2610"/>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vAlign w:val="center"/>
          </w:tcPr>
          <w:p w14:paraId="3D25B48F">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610" w:type="dxa"/>
            <w:vAlign w:val="center"/>
          </w:tcPr>
          <w:p w14:paraId="77514EDF">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tc>
        <w:tc>
          <w:tcPr>
            <w:tcW w:w="2610" w:type="dxa"/>
            <w:vAlign w:val="center"/>
          </w:tcPr>
          <w:p w14:paraId="29B46FB6">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66" w:type="dxa"/>
            <w:vAlign w:val="center"/>
          </w:tcPr>
          <w:p w14:paraId="77C4F688">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w:t>
            </w:r>
          </w:p>
          <w:p w14:paraId="235DE789">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神州国开供应链管理（成都）有限公司</w:t>
            </w:r>
            <w:r>
              <w:rPr>
                <w:rFonts w:hint="eastAsia" w:ascii="仿宋_GB2312" w:hAnsi="仿宋_GB2312" w:eastAsia="仿宋_GB2312" w:cs="仿宋_GB2312"/>
                <w:color w:val="auto"/>
                <w:sz w:val="24"/>
                <w:highlight w:val="none"/>
                <w:lang w:val="en-US" w:eastAsia="zh-CN"/>
              </w:rPr>
              <w:t>合同纠纷案专项律所公开</w:t>
            </w:r>
            <w:r>
              <w:rPr>
                <w:rFonts w:hint="eastAsia" w:ascii="仿宋_GB2312" w:hAnsi="仿宋_GB2312" w:eastAsia="仿宋_GB2312" w:cs="仿宋_GB2312"/>
                <w:color w:val="auto"/>
                <w:sz w:val="24"/>
                <w:highlight w:val="none"/>
              </w:rPr>
              <w:t>选聘项目</w:t>
            </w:r>
          </w:p>
        </w:tc>
        <w:tc>
          <w:tcPr>
            <w:tcW w:w="2610" w:type="dxa"/>
            <w:vAlign w:val="center"/>
          </w:tcPr>
          <w:p w14:paraId="37195F98">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15万元</w:t>
            </w:r>
          </w:p>
        </w:tc>
        <w:tc>
          <w:tcPr>
            <w:tcW w:w="2610" w:type="dxa"/>
            <w:vAlign w:val="center"/>
          </w:tcPr>
          <w:p w14:paraId="3317AFE2">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JTWZ20250104</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具体内容详见本比选文件第五章。</w:t>
            </w:r>
          </w:p>
        </w:tc>
      </w:tr>
    </w:tbl>
    <w:p w14:paraId="0AE516E1">
      <w:pPr>
        <w:numPr>
          <w:ilvl w:val="0"/>
          <w:numId w:val="0"/>
        </w:numPr>
        <w:spacing w:line="460" w:lineRule="exact"/>
        <w:rPr>
          <w:rFonts w:ascii="仿宋_GB2312" w:hAnsi="仿宋_GB2312" w:eastAsia="仿宋_GB2312" w:cs="仿宋_GB2312"/>
          <w:b/>
          <w:bCs/>
          <w:color w:val="auto"/>
          <w:sz w:val="24"/>
          <w:highlight w:val="none"/>
        </w:rPr>
      </w:pPr>
      <w:bookmarkStart w:id="21" w:name="_Toc9252"/>
      <w:bookmarkStart w:id="22" w:name="_Toc28898"/>
      <w:bookmarkStart w:id="23" w:name="_Toc8827"/>
      <w:r>
        <w:rPr>
          <w:rFonts w:hint="eastAsia" w:ascii="仿宋_GB2312" w:hAnsi="仿宋_GB2312" w:eastAsia="仿宋_GB2312" w:cs="仿宋_GB2312"/>
          <w:b/>
          <w:bCs/>
          <w:color w:val="auto"/>
          <w:kern w:val="2"/>
          <w:sz w:val="24"/>
          <w:szCs w:val="24"/>
          <w:highlight w:val="none"/>
          <w:lang w:val="en-US" w:eastAsia="zh-CN" w:bidi="ar-SA"/>
        </w:rPr>
        <w:t>四、</w:t>
      </w:r>
      <w:r>
        <w:rPr>
          <w:rFonts w:hint="eastAsia" w:ascii="仿宋_GB2312" w:hAnsi="仿宋_GB2312" w:eastAsia="仿宋_GB2312" w:cs="仿宋_GB2312"/>
          <w:b/>
          <w:bCs/>
          <w:color w:val="auto"/>
          <w:sz w:val="24"/>
          <w:highlight w:val="none"/>
        </w:rPr>
        <w:t>对比选申请人的资格要求：</w:t>
      </w:r>
      <w:bookmarkEnd w:id="21"/>
      <w:bookmarkEnd w:id="22"/>
      <w:bookmarkEnd w:id="23"/>
    </w:p>
    <w:p w14:paraId="116D425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（二）人员要求：在四川省内具有常设机构，机构应拥有</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0名以上的注册专职律师（提供证明文件）；能够组建相对固定且不少于</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人的律师团队（不含实习律师、律师助理），律师应具有司法行政主管部门颁发的《律师执业证》，执业时间3年以上，合法有效且年检合格</w:t>
      </w:r>
      <w:r>
        <w:rPr>
          <w:rFonts w:hint="eastAsia" w:ascii="仿宋_GB2312" w:hAnsi="仿宋_GB2312" w:eastAsia="仿宋_GB2312" w:cs="仿宋_GB2312"/>
          <w:color w:val="auto"/>
          <w:sz w:val="24"/>
          <w:highlight w:val="none"/>
          <w:lang w:eastAsia="zh-CN"/>
        </w:rPr>
        <w:t>；</w:t>
      </w:r>
    </w:p>
    <w:p w14:paraId="500B07E2">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（三）信誉要求：信誉良好，比选申请人及其执业律师最近3年内未受到司法行政部门的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w:t>
      </w:r>
      <w:r>
        <w:rPr>
          <w:rFonts w:hint="eastAsia" w:ascii="仿宋_GB2312" w:hAnsi="仿宋_GB2312" w:eastAsia="仿宋_GB2312" w:cs="仿宋_GB2312"/>
          <w:color w:val="auto"/>
          <w:sz w:val="24"/>
          <w:highlight w:val="none"/>
          <w:lang w:val="en-US" w:eastAsia="zh-CN"/>
        </w:rPr>
        <w:t>最近3年内</w:t>
      </w:r>
      <w:r>
        <w:rPr>
          <w:rFonts w:hint="eastAsia" w:ascii="仿宋_GB2312" w:hAnsi="仿宋_GB2312" w:eastAsia="仿宋_GB2312" w:cs="仿宋_GB2312"/>
          <w:color w:val="auto"/>
          <w:sz w:val="24"/>
          <w:highlight w:val="none"/>
        </w:rPr>
        <w:t>法律服务未因重大执业质量等问题受到省国资委的通报（提供网页查询截图）；</w:t>
      </w:r>
    </w:p>
    <w:p w14:paraId="4F4EE9D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（四）财务要求：财务状况良好，近</w:t>
      </w:r>
      <w:r>
        <w:rPr>
          <w:rFonts w:hint="eastAsia" w:ascii="仿宋_GB2312" w:hAnsi="仿宋_GB2312" w:eastAsia="仿宋_GB2312" w:cs="仿宋_GB2312"/>
          <w:color w:val="auto"/>
          <w:sz w:val="24"/>
          <w:highlight w:val="none"/>
          <w:lang w:eastAsia="zh-CN"/>
        </w:rPr>
        <w:t>3年无亏损</w:t>
      </w:r>
      <w:r>
        <w:rPr>
          <w:rFonts w:hint="eastAsia" w:ascii="仿宋_GB2312" w:hAnsi="仿宋_GB2312" w:eastAsia="仿宋_GB2312" w:cs="仿宋_GB2312"/>
          <w:color w:val="auto"/>
          <w:sz w:val="24"/>
          <w:highlight w:val="none"/>
        </w:rPr>
        <w:t>（提供最近年度经审计后年度财务审计报告）；</w:t>
      </w:r>
    </w:p>
    <w:p w14:paraId="23A8E9D1">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）本项目不接受联合体投标</w:t>
      </w:r>
      <w:r>
        <w:rPr>
          <w:rFonts w:hint="eastAsia" w:ascii="仿宋_GB2312" w:hAnsi="仿宋_GB2312" w:eastAsia="仿宋_GB2312" w:cs="仿宋_GB2312"/>
          <w:color w:val="auto"/>
          <w:sz w:val="24"/>
          <w:highlight w:val="none"/>
          <w:lang w:eastAsia="zh-CN"/>
        </w:rPr>
        <w:t>。</w:t>
      </w:r>
    </w:p>
    <w:p w14:paraId="6E391505">
      <w:pPr>
        <w:spacing w:line="460" w:lineRule="exact"/>
        <w:rPr>
          <w:rFonts w:ascii="仿宋_GB2312" w:hAnsi="仿宋_GB2312" w:eastAsia="仿宋_GB2312" w:cs="仿宋_GB2312"/>
          <w:b/>
          <w:bCs/>
          <w:color w:val="auto"/>
          <w:sz w:val="24"/>
          <w:highlight w:val="none"/>
        </w:rPr>
      </w:pPr>
      <w:bookmarkStart w:id="24" w:name="_Toc8257"/>
      <w:bookmarkStart w:id="25" w:name="_Toc24559"/>
      <w:bookmarkStart w:id="26" w:name="_Toc8698"/>
      <w:r>
        <w:rPr>
          <w:rFonts w:hint="eastAsia" w:ascii="仿宋_GB2312" w:hAnsi="仿宋_GB2312" w:eastAsia="仿宋_GB2312" w:cs="仿宋_GB2312"/>
          <w:b/>
          <w:bCs/>
          <w:color w:val="auto"/>
          <w:sz w:val="24"/>
          <w:highlight w:val="none"/>
        </w:rPr>
        <w:t>五、比选文件获取时间及地点</w:t>
      </w:r>
      <w:bookmarkEnd w:id="24"/>
      <w:bookmarkEnd w:id="25"/>
      <w:bookmarkEnd w:id="26"/>
    </w:p>
    <w:p w14:paraId="178680E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1.获取比选文件</w:t>
      </w:r>
      <w:r>
        <w:rPr>
          <w:rFonts w:hint="eastAsia" w:ascii="仿宋_GB2312" w:hAnsi="仿宋_GB2312" w:eastAsia="仿宋_GB2312" w:cs="仿宋_GB2312"/>
          <w:color w:val="auto"/>
          <w:sz w:val="24"/>
          <w:highlight w:val="none"/>
        </w:rPr>
        <w:t>时间：自</w:t>
      </w:r>
      <w:r>
        <w:rPr>
          <w:rFonts w:hint="eastAsia" w:ascii="仿宋_GB2312" w:hAnsi="仿宋_GB2312" w:eastAsia="仿宋_GB2312" w:cs="仿宋_GB2312"/>
          <w:color w:val="auto"/>
          <w:sz w:val="24"/>
          <w:highlight w:val="none"/>
          <w:lang w:val="en-US" w:eastAsia="zh-CN"/>
        </w:rPr>
        <w:t>2025年1月21日</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6日9:00前</w:t>
      </w:r>
      <w:r>
        <w:rPr>
          <w:rFonts w:hint="eastAsia" w:ascii="仿宋_GB2312" w:hAnsi="仿宋_GB2312" w:eastAsia="仿宋_GB2312" w:cs="仿宋_GB2312"/>
          <w:color w:val="auto"/>
          <w:sz w:val="24"/>
          <w:highlight w:val="none"/>
        </w:rPr>
        <w:t>。</w:t>
      </w:r>
    </w:p>
    <w:p w14:paraId="2DA49C0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2.比选文件获取方式：本次比选公告在四川蜀道物流集团有限公司网站（https://www.shudaowl.com/xwzx/jtyw/index.shtml）和四川蜀物智采平台（https://scjt.tabe.cn/）发布。比选申请人通过指定网站自行下载。</w:t>
      </w:r>
    </w:p>
    <w:p w14:paraId="57EEC916">
      <w:pPr>
        <w:spacing w:line="460" w:lineRule="exact"/>
        <w:rPr>
          <w:rFonts w:ascii="仿宋_GB2312" w:hAnsi="仿宋_GB2312" w:eastAsia="仿宋_GB2312" w:cs="仿宋_GB2312"/>
          <w:b/>
          <w:bCs/>
          <w:color w:val="auto"/>
          <w:sz w:val="24"/>
          <w:highlight w:val="none"/>
        </w:rPr>
      </w:pPr>
      <w:bookmarkStart w:id="27" w:name="_Toc17101"/>
      <w:bookmarkStart w:id="28" w:name="_Toc6668"/>
      <w:bookmarkStart w:id="29" w:name="_Toc10949"/>
      <w:r>
        <w:rPr>
          <w:rFonts w:hint="eastAsia" w:ascii="仿宋_GB2312" w:hAnsi="仿宋_GB2312" w:eastAsia="仿宋_GB2312" w:cs="仿宋_GB2312"/>
          <w:b/>
          <w:bCs/>
          <w:color w:val="auto"/>
          <w:sz w:val="24"/>
          <w:highlight w:val="none"/>
        </w:rPr>
        <w:t>六、比选申请书的递交：</w:t>
      </w:r>
      <w:bookmarkEnd w:id="27"/>
      <w:bookmarkEnd w:id="28"/>
      <w:bookmarkEnd w:id="29"/>
    </w:p>
    <w:p w14:paraId="24E3444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1.递交比选申请书</w:t>
      </w:r>
      <w:r>
        <w:rPr>
          <w:rFonts w:hint="eastAsia" w:ascii="仿宋_GB2312" w:hAnsi="仿宋_GB2312" w:eastAsia="仿宋_GB2312" w:cs="仿宋_GB2312"/>
          <w:color w:val="auto"/>
          <w:sz w:val="24"/>
          <w:highlight w:val="none"/>
          <w:lang w:val="en-US" w:eastAsia="zh-CN"/>
        </w:rPr>
        <w:t>递交</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2月6日11：00至</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0（北京时间）。</w:t>
      </w:r>
    </w:p>
    <w:p w14:paraId="437A65B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2.递交比选申请书地点：四川省成都市青羊区光华北五路266号青羊总部经济基地2号楼A座6楼。</w:t>
      </w:r>
    </w:p>
    <w:p w14:paraId="5660DA5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3.逾期送达或者未送达指定地点的比选申请书，比选人将不予接收。</w:t>
      </w:r>
    </w:p>
    <w:p w14:paraId="1DA9A30D">
      <w:pPr>
        <w:spacing w:line="460" w:lineRule="exact"/>
        <w:rPr>
          <w:rFonts w:ascii="仿宋_GB2312" w:hAnsi="仿宋_GB2312" w:eastAsia="仿宋_GB2312" w:cs="仿宋_GB2312"/>
          <w:b/>
          <w:bCs/>
          <w:color w:val="auto"/>
          <w:sz w:val="24"/>
          <w:highlight w:val="none"/>
        </w:rPr>
      </w:pPr>
      <w:bookmarkStart w:id="30" w:name="_Toc44"/>
      <w:bookmarkStart w:id="31" w:name="_Toc11556"/>
      <w:bookmarkStart w:id="32" w:name="_Toc3060"/>
      <w:r>
        <w:rPr>
          <w:rFonts w:hint="eastAsia" w:ascii="仿宋_GB2312" w:hAnsi="仿宋_GB2312" w:eastAsia="仿宋_GB2312" w:cs="仿宋_GB2312"/>
          <w:b/>
          <w:bCs/>
          <w:color w:val="auto"/>
          <w:sz w:val="24"/>
          <w:highlight w:val="none"/>
        </w:rPr>
        <w:t>七、比选结果</w:t>
      </w:r>
      <w:bookmarkEnd w:id="30"/>
      <w:bookmarkEnd w:id="31"/>
      <w:bookmarkEnd w:id="32"/>
      <w:r>
        <w:rPr>
          <w:rFonts w:hint="eastAsia" w:ascii="仿宋_GB2312" w:hAnsi="仿宋_GB2312" w:eastAsia="仿宋_GB2312" w:cs="仿宋_GB2312"/>
          <w:b/>
          <w:bCs/>
          <w:color w:val="auto"/>
          <w:sz w:val="24"/>
          <w:highlight w:val="none"/>
        </w:rPr>
        <w:t>公示</w:t>
      </w:r>
    </w:p>
    <w:p w14:paraId="036326AF">
      <w:pPr>
        <w:spacing w:line="460" w:lineRule="exact"/>
        <w:ind w:firstLine="480" w:firstLineChars="200"/>
        <w:rPr>
          <w:rFonts w:ascii="仿宋_GB2312" w:hAnsi="仿宋_GB2312" w:eastAsia="仿宋_GB2312" w:cs="仿宋_GB2312"/>
          <w:color w:val="auto"/>
          <w:sz w:val="24"/>
          <w:highlight w:val="none"/>
        </w:rPr>
      </w:pPr>
      <w:bookmarkStart w:id="33" w:name="_Toc27109"/>
      <w:bookmarkStart w:id="34" w:name="_Toc3220"/>
      <w:bookmarkStart w:id="35" w:name="_Toc20715"/>
      <w:r>
        <w:rPr>
          <w:rFonts w:hint="eastAsia" w:ascii="仿宋_GB2312" w:hAnsi="仿宋_GB2312" w:eastAsia="仿宋_GB2312" w:cs="仿宋_GB2312"/>
          <w:color w:val="auto"/>
          <w:sz w:val="24"/>
          <w:highlight w:val="none"/>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3BD4A4FF">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八、联系方式</w:t>
      </w:r>
      <w:bookmarkEnd w:id="33"/>
      <w:bookmarkEnd w:id="34"/>
      <w:bookmarkEnd w:id="35"/>
    </w:p>
    <w:p w14:paraId="6E25387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602286FE">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地址：四川省成都市青羊区光华北五路266号青羊总部经济基地2号楼A座6楼</w:t>
      </w:r>
    </w:p>
    <w:p w14:paraId="181AF80B">
      <w:pPr>
        <w:spacing w:line="46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铁女士</w:t>
      </w:r>
    </w:p>
    <w:p w14:paraId="66CDC47A">
      <w:pPr>
        <w:spacing w:line="460" w:lineRule="exact"/>
        <w:ind w:firstLine="480" w:firstLineChars="200"/>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13982236636</w:t>
      </w:r>
    </w:p>
    <w:p w14:paraId="46AF576A">
      <w:pPr>
        <w:spacing w:line="460" w:lineRule="exact"/>
        <w:jc w:val="righ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0369F457">
      <w:pPr>
        <w:wordWrap w:val="0"/>
        <w:spacing w:line="460" w:lineRule="exact"/>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 xml:space="preserve">日       </w:t>
      </w:r>
    </w:p>
    <w:p w14:paraId="756CD0BD">
      <w:pPr>
        <w:spacing w:line="460" w:lineRule="exact"/>
        <w:jc w:val="center"/>
        <w:rPr>
          <w:rFonts w:ascii="仿宋_GB2312" w:hAnsi="仿宋_GB2312" w:eastAsia="仿宋_GB2312" w:cs="仿宋_GB2312"/>
          <w:color w:val="auto"/>
          <w:sz w:val="24"/>
          <w:szCs w:val="24"/>
          <w:highlight w:val="none"/>
        </w:rPr>
        <w:sectPr>
          <w:footerReference r:id="rId5" w:type="default"/>
          <w:pgSz w:w="11906" w:h="16838"/>
          <w:pgMar w:top="1134" w:right="1134" w:bottom="1134" w:left="1418" w:header="851" w:footer="992" w:gutter="0"/>
          <w:pgNumType w:fmt="numberInDash" w:start="1"/>
          <w:cols w:space="720" w:num="1"/>
          <w:docGrid w:type="lines" w:linePitch="312" w:charSpace="0"/>
        </w:sectPr>
      </w:pPr>
      <w:bookmarkStart w:id="36" w:name="_Toc10831"/>
      <w:bookmarkStart w:id="37" w:name="_Toc15543"/>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38" w:name="_Toc32694"/>
      <w:bookmarkStart w:id="39" w:name="_Toc2958"/>
      <w:bookmarkStart w:id="40" w:name="_Toc12159"/>
      <w:bookmarkStart w:id="41" w:name="_Toc29401"/>
      <w:bookmarkStart w:id="42" w:name="_Toc28084"/>
      <w:bookmarkStart w:id="43" w:name="_Toc18098"/>
      <w:bookmarkStart w:id="44" w:name="_Toc8513"/>
      <w:bookmarkStart w:id="45" w:name="_Toc11789"/>
      <w:bookmarkStart w:id="46" w:name="_Toc28121"/>
      <w:bookmarkStart w:id="47" w:name="_Toc11060"/>
      <w:r>
        <w:rPr>
          <w:rFonts w:hint="eastAsia" w:ascii="仿宋_GB2312" w:hAnsi="仿宋_GB2312" w:eastAsia="仿宋_GB2312" w:cs="仿宋_GB2312"/>
          <w:b/>
          <w:bCs/>
          <w:color w:val="auto"/>
          <w:kern w:val="44"/>
          <w:sz w:val="32"/>
          <w:szCs w:val="32"/>
          <w:highlight w:val="none"/>
          <w:lang w:val="en-US" w:eastAsia="zh-CN" w:bidi="ar-SA"/>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bookmarkStart w:id="48" w:name="_Toc20515"/>
      <w:bookmarkStart w:id="49" w:name="_Toc29372"/>
      <w:bookmarkStart w:id="50" w:name="_Toc13191"/>
      <w:bookmarkStart w:id="51" w:name="_Toc7543"/>
      <w:bookmarkStart w:id="52" w:name="_Toc28840"/>
      <w:r>
        <w:rPr>
          <w:rFonts w:hint="eastAsia" w:ascii="仿宋_GB2312" w:hAnsi="仿宋_GB2312" w:eastAsia="仿宋_GB2312" w:cs="仿宋_GB2312"/>
          <w:b/>
          <w:bCs/>
          <w:color w:val="auto"/>
          <w:kern w:val="28"/>
          <w:sz w:val="24"/>
          <w:szCs w:val="24"/>
          <w:highlight w:val="none"/>
          <w:lang w:val="en-US" w:eastAsia="zh-CN" w:bidi="ar-SA"/>
        </w:rPr>
        <w:t>一、比选申请人须知前附表</w:t>
      </w:r>
      <w:bookmarkEnd w:id="48"/>
      <w:bookmarkEnd w:id="49"/>
      <w:bookmarkEnd w:id="50"/>
      <w:bookmarkEnd w:id="51"/>
      <w:bookmarkEnd w:id="52"/>
    </w:p>
    <w:tbl>
      <w:tblPr>
        <w:tblStyle w:val="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392" w:type="dxa"/>
            <w:vAlign w:val="center"/>
          </w:tcPr>
          <w:p w14:paraId="3149A01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c>
          <w:tcPr>
            <w:tcW w:w="6662" w:type="dxa"/>
            <w:vAlign w:val="center"/>
          </w:tcPr>
          <w:p w14:paraId="379BADE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392" w:type="dxa"/>
            <w:vAlign w:val="center"/>
          </w:tcPr>
          <w:p w14:paraId="258DB5C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p>
        </w:tc>
        <w:tc>
          <w:tcPr>
            <w:tcW w:w="6662" w:type="dxa"/>
            <w:vAlign w:val="center"/>
          </w:tcPr>
          <w:p w14:paraId="65A64BE9">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454FF376">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楼</w:t>
            </w:r>
          </w:p>
          <w:p w14:paraId="11125D04">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 xml:space="preserve">铁女士 </w:t>
            </w:r>
            <w:r>
              <w:rPr>
                <w:rFonts w:hint="eastAsia" w:ascii="仿宋_GB2312" w:hAnsi="仿宋_GB2312" w:eastAsia="仿宋_GB2312" w:cs="仿宋_GB2312"/>
                <w:color w:val="auto"/>
                <w:sz w:val="24"/>
                <w:highlight w:val="none"/>
                <w:lang w:val="en-US" w:eastAsia="zh-CN"/>
              </w:rPr>
              <w:t xml:space="preserve"> </w:t>
            </w:r>
          </w:p>
          <w:p w14:paraId="1199C943">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13982236636</w:t>
            </w:r>
          </w:p>
          <w:p w14:paraId="28DACB98">
            <w:pPr>
              <w:pStyle w:val="2"/>
              <w:rPr>
                <w:rFonts w:hint="default"/>
                <w:color w:val="auto"/>
                <w:highlight w:val="none"/>
                <w:lang w:val="en-US" w:eastAsia="zh-CN"/>
              </w:rPr>
            </w:pPr>
            <w:r>
              <w:rPr>
                <w:rFonts w:hint="eastAsia" w:ascii="仿宋_GB2312" w:hAnsi="仿宋_GB2312" w:eastAsia="仿宋_GB2312" w:cs="仿宋_GB2312"/>
                <w:color w:val="auto"/>
                <w:sz w:val="24"/>
                <w:highlight w:val="none"/>
                <w:lang w:val="en-US" w:eastAsia="zh-CN"/>
              </w:rPr>
              <w:t>电子邮箱：67316782</w:t>
            </w:r>
            <w:r>
              <w:rPr>
                <w:rFonts w:hint="eastAsia" w:ascii="方正小标宋简体" w:hAnsi="方正小标宋简体" w:eastAsia="方正小标宋简体" w:cs="方正小标宋简体"/>
                <w:color w:val="auto"/>
                <w:sz w:val="24"/>
                <w:highlight w:val="none"/>
              </w:rPr>
              <w:t>@</w:t>
            </w:r>
            <w:r>
              <w:rPr>
                <w:rFonts w:hint="eastAsia" w:ascii="仿宋_GB2312" w:hAnsi="仿宋_GB2312" w:eastAsia="仿宋_GB2312" w:cs="仿宋_GB2312"/>
                <w:color w:val="auto"/>
                <w:sz w:val="24"/>
                <w:highlight w:val="none"/>
                <w:lang w:val="en-US" w:eastAsia="zh-CN"/>
              </w:rPr>
              <w:t>qq</w:t>
            </w:r>
            <w:r>
              <w:rPr>
                <w:rFonts w:hint="eastAsia" w:ascii="仿宋_GB2312" w:hAnsi="仿宋_GB2312" w:eastAsia="仿宋_GB2312" w:cs="仿宋_GB2312"/>
                <w:color w:val="auto"/>
                <w:sz w:val="24"/>
                <w:highlight w:val="none"/>
              </w:rPr>
              <w:t>.com</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392" w:type="dxa"/>
            <w:vAlign w:val="center"/>
          </w:tcPr>
          <w:p w14:paraId="13E9E14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662" w:type="dxa"/>
            <w:vAlign w:val="center"/>
          </w:tcPr>
          <w:p w14:paraId="29C337B1">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四川省交通物资有限责任公司神州国开供应链管理（成都）有限公司</w:t>
            </w:r>
            <w:r>
              <w:rPr>
                <w:rFonts w:hint="eastAsia" w:ascii="仿宋_GB2312" w:hAnsi="仿宋_GB2312" w:eastAsia="仿宋_GB2312" w:cs="仿宋_GB2312"/>
                <w:color w:val="auto"/>
                <w:kern w:val="2"/>
                <w:sz w:val="24"/>
                <w:szCs w:val="24"/>
                <w:highlight w:val="none"/>
                <w:lang w:val="en-US" w:eastAsia="zh-CN" w:bidi="ar-SA"/>
              </w:rPr>
              <w:t>合同纠纷案专项律所公开</w:t>
            </w:r>
            <w:r>
              <w:rPr>
                <w:rFonts w:hint="eastAsia" w:ascii="仿宋_GB2312" w:hAnsi="仿宋_GB2312" w:eastAsia="仿宋_GB2312" w:cs="仿宋_GB2312"/>
                <w:color w:val="auto"/>
                <w:sz w:val="24"/>
                <w:highlight w:val="none"/>
              </w:rPr>
              <w:t>选聘项目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392" w:type="dxa"/>
            <w:vAlign w:val="center"/>
          </w:tcPr>
          <w:p w14:paraId="47988A3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比选申请书的</w:t>
            </w:r>
          </w:p>
          <w:p w14:paraId="375A7EE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印制和签署</w:t>
            </w:r>
          </w:p>
          <w:p w14:paraId="0CC97044">
            <w:pPr>
              <w:spacing w:line="460" w:lineRule="exact"/>
              <w:jc w:val="center"/>
              <w:rPr>
                <w:rFonts w:ascii="仿宋_GB2312" w:hAnsi="仿宋_GB2312" w:eastAsia="仿宋_GB2312" w:cs="仿宋_GB2312"/>
                <w:color w:val="auto"/>
                <w:sz w:val="24"/>
                <w:highlight w:val="none"/>
              </w:rPr>
            </w:pPr>
          </w:p>
        </w:tc>
        <w:tc>
          <w:tcPr>
            <w:tcW w:w="6662" w:type="dxa"/>
            <w:vAlign w:val="center"/>
          </w:tcPr>
          <w:p w14:paraId="42CBEE5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比选申请书数量：</w:t>
            </w:r>
            <w:r>
              <w:rPr>
                <w:rFonts w:hint="eastAsia" w:ascii="仿宋_GB2312" w:hAnsi="仿宋_GB2312" w:eastAsia="仿宋_GB2312" w:cs="仿宋_GB2312"/>
                <w:color w:val="auto"/>
                <w:sz w:val="24"/>
                <w:highlight w:val="none"/>
              </w:rPr>
              <w:t>正本壹份，副本壹份</w:t>
            </w:r>
          </w:p>
          <w:p w14:paraId="2C113E55">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制作要求：</w:t>
            </w:r>
            <w:r>
              <w:rPr>
                <w:rFonts w:hint="eastAsia" w:ascii="仿宋_GB2312" w:hAnsi="仿宋_GB2312" w:eastAsia="仿宋_GB2312" w:cs="仿宋_GB2312"/>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589752D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392" w:type="dxa"/>
            <w:vAlign w:val="center"/>
          </w:tcPr>
          <w:p w14:paraId="48383B86">
            <w:pPr>
              <w:spacing w:line="460" w:lineRule="exact"/>
              <w:jc w:val="center"/>
              <w:rPr>
                <w:rFonts w:ascii="仿宋_GB2312" w:hAnsi="仿宋_GB2312" w:eastAsia="仿宋_GB2312" w:cs="仿宋_GB2312"/>
                <w:color w:val="auto"/>
                <w:sz w:val="24"/>
                <w:highlight w:val="none"/>
              </w:rPr>
            </w:pPr>
          </w:p>
          <w:p w14:paraId="65D7181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p w14:paraId="39B96762">
            <w:pPr>
              <w:spacing w:line="460" w:lineRule="exact"/>
              <w:jc w:val="center"/>
              <w:rPr>
                <w:rFonts w:ascii="仿宋_GB2312" w:hAnsi="仿宋_GB2312" w:eastAsia="仿宋_GB2312" w:cs="仿宋_GB2312"/>
                <w:color w:val="auto"/>
                <w:sz w:val="24"/>
                <w:highlight w:val="none"/>
              </w:rPr>
            </w:pPr>
          </w:p>
        </w:tc>
        <w:tc>
          <w:tcPr>
            <w:tcW w:w="6662" w:type="dxa"/>
            <w:vAlign w:val="center"/>
          </w:tcPr>
          <w:p w14:paraId="362A3127">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基础代理费：不超过5万（含本数）</w:t>
            </w:r>
          </w:p>
          <w:p w14:paraId="7C8280FB">
            <w:pPr>
              <w:pStyle w:val="2"/>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风险代理费：不超过10万（含本数）</w:t>
            </w:r>
          </w:p>
          <w:p w14:paraId="1AB1128D">
            <w:pPr>
              <w:pStyle w:val="2"/>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72B24C10">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392" w:type="dxa"/>
            <w:vAlign w:val="center"/>
          </w:tcPr>
          <w:p w14:paraId="5688EA2B">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报价方式</w:t>
            </w:r>
          </w:p>
        </w:tc>
        <w:tc>
          <w:tcPr>
            <w:tcW w:w="6662" w:type="dxa"/>
            <w:vAlign w:val="center"/>
          </w:tcPr>
          <w:p w14:paraId="57A84538">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按照“基础代理费+风险代理费”方式进行报价，基础代理费</w:t>
            </w:r>
            <w:r>
              <w:rPr>
                <w:rFonts w:hint="eastAsia" w:ascii="仿宋_GB2312" w:hAnsi="仿宋_GB2312" w:eastAsia="仿宋_GB2312" w:cs="仿宋_GB2312"/>
                <w:color w:val="auto"/>
                <w:sz w:val="24"/>
                <w:highlight w:val="none"/>
                <w:lang w:val="en-US" w:eastAsia="zh-CN"/>
              </w:rPr>
              <w:t>和</w:t>
            </w:r>
            <w:r>
              <w:rPr>
                <w:rFonts w:hint="default" w:ascii="仿宋_GB2312" w:hAnsi="仿宋_GB2312" w:eastAsia="仿宋_GB2312" w:cs="仿宋_GB2312"/>
                <w:color w:val="auto"/>
                <w:sz w:val="24"/>
                <w:highlight w:val="none"/>
                <w:lang w:val="en-US" w:eastAsia="zh-CN"/>
              </w:rPr>
              <w:t>风险代理费</w:t>
            </w:r>
            <w:r>
              <w:rPr>
                <w:rFonts w:hint="eastAsia" w:ascii="仿宋_GB2312" w:hAnsi="仿宋_GB2312" w:eastAsia="仿宋_GB2312" w:cs="仿宋_GB2312"/>
                <w:color w:val="auto"/>
                <w:sz w:val="24"/>
                <w:highlight w:val="none"/>
                <w:lang w:val="en-US" w:eastAsia="zh-CN"/>
              </w:rPr>
              <w:t>均以“元”为单位。其中，风险代理费仅按照收回利息、违约金部分进行计价。</w:t>
            </w:r>
            <w:r>
              <w:rPr>
                <w:rFonts w:hint="default" w:ascii="仿宋_GB2312" w:hAnsi="仿宋_GB2312" w:eastAsia="仿宋_GB2312" w:cs="仿宋_GB2312"/>
                <w:color w:val="auto"/>
                <w:sz w:val="24"/>
                <w:highlight w:val="none"/>
                <w:lang w:val="en-US" w:eastAsia="zh-CN"/>
              </w:rPr>
              <w:t>报价费用包括但不限于诉讼阶段仲裁/诉讼一审、二审（若有）、再审（若有）代理费用和执行阶段（若有）代理费用，差旅费（如有）</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不包含案件办理过程中涉及的诉讼费、保全费、鉴定费、公告费等第三方收取的相关费用</w:t>
            </w:r>
            <w:r>
              <w:rPr>
                <w:rFonts w:hint="eastAsia" w:ascii="仿宋_GB2312" w:hAnsi="仿宋_GB2312" w:eastAsia="仿宋_GB2312" w:cs="仿宋_GB2312"/>
                <w:color w:val="auto"/>
                <w:sz w:val="24"/>
                <w:highlight w:val="none"/>
                <w:lang w:val="en-US" w:eastAsia="zh-CN"/>
              </w:rPr>
              <w:t>。</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2392" w:type="dxa"/>
            <w:vAlign w:val="center"/>
          </w:tcPr>
          <w:p w14:paraId="459A1919">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考察现场、标前</w:t>
            </w:r>
          </w:p>
          <w:p w14:paraId="215E516F">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答疑会</w:t>
            </w:r>
          </w:p>
        </w:tc>
        <w:tc>
          <w:tcPr>
            <w:tcW w:w="6662" w:type="dxa"/>
            <w:vAlign w:val="center"/>
          </w:tcPr>
          <w:p w14:paraId="1A5FCE71">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本项目不组织现场考察、标前答疑会</w:t>
            </w:r>
          </w:p>
        </w:tc>
      </w:tr>
      <w:tr w14:paraId="252B9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73CB437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2392" w:type="dxa"/>
            <w:vAlign w:val="center"/>
          </w:tcPr>
          <w:p w14:paraId="6324D6E0">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现场陈述</w:t>
            </w:r>
          </w:p>
        </w:tc>
        <w:tc>
          <w:tcPr>
            <w:tcW w:w="6662" w:type="dxa"/>
            <w:vAlign w:val="center"/>
          </w:tcPr>
          <w:p w14:paraId="5A2F28D7">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本项目不组织现场陈述</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8</w:t>
            </w:r>
          </w:p>
        </w:tc>
        <w:tc>
          <w:tcPr>
            <w:tcW w:w="2392" w:type="dxa"/>
            <w:vAlign w:val="center"/>
          </w:tcPr>
          <w:p w14:paraId="47B9228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评审方法</w:t>
            </w:r>
          </w:p>
        </w:tc>
        <w:tc>
          <w:tcPr>
            <w:tcW w:w="6662" w:type="dxa"/>
            <w:vAlign w:val="center"/>
          </w:tcPr>
          <w:p w14:paraId="6716CDB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9</w:t>
            </w:r>
          </w:p>
        </w:tc>
        <w:tc>
          <w:tcPr>
            <w:tcW w:w="2392" w:type="dxa"/>
            <w:vAlign w:val="center"/>
          </w:tcPr>
          <w:p w14:paraId="3EEEC7D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关于比选文件规定的时间释义</w:t>
            </w:r>
          </w:p>
        </w:tc>
        <w:tc>
          <w:tcPr>
            <w:tcW w:w="6662" w:type="dxa"/>
            <w:vAlign w:val="center"/>
          </w:tcPr>
          <w:p w14:paraId="08B6B9B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2392" w:type="dxa"/>
            <w:vAlign w:val="center"/>
          </w:tcPr>
          <w:p w14:paraId="73627980">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参与比选活动保证金</w:t>
            </w:r>
          </w:p>
        </w:tc>
        <w:tc>
          <w:tcPr>
            <w:tcW w:w="6662" w:type="dxa"/>
            <w:vAlign w:val="center"/>
          </w:tcPr>
          <w:p w14:paraId="2ABF5B6C">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本项目不作要求。</w:t>
            </w:r>
          </w:p>
        </w:tc>
      </w:tr>
      <w:tr w14:paraId="7C50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08FD3E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2392" w:type="dxa"/>
            <w:vAlign w:val="center"/>
          </w:tcPr>
          <w:p w14:paraId="480C15E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案件情况</w:t>
            </w:r>
          </w:p>
        </w:tc>
        <w:tc>
          <w:tcPr>
            <w:tcW w:w="6662" w:type="dxa"/>
            <w:vAlign w:val="center"/>
          </w:tcPr>
          <w:p w14:paraId="4747BDC8">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鉴于本案性质为买卖合同纠纷，涉案金额较大，情况复杂，</w:t>
            </w:r>
            <w:r>
              <w:rPr>
                <w:rFonts w:hint="eastAsia" w:ascii="仿宋_GB2312" w:hAnsi="仿宋_GB2312" w:eastAsia="仿宋_GB2312" w:cs="仿宋_GB2312"/>
                <w:color w:val="auto"/>
                <w:sz w:val="24"/>
                <w:highlight w:val="none"/>
              </w:rPr>
              <w:t>请在</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lang w:val="en-US" w:eastAsia="zh-CN"/>
              </w:rPr>
              <w:t>9：00</w:t>
            </w:r>
            <w:r>
              <w:rPr>
                <w:rFonts w:hint="eastAsia" w:ascii="仿宋_GB2312" w:hAnsi="仿宋_GB2312" w:eastAsia="仿宋_GB2312" w:cs="仿宋_GB2312"/>
                <w:color w:val="auto"/>
                <w:sz w:val="24"/>
                <w:highlight w:val="none"/>
              </w:rPr>
              <w:t>前，将</w:t>
            </w:r>
            <w:r>
              <w:rPr>
                <w:rFonts w:hint="eastAsia" w:ascii="仿宋_GB2312" w:hAnsi="仿宋_GB2312" w:eastAsia="仿宋_GB2312" w:cs="仿宋_GB2312"/>
                <w:color w:val="auto"/>
                <w:sz w:val="24"/>
                <w:highlight w:val="none"/>
                <w:lang w:val="en-US" w:eastAsia="zh-CN"/>
              </w:rPr>
              <w:t>第四章四点“比选申请人的资格要求证明材料承诺函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反馈至</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。该承诺函需加盖</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公章，并由法定代表人或授权代表签字，</w:t>
            </w:r>
            <w:r>
              <w:rPr>
                <w:rFonts w:hint="eastAsia" w:ascii="仿宋_GB2312" w:hAnsi="仿宋_GB2312" w:eastAsia="仿宋_GB2312" w:cs="仿宋_GB2312"/>
                <w:color w:val="auto"/>
                <w:sz w:val="24"/>
                <w:highlight w:val="none"/>
                <w:lang w:val="en-US" w:eastAsia="zh-CN"/>
              </w:rPr>
              <w:t>以邮件的形式将扫描件发送至邮箱67316782</w:t>
            </w:r>
            <w:r>
              <w:rPr>
                <w:rFonts w:hint="eastAsia" w:ascii="方正小标宋简体" w:hAnsi="方正小标宋简体" w:eastAsia="方正小标宋简体" w:cs="方正小标宋简体"/>
                <w:color w:val="auto"/>
                <w:sz w:val="28"/>
                <w:szCs w:val="28"/>
                <w:highlight w:val="none"/>
                <w:lang w:val="en-US" w:eastAsia="zh-CN"/>
              </w:rPr>
              <w:t>@</w:t>
            </w:r>
            <w:r>
              <w:rPr>
                <w:rFonts w:hint="eastAsia" w:ascii="仿宋_GB2312" w:hAnsi="仿宋_GB2312" w:eastAsia="仿宋_GB2312" w:cs="仿宋_GB2312"/>
                <w:color w:val="auto"/>
                <w:sz w:val="24"/>
                <w:highlight w:val="none"/>
                <w:lang w:val="en-US" w:eastAsia="zh-CN"/>
              </w:rPr>
              <w:t>qq</w:t>
            </w:r>
            <w:r>
              <w:rPr>
                <w:rFonts w:hint="eastAsia" w:ascii="仿宋_GB2312" w:hAnsi="仿宋_GB2312" w:eastAsia="仿宋_GB2312" w:cs="仿宋_GB2312"/>
                <w:color w:val="auto"/>
                <w:sz w:val="24"/>
                <w:highlight w:val="none"/>
              </w:rPr>
              <w:t>.com</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并将原件附在响应文件中</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以确保案件信息的保密性和安全性。</w:t>
            </w:r>
          </w:p>
          <w:p w14:paraId="7D576E29">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在收到</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签署的承诺函后，</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将向</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提供详细的案件材料，以便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深入研究分析。同时，为方便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进一步了解案件情况，也可</w:t>
            </w:r>
            <w:r>
              <w:rPr>
                <w:rFonts w:hint="eastAsia" w:ascii="仿宋_GB2312" w:hAnsi="仿宋_GB2312" w:eastAsia="仿宋_GB2312" w:cs="仿宋_GB2312"/>
                <w:color w:val="auto"/>
                <w:sz w:val="24"/>
                <w:highlight w:val="none"/>
                <w:lang w:val="en-US" w:eastAsia="zh-CN"/>
              </w:rPr>
              <w:t>与比选人联系，</w:t>
            </w:r>
            <w:r>
              <w:rPr>
                <w:rFonts w:hint="eastAsia" w:ascii="仿宋_GB2312" w:hAnsi="仿宋_GB2312" w:eastAsia="仿宋_GB2312" w:cs="仿宋_GB2312"/>
                <w:color w:val="auto"/>
                <w:sz w:val="24"/>
                <w:highlight w:val="none"/>
              </w:rPr>
              <w:t>安排相关律师前往</w:t>
            </w:r>
            <w:r>
              <w:rPr>
                <w:rFonts w:hint="eastAsia" w:ascii="仿宋_GB2312" w:hAnsi="仿宋_GB2312" w:eastAsia="仿宋_GB2312" w:cs="仿宋_GB2312"/>
                <w:color w:val="auto"/>
                <w:sz w:val="24"/>
                <w:highlight w:val="none"/>
                <w:lang w:val="en-US" w:eastAsia="zh-CN"/>
              </w:rPr>
              <w:t>比选人公司</w:t>
            </w:r>
            <w:r>
              <w:rPr>
                <w:rFonts w:hint="eastAsia" w:ascii="仿宋_GB2312" w:hAnsi="仿宋_GB2312" w:eastAsia="仿宋_GB2312" w:cs="仿宋_GB2312"/>
                <w:color w:val="auto"/>
                <w:sz w:val="24"/>
                <w:highlight w:val="none"/>
              </w:rPr>
              <w:t>现场查阅案件材料。</w:t>
            </w:r>
          </w:p>
          <w:p w14:paraId="6981E0B5">
            <w:pPr>
              <w:spacing w:line="460" w:lineRule="exact"/>
              <w:rPr>
                <w:rFonts w:ascii="仿宋_GB2312" w:hAnsi="仿宋_GB2312" w:eastAsia="仿宋_GB2312" w:cs="仿宋_GB2312"/>
                <w:color w:val="auto"/>
                <w:sz w:val="24"/>
                <w:highlight w:val="none"/>
              </w:rPr>
            </w:pP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仿宋_GB2312" w:hAnsi="仿宋_GB2312" w:eastAsia="仿宋_GB2312" w:cs="仿宋_GB2312"/>
                <w:color w:val="auto"/>
                <w:sz w:val="24"/>
                <w:highlight w:val="none"/>
                <w:lang w:val="en-US" w:eastAsia="zh-CN"/>
              </w:rPr>
            </w:pPr>
            <w:bookmarkStart w:id="53" w:name="_Toc29260"/>
            <w:bookmarkStart w:id="54" w:name="_Toc10423"/>
            <w:bookmarkStart w:id="55" w:name="_Toc26013"/>
            <w:r>
              <w:rPr>
                <w:rFonts w:hint="eastAsia" w:ascii="仿宋_GB2312" w:hAnsi="仿宋_GB2312" w:eastAsia="仿宋_GB2312" w:cs="仿宋_GB2312"/>
                <w:color w:val="auto"/>
                <w:sz w:val="24"/>
                <w:highlight w:val="none"/>
                <w:lang w:val="en-US" w:eastAsia="zh-CN"/>
              </w:rPr>
              <w:t>12</w:t>
            </w:r>
          </w:p>
        </w:tc>
        <w:tc>
          <w:tcPr>
            <w:tcW w:w="2392" w:type="dxa"/>
            <w:vAlign w:val="center"/>
          </w:tcPr>
          <w:p w14:paraId="0586380C">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报价有效期</w:t>
            </w:r>
          </w:p>
        </w:tc>
        <w:tc>
          <w:tcPr>
            <w:tcW w:w="6662" w:type="dxa"/>
            <w:vAlign w:val="center"/>
          </w:tcPr>
          <w:p w14:paraId="5DFAF8EF">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报价截止之日起</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2392" w:type="dxa"/>
            <w:vAlign w:val="center"/>
          </w:tcPr>
          <w:p w14:paraId="3664E4F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签字盖章</w:t>
            </w:r>
          </w:p>
        </w:tc>
        <w:tc>
          <w:tcPr>
            <w:tcW w:w="6662" w:type="dxa"/>
            <w:vAlign w:val="center"/>
          </w:tcPr>
          <w:p w14:paraId="214A7BC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c>
          <w:tcPr>
            <w:tcW w:w="2392" w:type="dxa"/>
            <w:vAlign w:val="center"/>
          </w:tcPr>
          <w:p w14:paraId="39E0409C">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响应文件的装订</w:t>
            </w:r>
          </w:p>
        </w:tc>
        <w:tc>
          <w:tcPr>
            <w:tcW w:w="6662" w:type="dxa"/>
            <w:vAlign w:val="center"/>
          </w:tcPr>
          <w:p w14:paraId="074BCC60">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61FF465">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5</w:t>
            </w:r>
          </w:p>
        </w:tc>
        <w:tc>
          <w:tcPr>
            <w:tcW w:w="2392" w:type="dxa"/>
            <w:vAlign w:val="center"/>
          </w:tcPr>
          <w:p w14:paraId="439A602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响应文件封面的标注</w:t>
            </w:r>
          </w:p>
        </w:tc>
        <w:tc>
          <w:tcPr>
            <w:tcW w:w="6662" w:type="dxa"/>
            <w:vAlign w:val="center"/>
          </w:tcPr>
          <w:p w14:paraId="1C9C269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响应文件正本和副本的封面上均应标明：</w:t>
            </w:r>
            <w:r>
              <w:rPr>
                <w:rFonts w:hint="eastAsia" w:ascii="仿宋_GB2312" w:hAnsi="仿宋_GB2312" w:eastAsia="仿宋_GB2312" w:cs="仿宋_GB2312"/>
                <w:color w:val="auto"/>
                <w:sz w:val="24"/>
                <w:highlight w:val="none"/>
                <w:lang w:val="en-US" w:eastAsia="zh-CN"/>
              </w:rPr>
              <w:t>项目编号、</w:t>
            </w:r>
            <w:r>
              <w:rPr>
                <w:rFonts w:hint="eastAsia" w:ascii="仿宋_GB2312" w:hAnsi="仿宋_GB2312" w:eastAsia="仿宋_GB2312" w:cs="仿宋_GB2312"/>
                <w:color w:val="auto"/>
                <w:sz w:val="24"/>
                <w:highlight w:val="none"/>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6</w:t>
            </w:r>
          </w:p>
        </w:tc>
        <w:tc>
          <w:tcPr>
            <w:tcW w:w="2392" w:type="dxa"/>
            <w:vAlign w:val="center"/>
          </w:tcPr>
          <w:p w14:paraId="03CC331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响应文件外层密封袋的标注</w:t>
            </w:r>
          </w:p>
        </w:tc>
        <w:tc>
          <w:tcPr>
            <w:tcW w:w="6662" w:type="dxa"/>
            <w:vAlign w:val="center"/>
          </w:tcPr>
          <w:p w14:paraId="24E06567">
            <w:pPr>
              <w:widowControl w:val="0"/>
              <w:spacing w:line="4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7</w:t>
            </w:r>
          </w:p>
        </w:tc>
        <w:tc>
          <w:tcPr>
            <w:tcW w:w="2392" w:type="dxa"/>
            <w:vAlign w:val="center"/>
          </w:tcPr>
          <w:p w14:paraId="3449013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递交报价文件地点</w:t>
            </w:r>
          </w:p>
        </w:tc>
        <w:tc>
          <w:tcPr>
            <w:tcW w:w="6662" w:type="dxa"/>
            <w:vAlign w:val="center"/>
          </w:tcPr>
          <w:p w14:paraId="5761A27B">
            <w:pPr>
              <w:spacing w:line="460" w:lineRule="exact"/>
              <w:rPr>
                <w:rFonts w:ascii="仿宋_GB2312" w:hAnsi="仿宋_GB2312" w:eastAsia="仿宋_GB2312" w:cs="仿宋_GB2312"/>
                <w:color w:val="auto"/>
                <w:sz w:val="24"/>
                <w:highlight w:val="none"/>
              </w:rPr>
            </w:pPr>
            <w:r>
              <w:rPr>
                <w:rFonts w:hint="default" w:ascii="仿宋_GB2312" w:hAnsi="仿宋_GB2312" w:eastAsia="仿宋_GB2312" w:cs="仿宋_GB2312"/>
                <w:color w:val="auto"/>
                <w:sz w:val="24"/>
                <w:highlight w:val="none"/>
              </w:rPr>
              <w:t>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default" w:ascii="仿宋_GB2312" w:hAnsi="仿宋_GB2312" w:eastAsia="仿宋_GB2312" w:cs="仿宋_GB2312"/>
                <w:color w:val="auto"/>
                <w:sz w:val="24"/>
                <w:highlight w:val="none"/>
              </w:rPr>
              <w:t>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9324FAA">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8</w:t>
            </w:r>
          </w:p>
        </w:tc>
        <w:tc>
          <w:tcPr>
            <w:tcW w:w="2392" w:type="dxa"/>
            <w:vAlign w:val="center"/>
          </w:tcPr>
          <w:p w14:paraId="4DAAA6F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评审时间和地点</w:t>
            </w:r>
          </w:p>
        </w:tc>
        <w:tc>
          <w:tcPr>
            <w:tcW w:w="6662" w:type="dxa"/>
            <w:vAlign w:val="center"/>
          </w:tcPr>
          <w:p w14:paraId="11EF25A9">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评审时间：同报价截止时间；</w:t>
            </w:r>
          </w:p>
          <w:p w14:paraId="4AD34E9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评审地点：同递交响应文件地点。</w:t>
            </w:r>
          </w:p>
        </w:tc>
      </w:tr>
      <w:tr w14:paraId="3D3C6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7AE85B7">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9</w:t>
            </w:r>
          </w:p>
        </w:tc>
        <w:tc>
          <w:tcPr>
            <w:tcW w:w="2392" w:type="dxa"/>
            <w:vAlign w:val="center"/>
          </w:tcPr>
          <w:p w14:paraId="2F25CC6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w:t>
            </w:r>
          </w:p>
        </w:tc>
        <w:tc>
          <w:tcPr>
            <w:tcW w:w="6662" w:type="dxa"/>
            <w:vAlign w:val="center"/>
          </w:tcPr>
          <w:p w14:paraId="247171B4">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风险代理费按照比选人收到案件利息、违约金（不含本金）部分等比例支付。比选人收到的案件回款均认定为“先本后息”，详见合同。</w:t>
            </w:r>
          </w:p>
        </w:tc>
      </w:tr>
    </w:tbl>
    <w:p w14:paraId="79DC3BDF">
      <w:pPr>
        <w:spacing w:before="240" w:after="60" w:line="460" w:lineRule="exact"/>
        <w:outlineLvl w:val="1"/>
        <w:rPr>
          <w:rFonts w:hint="eastAsia" w:ascii="仿宋_GB2312" w:hAnsi="仿宋_GB2312" w:eastAsia="仿宋_GB2312" w:cs="仿宋_GB2312"/>
          <w:b/>
          <w:color w:val="auto"/>
          <w:sz w:val="24"/>
          <w:highlight w:val="none"/>
        </w:rPr>
      </w:pPr>
      <w:bookmarkStart w:id="56" w:name="_Toc7226"/>
      <w:bookmarkStart w:id="57" w:name="_Toc30748"/>
      <w:bookmarkStart w:id="58" w:name="_Toc23806"/>
    </w:p>
    <w:p w14:paraId="2CDEE32F">
      <w:pPr>
        <w:spacing w:before="240" w:after="60" w:line="460" w:lineRule="exac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59" w:name="_Toc183582205"/>
      <w:bookmarkStart w:id="60" w:name="_Toc183682342"/>
      <w:bookmarkStart w:id="61" w:name="_Toc361388549"/>
      <w:bookmarkStart w:id="62" w:name="_Toc361325741"/>
      <w:bookmarkStart w:id="63" w:name="_Toc14948"/>
      <w:bookmarkStart w:id="64" w:name="_Toc23579"/>
      <w:bookmarkStart w:id="65" w:name="_Toc217446034"/>
      <w:bookmarkStart w:id="66" w:name="_Toc362988437"/>
      <w:bookmarkStart w:id="67" w:name="_Toc22245"/>
      <w:bookmarkStart w:id="68" w:name="_Toc505261839"/>
      <w:bookmarkStart w:id="69" w:name="_Toc14336241"/>
      <w:bookmarkStart w:id="70" w:name="_Toc444620282"/>
      <w:bookmarkStart w:id="71" w:name="_Toc14301616"/>
      <w:bookmarkStart w:id="72" w:name="_Toc13301"/>
      <w:bookmarkStart w:id="73" w:name="_Toc25528"/>
      <w:bookmarkStart w:id="74" w:name="_Toc465149293"/>
      <w:bookmarkStart w:id="75" w:name="_Toc480453647"/>
      <w:bookmarkStart w:id="76" w:name="_Toc15283"/>
      <w:bookmarkStart w:id="77" w:name="_Toc466391880"/>
      <w:bookmarkStart w:id="78" w:name="_Toc513468977"/>
      <w:bookmarkStart w:id="79" w:name="_Toc474326973"/>
      <w:bookmarkStart w:id="80" w:name="_Toc474502513"/>
      <w:r>
        <w:rPr>
          <w:rFonts w:hint="eastAsia" w:ascii="仿宋_GB2312" w:hAnsi="仿宋_GB2312" w:eastAsia="仿宋_GB2312" w:cs="仿宋_GB2312"/>
          <w:b/>
          <w:bCs/>
          <w:color w:val="auto"/>
          <w:kern w:val="2"/>
          <w:sz w:val="24"/>
          <w:szCs w:val="24"/>
          <w:highlight w:val="none"/>
          <w:lang w:val="en-US" w:eastAsia="zh-CN" w:bidi="ar-SA"/>
        </w:rPr>
        <w:t>1</w:t>
      </w:r>
      <w:bookmarkEnd w:id="59"/>
      <w:bookmarkEnd w:id="60"/>
      <w:r>
        <w:rPr>
          <w:rFonts w:hint="eastAsia" w:ascii="仿宋_GB2312" w:hAnsi="仿宋_GB2312" w:eastAsia="仿宋_GB2312" w:cs="仿宋_GB2312"/>
          <w:b/>
          <w:bCs/>
          <w:color w:val="auto"/>
          <w:kern w:val="2"/>
          <w:sz w:val="24"/>
          <w:szCs w:val="24"/>
          <w:highlight w:val="none"/>
          <w:lang w:val="en-US" w:eastAsia="zh-CN" w:bidi="ar-SA"/>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本比选文件仅适用于本次比选项目。</w:t>
      </w:r>
    </w:p>
    <w:p w14:paraId="511ECB3B">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81" w:name="_Toc505261840"/>
      <w:bookmarkStart w:id="82" w:name="_Toc13250"/>
      <w:bookmarkStart w:id="83" w:name="_Toc513468978"/>
      <w:bookmarkStart w:id="84" w:name="_Toc444620283"/>
      <w:bookmarkStart w:id="85" w:name="_Toc9946"/>
      <w:bookmarkStart w:id="86" w:name="_Toc361325742"/>
      <w:bookmarkStart w:id="87" w:name="_Toc24301"/>
      <w:bookmarkStart w:id="88" w:name="_Toc217446035"/>
      <w:bookmarkStart w:id="89" w:name="_Toc29183"/>
      <w:bookmarkStart w:id="90" w:name="_Toc466391881"/>
      <w:bookmarkStart w:id="91" w:name="_Toc14336242"/>
      <w:bookmarkStart w:id="92" w:name="_Toc474502514"/>
      <w:bookmarkStart w:id="93" w:name="_Toc16870"/>
      <w:bookmarkStart w:id="94" w:name="_Toc362988438"/>
      <w:bookmarkStart w:id="95" w:name="_Toc361388550"/>
      <w:bookmarkStart w:id="96" w:name="_Toc474326974"/>
      <w:bookmarkStart w:id="97" w:name="_Toc14301617"/>
      <w:bookmarkStart w:id="98" w:name="_Toc465149294"/>
      <w:bookmarkStart w:id="99" w:name="_Toc480453648"/>
      <w:bookmarkStart w:id="100" w:name="_Toc7966"/>
      <w:r>
        <w:rPr>
          <w:rFonts w:hint="eastAsia" w:ascii="仿宋_GB2312" w:hAnsi="仿宋_GB2312" w:eastAsia="仿宋_GB2312" w:cs="仿宋_GB2312"/>
          <w:b/>
          <w:bCs/>
          <w:color w:val="auto"/>
          <w:kern w:val="2"/>
          <w:sz w:val="24"/>
          <w:szCs w:val="24"/>
          <w:highlight w:val="none"/>
          <w:lang w:val="en-US" w:eastAsia="zh-CN" w:bidi="ar-SA"/>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2.1“比选人”系指本次比选活动的采购方。</w:t>
      </w:r>
    </w:p>
    <w:p w14:paraId="2598F70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01" w:name="_Toc183582207"/>
      <w:bookmarkStart w:id="102" w:name="_Toc183682344"/>
      <w:bookmarkStart w:id="103" w:name="_Toc217446036"/>
      <w:bookmarkStart w:id="104" w:name="_Toc217390843"/>
      <w:bookmarkStart w:id="105" w:name="_Toc14301618"/>
      <w:bookmarkStart w:id="106" w:name="_Toc474502515"/>
      <w:bookmarkStart w:id="107" w:name="_Toc32609"/>
      <w:bookmarkStart w:id="108" w:name="_Toc20749"/>
      <w:bookmarkStart w:id="109" w:name="_Toc505261841"/>
      <w:bookmarkStart w:id="110" w:name="_Toc469403730"/>
      <w:bookmarkStart w:id="111" w:name="_Toc480453649"/>
      <w:bookmarkStart w:id="112" w:name="_Toc11316"/>
      <w:bookmarkStart w:id="113" w:name="_Toc513468979"/>
      <w:bookmarkStart w:id="114" w:name="_Toc30072"/>
      <w:bookmarkStart w:id="115" w:name="_Toc14336243"/>
      <w:bookmarkStart w:id="116" w:name="_Toc474326975"/>
      <w:bookmarkStart w:id="117" w:name="_Toc23605"/>
      <w:bookmarkStart w:id="118" w:name="_Toc2091"/>
      <w:r>
        <w:rPr>
          <w:rFonts w:hint="eastAsia" w:ascii="仿宋_GB2312" w:hAnsi="仿宋_GB2312" w:eastAsia="仿宋_GB2312" w:cs="仿宋_GB2312"/>
          <w:b/>
          <w:bCs/>
          <w:color w:val="auto"/>
          <w:kern w:val="2"/>
          <w:sz w:val="24"/>
          <w:szCs w:val="24"/>
          <w:highlight w:val="none"/>
          <w:lang w:val="en-US" w:eastAsia="zh-CN" w:bidi="ar-SA"/>
        </w:rPr>
        <w:t>3.合格的</w:t>
      </w:r>
      <w:bookmarkEnd w:id="101"/>
      <w:bookmarkEnd w:id="102"/>
      <w:bookmarkEnd w:id="103"/>
      <w:bookmarkEnd w:id="104"/>
      <w:r>
        <w:rPr>
          <w:rFonts w:hint="eastAsia" w:ascii="仿宋_GB2312" w:hAnsi="仿宋_GB2312" w:eastAsia="仿宋_GB2312" w:cs="仿宋_GB2312"/>
          <w:b/>
          <w:bCs/>
          <w:color w:val="auto"/>
          <w:kern w:val="2"/>
          <w:sz w:val="24"/>
          <w:szCs w:val="24"/>
          <w:highlight w:val="none"/>
          <w:lang w:val="en-US" w:eastAsia="zh-CN" w:bidi="ar-SA"/>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z w:val="24"/>
          <w:highlight w:val="none"/>
        </w:rPr>
        <w:t>6.1 本比选文件规定的比选申请人的资格要求</w:t>
      </w:r>
      <w:r>
        <w:rPr>
          <w:rFonts w:hint="eastAsia" w:ascii="仿宋_GB2312" w:hAnsi="仿宋_GB2312" w:eastAsia="仿宋_GB2312" w:cs="仿宋_GB2312"/>
          <w:color w:val="auto"/>
          <w:spacing w:val="-4"/>
          <w:sz w:val="24"/>
          <w:highlight w:val="none"/>
        </w:rPr>
        <w:t>。</w:t>
      </w:r>
    </w:p>
    <w:p w14:paraId="155E01A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遵守国家有关的</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、规章和其他政策制度。</w:t>
      </w:r>
    </w:p>
    <w:p w14:paraId="372DAF6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19" w:name="_Toc513468980"/>
      <w:bookmarkStart w:id="120" w:name="_Toc460"/>
      <w:bookmarkStart w:id="121" w:name="_Toc505261842"/>
      <w:bookmarkStart w:id="122" w:name="_Toc14336244"/>
      <w:bookmarkStart w:id="123" w:name="_Toc474326976"/>
      <w:bookmarkStart w:id="124" w:name="_Toc469403731"/>
      <w:bookmarkStart w:id="125" w:name="_Toc217446037"/>
      <w:bookmarkStart w:id="126" w:name="_Toc183682345"/>
      <w:bookmarkStart w:id="127" w:name="_Toc10177"/>
      <w:bookmarkStart w:id="128" w:name="_Toc19314"/>
      <w:bookmarkStart w:id="129" w:name="_Toc474502516"/>
      <w:bookmarkStart w:id="130" w:name="_Toc480453650"/>
      <w:bookmarkStart w:id="131" w:name="_Toc26743"/>
      <w:bookmarkStart w:id="132" w:name="_Toc31967"/>
      <w:bookmarkStart w:id="133" w:name="_Toc183582208"/>
      <w:bookmarkStart w:id="134" w:name="_Toc6617"/>
      <w:bookmarkStart w:id="135" w:name="_Toc14301619"/>
      <w:r>
        <w:rPr>
          <w:rFonts w:hint="eastAsia" w:ascii="仿宋_GB2312" w:hAnsi="仿宋_GB2312" w:eastAsia="仿宋_GB2312" w:cs="仿宋_GB2312"/>
          <w:b/>
          <w:bCs/>
          <w:color w:val="auto"/>
          <w:kern w:val="2"/>
          <w:sz w:val="24"/>
          <w:szCs w:val="24"/>
          <w:highlight w:val="none"/>
          <w:lang w:val="en-US" w:eastAsia="zh-CN" w:bidi="ar-SA"/>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比选申请人参加比选的有关费用由比选申请人自行承担。本次比选不组织</w:t>
      </w:r>
      <w:r>
        <w:rPr>
          <w:rFonts w:hint="eastAsia" w:ascii="仿宋_GB2312" w:hAnsi="仿宋_GB2312" w:eastAsia="仿宋_GB2312" w:cs="仿宋_GB2312"/>
          <w:color w:val="auto"/>
          <w:sz w:val="24"/>
          <w:highlight w:val="none"/>
          <w:lang w:val="en-US" w:eastAsia="zh-CN"/>
        </w:rPr>
        <w:t>现场陈述</w:t>
      </w:r>
      <w:r>
        <w:rPr>
          <w:rFonts w:hint="eastAsia" w:ascii="仿宋_GB2312" w:hAnsi="仿宋_GB2312" w:eastAsia="仿宋_GB2312" w:cs="仿宋_GB2312"/>
          <w:color w:val="auto"/>
          <w:sz w:val="24"/>
          <w:highlight w:val="none"/>
        </w:rPr>
        <w:t>。</w:t>
      </w:r>
    </w:p>
    <w:p w14:paraId="33C88F2B">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36" w:name="_Toc504054389"/>
      <w:bookmarkStart w:id="137" w:name="_Toc32101"/>
      <w:bookmarkStart w:id="138" w:name="_Toc22778"/>
      <w:bookmarkStart w:id="139" w:name="_Toc26717"/>
      <w:bookmarkStart w:id="140" w:name="_Toc2744"/>
      <w:bookmarkStart w:id="141" w:name="_Toc5426"/>
      <w:bookmarkStart w:id="142" w:name="_Toc14336245"/>
      <w:bookmarkStart w:id="143" w:name="_Toc29910"/>
      <w:bookmarkStart w:id="144" w:name="_Toc4788"/>
      <w:bookmarkStart w:id="145" w:name="_Toc14301620"/>
      <w:bookmarkStart w:id="146" w:name="_Toc504051941"/>
      <w:bookmarkStart w:id="147" w:name="_Toc17385"/>
      <w:bookmarkStart w:id="148" w:name="_Toc504054565"/>
      <w:bookmarkStart w:id="149" w:name="_Toc504035834"/>
      <w:bookmarkStart w:id="150" w:name="_Toc11322"/>
      <w:r>
        <w:rPr>
          <w:rFonts w:hint="eastAsia" w:ascii="仿宋_GB2312" w:hAnsi="仿宋_GB2312" w:eastAsia="仿宋_GB2312" w:cs="仿宋_GB2312"/>
          <w:b/>
          <w:bCs/>
          <w:color w:val="auto"/>
          <w:kern w:val="2"/>
          <w:sz w:val="24"/>
          <w:szCs w:val="24"/>
          <w:highlight w:val="none"/>
          <w:lang w:val="en-US" w:eastAsia="zh-CN" w:bidi="ar-SA"/>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auto"/>
          <w:sz w:val="24"/>
          <w:highlight w:val="none"/>
          <w:lang w:val="en-US" w:eastAsia="zh-CN"/>
        </w:rPr>
        <w:t>通过报名邮箱以</w:t>
      </w:r>
      <w:r>
        <w:rPr>
          <w:rFonts w:hint="eastAsia" w:ascii="仿宋_GB2312" w:hAnsi="仿宋_GB2312" w:eastAsia="仿宋_GB2312" w:cs="仿宋_GB2312"/>
          <w:color w:val="auto"/>
          <w:sz w:val="24"/>
          <w:highlight w:val="none"/>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51" w:name="_Toc25286"/>
      <w:bookmarkStart w:id="152" w:name="_Toc504035838"/>
      <w:bookmarkStart w:id="153" w:name="_Toc27771"/>
      <w:bookmarkStart w:id="154" w:name="_Toc14301622"/>
      <w:bookmarkStart w:id="155" w:name="_Toc2025"/>
      <w:bookmarkStart w:id="156" w:name="_Toc27212"/>
      <w:bookmarkStart w:id="157" w:name="_Toc1599"/>
      <w:bookmarkStart w:id="158" w:name="_Toc30557"/>
      <w:bookmarkStart w:id="159" w:name="_Toc14336247"/>
      <w:bookmarkStart w:id="160" w:name="_Toc504051945"/>
      <w:bookmarkStart w:id="161" w:name="_Toc18304"/>
      <w:bookmarkStart w:id="162" w:name="_Toc504054393"/>
      <w:bookmarkStart w:id="163" w:name="_Toc6269"/>
      <w:bookmarkStart w:id="164" w:name="_Toc504054569"/>
      <w:bookmarkStart w:id="165" w:name="_Toc14543"/>
      <w:r>
        <w:rPr>
          <w:rFonts w:hint="eastAsia" w:ascii="仿宋_GB2312" w:hAnsi="仿宋_GB2312" w:eastAsia="仿宋_GB2312" w:cs="仿宋_GB2312"/>
          <w:b/>
          <w:bCs/>
          <w:color w:val="auto"/>
          <w:kern w:val="2"/>
          <w:sz w:val="24"/>
          <w:szCs w:val="24"/>
          <w:highlight w:val="none"/>
          <w:lang w:val="en-US" w:eastAsia="zh-CN" w:bidi="ar-SA"/>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auto"/>
          <w:kern w:val="2"/>
          <w:sz w:val="24"/>
          <w:szCs w:val="24"/>
          <w:highlight w:val="none"/>
          <w:lang w:val="en-US" w:eastAsia="zh-CN" w:bidi="ar-SA"/>
        </w:rPr>
        <w:t>（实质性要求）</w:t>
      </w:r>
    </w:p>
    <w:p w14:paraId="363C6698">
      <w:pPr>
        <w:spacing w:line="460" w:lineRule="exact"/>
        <w:ind w:right="240" w:firstLine="480" w:firstLineChars="200"/>
        <w:rPr>
          <w:rFonts w:ascii="仿宋_GB2312" w:hAnsi="仿宋_GB2312" w:eastAsia="仿宋_GB2312" w:cs="仿宋_GB2312"/>
          <w:color w:val="auto"/>
          <w:sz w:val="24"/>
          <w:highlight w:val="none"/>
        </w:rPr>
      </w:pPr>
      <w:bookmarkStart w:id="166" w:name="_Toc14336248"/>
      <w:bookmarkStart w:id="167" w:name="_Toc14301623"/>
      <w:r>
        <w:rPr>
          <w:rFonts w:hint="eastAsia" w:ascii="仿宋_GB2312" w:hAnsi="仿宋_GB2312" w:eastAsia="仿宋_GB2312" w:cs="仿宋_GB2312"/>
          <w:color w:val="auto"/>
          <w:sz w:val="24"/>
          <w:highlight w:val="none"/>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翻译的简体中文资料与外文资料如果出现差异和矛盾，以简体中文版本为准。</w:t>
      </w:r>
    </w:p>
    <w:p w14:paraId="3DC8FBB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68" w:name="_Toc5449"/>
      <w:bookmarkStart w:id="169" w:name="_Toc12988"/>
      <w:bookmarkStart w:id="170" w:name="_Toc17939"/>
      <w:bookmarkStart w:id="171" w:name="_Toc20396"/>
      <w:r>
        <w:rPr>
          <w:rFonts w:hint="eastAsia" w:ascii="仿宋_GB2312" w:hAnsi="仿宋_GB2312" w:eastAsia="仿宋_GB2312" w:cs="仿宋_GB2312"/>
          <w:b/>
          <w:bCs/>
          <w:color w:val="auto"/>
          <w:kern w:val="2"/>
          <w:sz w:val="24"/>
          <w:szCs w:val="24"/>
          <w:highlight w:val="none"/>
          <w:lang w:val="en-US" w:eastAsia="zh-CN" w:bidi="ar-SA"/>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auto"/>
          <w:kern w:val="2"/>
          <w:sz w:val="24"/>
          <w:szCs w:val="24"/>
          <w:highlight w:val="none"/>
          <w:lang w:val="en-US" w:eastAsia="zh-CN" w:bidi="ar-SA"/>
        </w:rPr>
        <w:t>（实质性要求）</w:t>
      </w:r>
    </w:p>
    <w:p w14:paraId="318F62E5">
      <w:pPr>
        <w:spacing w:line="460" w:lineRule="exact"/>
        <w:ind w:right="240" w:firstLine="480" w:firstLineChars="200"/>
        <w:rPr>
          <w:rFonts w:ascii="仿宋_GB2312" w:hAnsi="仿宋_GB2312" w:eastAsia="仿宋_GB2312" w:cs="仿宋_GB2312"/>
          <w:color w:val="auto"/>
          <w:sz w:val="24"/>
          <w:highlight w:val="none"/>
        </w:rPr>
      </w:pPr>
      <w:bookmarkStart w:id="172" w:name="_Toc14205"/>
      <w:bookmarkStart w:id="173" w:name="_Toc14336249"/>
      <w:bookmarkStart w:id="174" w:name="_Toc19337"/>
      <w:bookmarkStart w:id="175" w:name="_Toc1582"/>
      <w:bookmarkStart w:id="176" w:name="_Toc14301624"/>
      <w:bookmarkStart w:id="177" w:name="_Toc11001"/>
      <w:r>
        <w:rPr>
          <w:rFonts w:hint="eastAsia" w:ascii="仿宋_GB2312" w:hAnsi="仿宋_GB2312" w:eastAsia="仿宋_GB2312" w:cs="仿宋_GB2312"/>
          <w:color w:val="auto"/>
          <w:sz w:val="24"/>
          <w:highlight w:val="none"/>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3D9BC58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6.</w:t>
      </w:r>
      <w:bookmarkStart w:id="178" w:name="_Toc513468993"/>
      <w:bookmarkStart w:id="179" w:name="_Toc183682355"/>
      <w:bookmarkStart w:id="180" w:name="_Toc480453663"/>
      <w:bookmarkStart w:id="181" w:name="_Toc444620298"/>
      <w:bookmarkStart w:id="182" w:name="_Toc361325757"/>
      <w:bookmarkStart w:id="183" w:name="_Toc361388565"/>
      <w:bookmarkStart w:id="184" w:name="_Toc474326989"/>
      <w:bookmarkStart w:id="185" w:name="_Toc505261855"/>
      <w:bookmarkStart w:id="186" w:name="_Toc362988453"/>
      <w:bookmarkStart w:id="187" w:name="_Toc474502529"/>
      <w:bookmarkStart w:id="188" w:name="_Toc217446049"/>
      <w:bookmarkStart w:id="189" w:name="_Toc9395"/>
      <w:bookmarkStart w:id="190" w:name="_Toc24845"/>
      <w:bookmarkStart w:id="191" w:name="_Toc465149309"/>
      <w:bookmarkStart w:id="192" w:name="_Toc466391896"/>
      <w:bookmarkStart w:id="193" w:name="_Toc183582218"/>
      <w:r>
        <w:rPr>
          <w:rFonts w:hint="eastAsia" w:ascii="仿宋_GB2312" w:hAnsi="仿宋_GB2312" w:eastAsia="仿宋_GB2312" w:cs="仿宋_GB2312"/>
          <w:b/>
          <w:bCs/>
          <w:color w:val="auto"/>
          <w:kern w:val="2"/>
          <w:sz w:val="24"/>
          <w:szCs w:val="24"/>
          <w:highlight w:val="none"/>
          <w:lang w:val="en-US" w:eastAsia="zh-CN" w:bidi="ar-SA"/>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auto"/>
          <w:kern w:val="2"/>
          <w:sz w:val="24"/>
          <w:szCs w:val="24"/>
          <w:highlight w:val="none"/>
          <w:lang w:val="en-US" w:eastAsia="zh-CN" w:bidi="ar-SA"/>
        </w:rPr>
        <w:tab/>
      </w:r>
    </w:p>
    <w:p w14:paraId="10217A13">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94" w:name="_Toc25148"/>
      <w:bookmarkStart w:id="195" w:name="_Toc26194"/>
      <w:bookmarkStart w:id="196" w:name="_Toc480453665"/>
      <w:bookmarkStart w:id="197" w:name="_Toc308164801"/>
      <w:bookmarkStart w:id="198" w:name="_Toc14301625"/>
      <w:bookmarkStart w:id="199" w:name="_Toc505261857"/>
      <w:bookmarkStart w:id="200" w:name="_Toc6382"/>
      <w:bookmarkStart w:id="201" w:name="_Toc474502531"/>
      <w:bookmarkStart w:id="202" w:name="_Toc183682361"/>
      <w:bookmarkStart w:id="203" w:name="_Toc29834"/>
      <w:bookmarkStart w:id="204" w:name="_Toc183582224"/>
      <w:bookmarkStart w:id="205" w:name="_Toc469403746"/>
      <w:bookmarkStart w:id="206" w:name="_Toc14336250"/>
      <w:bookmarkStart w:id="207" w:name="_Toc217446051"/>
      <w:bookmarkStart w:id="208" w:name="_Toc513468995"/>
      <w:bookmarkStart w:id="209" w:name="_Toc18346"/>
      <w:bookmarkStart w:id="210" w:name="_Toc17700"/>
      <w:bookmarkStart w:id="211" w:name="_Toc474326991"/>
      <w:r>
        <w:rPr>
          <w:rFonts w:hint="eastAsia" w:ascii="仿宋_GB2312" w:hAnsi="仿宋_GB2312" w:eastAsia="仿宋_GB2312" w:cs="仿宋_GB2312"/>
          <w:b/>
          <w:bCs/>
          <w:color w:val="auto"/>
          <w:kern w:val="2"/>
          <w:sz w:val="24"/>
          <w:szCs w:val="24"/>
          <w:highlight w:val="none"/>
          <w:lang w:val="en-US" w:eastAsia="zh-CN" w:bidi="ar-SA"/>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auto"/>
          <w:kern w:val="2"/>
          <w:sz w:val="24"/>
          <w:szCs w:val="24"/>
          <w:highlight w:val="none"/>
          <w:lang w:val="en-US" w:eastAsia="zh-CN" w:bidi="ar-SA"/>
        </w:rPr>
        <w:t>（实质性要求）</w:t>
      </w:r>
    </w:p>
    <w:p w14:paraId="21CA4D40">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本项目比选有效期为比选申请书递交截止时间届满后</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12" w:name="_Toc183682364"/>
      <w:bookmarkStart w:id="213" w:name="_Toc183582227"/>
      <w:bookmarkStart w:id="214" w:name="_Toc474326994"/>
      <w:bookmarkStart w:id="215" w:name="_Toc14301626"/>
      <w:bookmarkStart w:id="216" w:name="_Toc31719"/>
      <w:bookmarkStart w:id="217" w:name="_Toc469403749"/>
      <w:bookmarkStart w:id="218" w:name="_Toc4735"/>
      <w:bookmarkStart w:id="219" w:name="_Toc28318"/>
      <w:bookmarkStart w:id="220" w:name="_Toc11976"/>
      <w:bookmarkStart w:id="221" w:name="_Toc18366"/>
      <w:bookmarkStart w:id="222" w:name="_Toc505261860"/>
      <w:bookmarkStart w:id="223" w:name="_Toc217446054"/>
      <w:bookmarkStart w:id="224" w:name="_Toc480453668"/>
      <w:bookmarkStart w:id="225" w:name="_Toc513468998"/>
      <w:bookmarkStart w:id="226" w:name="_Toc14336251"/>
      <w:bookmarkStart w:id="227" w:name="_Toc474502534"/>
      <w:bookmarkStart w:id="228" w:name="_Toc11118"/>
      <w:bookmarkStart w:id="229" w:name="_Toc308164804"/>
      <w:r>
        <w:rPr>
          <w:rFonts w:hint="eastAsia" w:ascii="仿宋_GB2312" w:hAnsi="仿宋_GB2312" w:eastAsia="仿宋_GB2312" w:cs="仿宋_GB2312"/>
          <w:b/>
          <w:bCs/>
          <w:color w:val="auto"/>
          <w:kern w:val="2"/>
          <w:sz w:val="24"/>
          <w:szCs w:val="24"/>
          <w:highlight w:val="none"/>
          <w:lang w:val="en-US" w:eastAsia="zh-CN" w:bidi="ar-SA"/>
        </w:rPr>
        <w:t>8.比选申请书的</w:t>
      </w:r>
      <w:bookmarkEnd w:id="212"/>
      <w:bookmarkEnd w:id="213"/>
      <w:r>
        <w:rPr>
          <w:rFonts w:hint="eastAsia" w:ascii="仿宋_GB2312" w:hAnsi="仿宋_GB2312" w:eastAsia="仿宋_GB2312" w:cs="仿宋_GB2312"/>
          <w:b/>
          <w:bCs/>
          <w:color w:val="auto"/>
          <w:kern w:val="2"/>
          <w:sz w:val="24"/>
          <w:szCs w:val="24"/>
          <w:highlight w:val="none"/>
          <w:lang w:val="en-US" w:eastAsia="zh-CN" w:bidi="ar-SA"/>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30" w:name="_Toc183682365"/>
      <w:bookmarkStart w:id="231" w:name="_Toc183582228"/>
      <w:bookmarkStart w:id="232" w:name="_Toc3621"/>
      <w:bookmarkStart w:id="233" w:name="_Toc14301627"/>
      <w:bookmarkStart w:id="234" w:name="_Toc474502535"/>
      <w:bookmarkStart w:id="235" w:name="_Toc469403750"/>
      <w:bookmarkStart w:id="236" w:name="_Toc480453669"/>
      <w:bookmarkStart w:id="237" w:name="_Toc1663"/>
      <w:bookmarkStart w:id="238" w:name="_Toc217446055"/>
      <w:bookmarkStart w:id="239" w:name="_Toc14336252"/>
      <w:bookmarkStart w:id="240" w:name="_Toc32552"/>
      <w:bookmarkStart w:id="241" w:name="_Toc505261861"/>
      <w:bookmarkStart w:id="242" w:name="_Toc9560"/>
      <w:bookmarkStart w:id="243" w:name="_Toc7462"/>
      <w:bookmarkStart w:id="244" w:name="_Toc474326995"/>
      <w:bookmarkStart w:id="245" w:name="_Toc3240"/>
      <w:bookmarkStart w:id="246" w:name="_Toc513468999"/>
      <w:r>
        <w:rPr>
          <w:rFonts w:hint="eastAsia" w:ascii="仿宋_GB2312" w:hAnsi="仿宋_GB2312" w:eastAsia="仿宋_GB2312" w:cs="仿宋_GB2312"/>
          <w:b/>
          <w:bCs/>
          <w:color w:val="auto"/>
          <w:kern w:val="2"/>
          <w:sz w:val="24"/>
          <w:szCs w:val="24"/>
          <w:highlight w:val="none"/>
          <w:lang w:val="en-US" w:eastAsia="zh-CN" w:bidi="ar-SA"/>
        </w:rPr>
        <w:t>9.比选申请书的修改和撤</w:t>
      </w:r>
      <w:bookmarkEnd w:id="230"/>
      <w:bookmarkEnd w:id="231"/>
      <w:r>
        <w:rPr>
          <w:rFonts w:hint="eastAsia" w:ascii="仿宋_GB2312" w:hAnsi="仿宋_GB2312" w:eastAsia="仿宋_GB2312" w:cs="仿宋_GB2312"/>
          <w:b/>
          <w:bCs/>
          <w:color w:val="auto"/>
          <w:kern w:val="2"/>
          <w:sz w:val="24"/>
          <w:szCs w:val="24"/>
          <w:highlight w:val="none"/>
          <w:lang w:val="en-US" w:eastAsia="zh-CN" w:bidi="ar-SA"/>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47" w:name="_Toc8913"/>
      <w:bookmarkStart w:id="248" w:name="_Toc480453675"/>
      <w:bookmarkStart w:id="249" w:name="_Toc505261867"/>
      <w:bookmarkStart w:id="250" w:name="_Toc14336253"/>
      <w:bookmarkStart w:id="251" w:name="_Toc474327001"/>
      <w:bookmarkStart w:id="252" w:name="_Toc469403753"/>
      <w:bookmarkStart w:id="253" w:name="_Toc513469005"/>
      <w:bookmarkStart w:id="254" w:name="_Toc14301628"/>
      <w:bookmarkStart w:id="255" w:name="_Toc474502541"/>
      <w:bookmarkStart w:id="256" w:name="_Toc27592"/>
      <w:bookmarkStart w:id="257" w:name="_Toc25628"/>
      <w:bookmarkStart w:id="258" w:name="_Toc10432"/>
      <w:bookmarkStart w:id="259" w:name="_Toc21815"/>
      <w:bookmarkStart w:id="260" w:name="_Toc29745"/>
      <w:r>
        <w:rPr>
          <w:rFonts w:hint="eastAsia" w:ascii="仿宋_GB2312" w:hAnsi="仿宋_GB2312" w:eastAsia="仿宋_GB2312" w:cs="仿宋_GB2312"/>
          <w:b/>
          <w:bCs/>
          <w:color w:val="auto"/>
          <w:kern w:val="2"/>
          <w:sz w:val="24"/>
          <w:szCs w:val="24"/>
          <w:highlight w:val="none"/>
          <w:lang w:val="en-US" w:eastAsia="zh-CN" w:bidi="ar-SA"/>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auto"/>
          <w:kern w:val="2"/>
          <w:sz w:val="24"/>
          <w:szCs w:val="24"/>
          <w:highlight w:val="none"/>
          <w:lang w:val="en-US" w:eastAsia="zh-CN" w:bidi="ar-SA"/>
        </w:rPr>
        <w:t>中选通知书</w:t>
      </w:r>
      <w:bookmarkEnd w:id="257"/>
      <w:bookmarkEnd w:id="258"/>
      <w:bookmarkEnd w:id="259"/>
      <w:bookmarkEnd w:id="260"/>
    </w:p>
    <w:p w14:paraId="0FD9724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比选人对确定的中选人发放中选通知书，未中选人不另发通知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中选通知书为签订合同的依据之一，是合同的有效组成部分。</w:t>
      </w:r>
    </w:p>
    <w:p w14:paraId="272450F0">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61" w:name="_Toc469403755"/>
      <w:bookmarkStart w:id="262" w:name="_Toc308164811"/>
      <w:bookmarkStart w:id="263" w:name="_Toc14336254"/>
      <w:bookmarkStart w:id="264" w:name="_Toc22962"/>
      <w:bookmarkStart w:id="265" w:name="_Toc474502543"/>
      <w:bookmarkStart w:id="266" w:name="_Toc505261869"/>
      <w:bookmarkStart w:id="267" w:name="_Toc14301629"/>
      <w:bookmarkStart w:id="268" w:name="_Toc16953"/>
      <w:bookmarkStart w:id="269" w:name="_Toc30793"/>
      <w:bookmarkStart w:id="270" w:name="_Toc513469007"/>
      <w:bookmarkStart w:id="271" w:name="_Toc8200"/>
      <w:bookmarkStart w:id="272" w:name="_Toc480453677"/>
      <w:bookmarkStart w:id="273" w:name="_Toc217446065"/>
      <w:bookmarkStart w:id="274" w:name="_Toc474327003"/>
      <w:bookmarkStart w:id="275" w:name="_Toc17978"/>
      <w:bookmarkStart w:id="276" w:name="_Toc32005"/>
      <w:r>
        <w:rPr>
          <w:rFonts w:hint="eastAsia" w:ascii="仿宋_GB2312" w:hAnsi="仿宋_GB2312" w:eastAsia="仿宋_GB2312" w:cs="仿宋_GB2312"/>
          <w:b/>
          <w:bCs/>
          <w:color w:val="auto"/>
          <w:kern w:val="2"/>
          <w:sz w:val="24"/>
          <w:szCs w:val="24"/>
          <w:highlight w:val="none"/>
          <w:lang w:val="en-US" w:eastAsia="zh-CN" w:bidi="ar-SA"/>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中选人应在中选通知书发出之日起</w:t>
      </w:r>
      <w:r>
        <w:rPr>
          <w:rFonts w:hint="eastAsia" w:ascii="仿宋_GB2312" w:hAnsi="仿宋_GB2312" w:eastAsia="仿宋_GB2312" w:cs="仿宋_GB2312"/>
          <w:color w:val="auto"/>
          <w:sz w:val="24"/>
          <w:highlight w:val="none"/>
          <w:lang w:val="en-US" w:eastAsia="zh-CN"/>
        </w:rPr>
        <w:t>30</w:t>
      </w:r>
      <w:r>
        <w:rPr>
          <w:rFonts w:hint="eastAsia" w:ascii="仿宋_GB2312" w:hAnsi="仿宋_GB2312" w:eastAsia="仿宋_GB2312" w:cs="仿宋_GB2312"/>
          <w:color w:val="auto"/>
          <w:sz w:val="24"/>
          <w:highlight w:val="none"/>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77" w:name="_Toc16727"/>
      <w:bookmarkStart w:id="278" w:name="_Toc14301630"/>
      <w:bookmarkStart w:id="279" w:name="_Toc28310"/>
      <w:bookmarkStart w:id="280" w:name="_Toc18127"/>
      <w:bookmarkStart w:id="281" w:name="_Toc23832"/>
      <w:bookmarkStart w:id="282" w:name="_Toc820"/>
      <w:bookmarkStart w:id="283" w:name="_Toc480453678"/>
      <w:bookmarkStart w:id="284" w:name="_Toc469403756"/>
      <w:bookmarkStart w:id="285" w:name="_Toc505261870"/>
      <w:bookmarkStart w:id="286" w:name="_Toc14336255"/>
      <w:bookmarkStart w:id="287" w:name="_Toc474327004"/>
      <w:bookmarkStart w:id="288" w:name="_Toc9244"/>
      <w:bookmarkStart w:id="289" w:name="_Toc474502544"/>
      <w:bookmarkStart w:id="290" w:name="_Toc513469008"/>
      <w:r>
        <w:rPr>
          <w:rFonts w:hint="eastAsia" w:ascii="仿宋_GB2312" w:hAnsi="仿宋_GB2312" w:eastAsia="仿宋_GB2312" w:cs="仿宋_GB2312"/>
          <w:b/>
          <w:bCs/>
          <w:color w:val="auto"/>
          <w:kern w:val="2"/>
          <w:sz w:val="24"/>
          <w:szCs w:val="24"/>
          <w:highlight w:val="none"/>
          <w:lang w:val="en-US" w:eastAsia="zh-CN" w:bidi="ar-SA"/>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auto"/>
          <w:kern w:val="2"/>
          <w:sz w:val="24"/>
          <w:szCs w:val="24"/>
          <w:highlight w:val="none"/>
          <w:lang w:val="en-US" w:eastAsia="zh-CN" w:bidi="ar-SA"/>
        </w:rPr>
        <w:t>（实质性要求）</w:t>
      </w:r>
    </w:p>
    <w:p w14:paraId="2B3F051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本项目不允许分包。</w:t>
      </w:r>
    </w:p>
    <w:p w14:paraId="49192C62">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91" w:name="_Toc10585"/>
      <w:bookmarkStart w:id="292" w:name="_Toc469403757"/>
      <w:bookmarkStart w:id="293" w:name="_Toc11503"/>
      <w:bookmarkStart w:id="294" w:name="_Toc14301631"/>
      <w:bookmarkStart w:id="295" w:name="_Toc474327005"/>
      <w:bookmarkStart w:id="296" w:name="_Toc505261871"/>
      <w:bookmarkStart w:id="297" w:name="_Toc474502545"/>
      <w:bookmarkStart w:id="298" w:name="_Toc14336256"/>
      <w:bookmarkStart w:id="299" w:name="_Toc480453679"/>
      <w:bookmarkStart w:id="300" w:name="_Toc513469009"/>
      <w:bookmarkStart w:id="301" w:name="_Toc22181"/>
      <w:bookmarkStart w:id="302" w:name="_Toc10843"/>
      <w:bookmarkStart w:id="303" w:name="_Toc26320"/>
      <w:bookmarkStart w:id="304" w:name="_Toc14666"/>
      <w:r>
        <w:rPr>
          <w:rFonts w:hint="eastAsia" w:ascii="仿宋_GB2312" w:hAnsi="仿宋_GB2312" w:eastAsia="仿宋_GB2312" w:cs="仿宋_GB2312"/>
          <w:b/>
          <w:bCs/>
          <w:color w:val="auto"/>
          <w:kern w:val="2"/>
          <w:sz w:val="24"/>
          <w:szCs w:val="24"/>
          <w:highlight w:val="none"/>
          <w:lang w:val="en-US" w:eastAsia="zh-CN" w:bidi="ar-SA"/>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auto"/>
          <w:kern w:val="2"/>
          <w:sz w:val="24"/>
          <w:szCs w:val="24"/>
          <w:highlight w:val="none"/>
          <w:lang w:val="en-US" w:eastAsia="zh-CN" w:bidi="ar-SA"/>
        </w:rPr>
        <w:t>（实质性要求）</w:t>
      </w:r>
    </w:p>
    <w:p w14:paraId="39CEC56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中选人转包的，视同拒绝履行采购合同义务，将依法追究法律责任。</w:t>
      </w:r>
    </w:p>
    <w:p w14:paraId="6137809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305" w:name="_Toc14301632"/>
      <w:bookmarkStart w:id="306" w:name="_Toc7747"/>
      <w:bookmarkStart w:id="307" w:name="_Toc2586"/>
      <w:bookmarkStart w:id="308" w:name="_Toc474502546"/>
      <w:bookmarkStart w:id="309" w:name="_Toc14336257"/>
      <w:bookmarkStart w:id="310" w:name="_Toc16676"/>
      <w:bookmarkStart w:id="311" w:name="_Toc480453680"/>
      <w:bookmarkStart w:id="312" w:name="_Toc513469010"/>
      <w:bookmarkStart w:id="313" w:name="_Toc6848"/>
      <w:bookmarkStart w:id="314" w:name="_Toc474327006"/>
      <w:bookmarkStart w:id="315" w:name="_Toc505261872"/>
      <w:bookmarkStart w:id="316" w:name="_Toc22161"/>
      <w:bookmarkStart w:id="317" w:name="_Toc469403758"/>
      <w:bookmarkStart w:id="318" w:name="_Toc412"/>
      <w:r>
        <w:rPr>
          <w:rFonts w:hint="eastAsia" w:ascii="仿宋_GB2312" w:hAnsi="仿宋_GB2312" w:eastAsia="仿宋_GB2312" w:cs="仿宋_GB2312"/>
          <w:b/>
          <w:bCs/>
          <w:color w:val="auto"/>
          <w:kern w:val="2"/>
          <w:sz w:val="24"/>
          <w:szCs w:val="24"/>
          <w:highlight w:val="none"/>
          <w:lang w:val="en-US" w:eastAsia="zh-CN" w:bidi="ar-SA"/>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ascii="仿宋_GB2312" w:hAnsi="仿宋_GB2312" w:eastAsia="仿宋_GB2312" w:cs="仿宋_GB2312"/>
          <w:b/>
          <w:bCs/>
          <w:color w:val="auto"/>
          <w:sz w:val="32"/>
          <w:szCs w:val="32"/>
          <w:highlight w:val="none"/>
        </w:rPr>
      </w:pPr>
      <w:bookmarkStart w:id="319" w:name="_Toc21638"/>
      <w:bookmarkStart w:id="320" w:name="_Toc12575"/>
      <w:bookmarkStart w:id="321" w:name="_Toc24237"/>
      <w:bookmarkStart w:id="322" w:name="_Toc31275"/>
      <w:bookmarkStart w:id="323" w:name="_Toc16770"/>
      <w:bookmarkStart w:id="324" w:name="_Toc3622"/>
      <w:bookmarkStart w:id="325" w:name="_Toc19085"/>
      <w:bookmarkStart w:id="326" w:name="_Toc7013"/>
      <w:bookmarkStart w:id="327" w:name="_Toc5478"/>
      <w:bookmarkStart w:id="328" w:name="_Toc21644"/>
      <w:bookmarkStart w:id="329" w:name="_Toc17862"/>
      <w:r>
        <w:rPr>
          <w:rFonts w:hint="eastAsia" w:ascii="仿宋_GB2312" w:hAnsi="仿宋_GB2312" w:eastAsia="仿宋_GB2312" w:cs="仿宋_GB2312"/>
          <w:b/>
          <w:bCs/>
          <w:color w:val="auto"/>
          <w:sz w:val="32"/>
          <w:szCs w:val="32"/>
          <w:highlight w:val="none"/>
        </w:rPr>
        <w:br w:type="page"/>
      </w:r>
    </w:p>
    <w:p w14:paraId="72ED1E31">
      <w:pPr>
        <w:spacing w:line="460" w:lineRule="exact"/>
        <w:ind w:firstLine="643"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一、依法在中华人民共和国境内设立的律师事务所，持有合法有效律师事务所执业许可证，以及国家法律法规要求的相关从业资质；如分所或分支机构参加比选的，分所或分支机构须获得总所唯一授权；</w:t>
      </w:r>
    </w:p>
    <w:p w14:paraId="4778E957">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color w:val="auto"/>
          <w:sz w:val="24"/>
          <w:highlight w:val="none"/>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证明材料2：</w:t>
      </w:r>
      <w:r>
        <w:rPr>
          <w:rFonts w:hint="eastAsia" w:ascii="仿宋_GB2312" w:hAnsi="仿宋_GB2312" w:eastAsia="仿宋_GB2312" w:cs="仿宋_GB2312"/>
          <w:color w:val="auto"/>
          <w:sz w:val="24"/>
          <w:highlight w:val="none"/>
        </w:rPr>
        <w:t>提供总所的业务许可证复印件，可以一次授权或总体授权，同一个事务所的多家分支机构不可同时参加比选。</w:t>
      </w:r>
    </w:p>
    <w:p w14:paraId="3CEDF735">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二、人员要求：比选申请人需在四川省内具有常设机构，机构应拥有</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0名以上的注册专职律师；能够组建相对固定且不少于3人的律师团队（不含实习律师、律师助理），</w:t>
      </w:r>
      <w:r>
        <w:rPr>
          <w:rFonts w:hint="eastAsia" w:ascii="仿宋_GB2312" w:hAnsi="仿宋_GB2312" w:eastAsia="仿宋_GB2312" w:cs="仿宋_GB2312"/>
          <w:color w:val="auto"/>
          <w:sz w:val="24"/>
          <w:highlight w:val="none"/>
        </w:rPr>
        <w:t>律师应具有司法行政主管部门颁发的《律师执业证》，执业时间3年以上，合法有效且年检合格。</w:t>
      </w:r>
    </w:p>
    <w:p w14:paraId="26C68096">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bCs/>
          <w:color w:val="auto"/>
          <w:sz w:val="24"/>
          <w:highlight w:val="none"/>
        </w:rPr>
        <w:t>提供证明文件。</w:t>
      </w:r>
    </w:p>
    <w:p w14:paraId="4FA6CC1D">
      <w:pPr>
        <w:spacing w:line="460" w:lineRule="exact"/>
        <w:ind w:firstLine="482" w:firstLineChars="200"/>
        <w:rPr>
          <w:rFonts w:ascii="Calibri" w:hAnsi="Calibri"/>
          <w:color w:val="auto"/>
          <w:highlight w:val="none"/>
        </w:rPr>
      </w:pPr>
      <w:r>
        <w:rPr>
          <w:rFonts w:hint="eastAsia" w:ascii="仿宋_GB2312" w:hAnsi="仿宋_GB2312" w:eastAsia="仿宋_GB2312" w:cs="仿宋_GB2312"/>
          <w:b/>
          <w:color w:val="auto"/>
          <w:sz w:val="24"/>
          <w:highlight w:val="none"/>
          <w:lang w:val="en-US" w:eastAsia="zh-CN"/>
        </w:rPr>
        <w:t>证明材料2：</w:t>
      </w:r>
      <w:r>
        <w:rPr>
          <w:rFonts w:hint="eastAsia" w:ascii="仿宋_GB2312" w:hAnsi="仿宋_GB2312" w:eastAsia="仿宋_GB2312" w:cs="仿宋_GB2312"/>
          <w:b w:val="0"/>
          <w:bCs/>
          <w:color w:val="auto"/>
          <w:sz w:val="24"/>
          <w:highlight w:val="none"/>
        </w:rPr>
        <w:t>提供</w:t>
      </w:r>
      <w:r>
        <w:rPr>
          <w:rFonts w:hint="eastAsia" w:ascii="仿宋_GB2312" w:hAnsi="仿宋_GB2312" w:eastAsia="仿宋_GB2312" w:cs="仿宋_GB2312"/>
          <w:bCs/>
          <w:color w:val="auto"/>
          <w:sz w:val="24"/>
          <w:highlight w:val="none"/>
        </w:rPr>
        <w:t>法律顾问团队的具体情况，包含团队负责人及主要成员的基本信息等。</w:t>
      </w:r>
    </w:p>
    <w:p w14:paraId="1BA50E8A">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三、信誉要求：</w:t>
      </w:r>
      <w:r>
        <w:rPr>
          <w:rFonts w:hint="eastAsia" w:ascii="仿宋_GB2312" w:hAnsi="仿宋_GB2312" w:eastAsia="仿宋_GB2312" w:cs="仿宋_GB2312"/>
          <w:color w:val="auto"/>
          <w:sz w:val="24"/>
          <w:highlight w:val="none"/>
        </w:rPr>
        <w:t>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和律师协会的行业处分，最近3年内提供的法律服务未因重大执业质量等问题受到省国资委的通报</w:t>
      </w:r>
      <w:r>
        <w:rPr>
          <w:rFonts w:hint="eastAsia" w:ascii="仿宋_GB2312" w:hAnsi="仿宋_GB2312" w:eastAsia="仿宋_GB2312" w:cs="仿宋_GB2312"/>
          <w:bCs/>
          <w:color w:val="auto"/>
          <w:sz w:val="24"/>
          <w:highlight w:val="none"/>
        </w:rPr>
        <w:t>；</w:t>
      </w:r>
    </w:p>
    <w:p w14:paraId="5CC3B7BA">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bCs/>
          <w:color w:val="auto"/>
          <w:sz w:val="24"/>
          <w:highlight w:val="none"/>
        </w:rPr>
        <w:t>相关网站查询截图。</w:t>
      </w:r>
    </w:p>
    <w:p w14:paraId="2F673C0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四、财务要求：</w:t>
      </w:r>
      <w:r>
        <w:rPr>
          <w:rFonts w:hint="eastAsia" w:ascii="仿宋_GB2312" w:hAnsi="仿宋_GB2312" w:eastAsia="仿宋_GB2312" w:cs="仿宋_GB2312"/>
          <w:color w:val="auto"/>
          <w:sz w:val="24"/>
          <w:highlight w:val="none"/>
        </w:rPr>
        <w:t>财务状况良好，近年财务报表无亏损；</w:t>
      </w:r>
    </w:p>
    <w:p w14:paraId="08BDAEBE">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color w:val="auto"/>
          <w:sz w:val="24"/>
          <w:highlight w:val="none"/>
        </w:rPr>
        <w:t>提供最近年度经审计的年度财务审计报告。</w:t>
      </w:r>
    </w:p>
    <w:p w14:paraId="0B5D7F2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四</w:t>
      </w:r>
      <w:r>
        <w:rPr>
          <w:rFonts w:hint="eastAsia" w:ascii="仿宋_GB2312" w:hAnsi="仿宋_GB2312" w:eastAsia="仿宋_GB2312" w:cs="仿宋_GB2312"/>
          <w:color w:val="auto"/>
          <w:sz w:val="24"/>
          <w:highlight w:val="none"/>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证明材料：</w:t>
      </w:r>
      <w:r>
        <w:rPr>
          <w:rFonts w:hint="eastAsia" w:ascii="仿宋_GB2312" w:hAnsi="仿宋_GB2312" w:eastAsia="仿宋_GB2312" w:cs="仿宋_GB2312"/>
          <w:color w:val="auto"/>
          <w:sz w:val="24"/>
          <w:highlight w:val="none"/>
        </w:rPr>
        <w:t>提供承诺函。</w:t>
      </w:r>
    </w:p>
    <w:p w14:paraId="0FC9C17D">
      <w:pPr>
        <w:rPr>
          <w:rFonts w:ascii="仿宋_GB2312" w:hAnsi="仿宋_GB2312" w:eastAsia="仿宋_GB2312" w:cs="仿宋_GB2312"/>
          <w:color w:val="auto"/>
          <w:sz w:val="24"/>
          <w:highlight w:val="none"/>
        </w:rPr>
        <w:sectPr>
          <w:footerReference r:id="rId6" w:type="default"/>
          <w:pgSz w:w="11906" w:h="16838"/>
          <w:pgMar w:top="1440" w:right="1800" w:bottom="1440" w:left="1800" w:header="851" w:footer="992" w:gutter="0"/>
          <w:pgNumType w:fmt="numberInDash"/>
          <w:cols w:space="720" w:num="1"/>
          <w:docGrid w:type="lines" w:linePitch="312" w:charSpace="0"/>
        </w:sectPr>
      </w:pPr>
      <w:bookmarkStart w:id="330" w:name="_Toc31452"/>
      <w:bookmarkStart w:id="331" w:name="_Toc25368"/>
    </w:p>
    <w:p w14:paraId="201DB634">
      <w:pPr>
        <w:spacing w:after="156" w:afterLines="50" w:line="460" w:lineRule="exact"/>
        <w:jc w:val="center"/>
        <w:rPr>
          <w:rFonts w:ascii="仿宋_GB2312" w:hAnsi="仿宋_GB2312" w:eastAsia="仿宋_GB2312" w:cs="仿宋_GB2312"/>
          <w:b/>
          <w:bCs/>
          <w:color w:val="auto"/>
          <w:sz w:val="32"/>
          <w:szCs w:val="32"/>
          <w:highlight w:val="none"/>
        </w:rPr>
      </w:pPr>
      <w:bookmarkStart w:id="332" w:name="_Toc9510"/>
      <w:bookmarkStart w:id="333" w:name="_Toc26622"/>
      <w:bookmarkStart w:id="334" w:name="_Toc302"/>
      <w:bookmarkStart w:id="335" w:name="_Toc21489"/>
      <w:bookmarkStart w:id="336" w:name="_Toc6072"/>
      <w:bookmarkStart w:id="337" w:name="_Toc2868"/>
      <w:bookmarkStart w:id="338" w:name="_Toc11356"/>
      <w:bookmarkStart w:id="339" w:name="_Toc22600"/>
      <w:bookmarkStart w:id="340" w:name="_Toc2113"/>
      <w:bookmarkStart w:id="341" w:name="_Toc27539"/>
      <w:r>
        <w:rPr>
          <w:rFonts w:hint="eastAsia" w:ascii="仿宋_GB2312" w:hAnsi="仿宋_GB2312" w:eastAsia="仿宋_GB2312" w:cs="仿宋_GB2312"/>
          <w:b/>
          <w:bCs/>
          <w:color w:val="auto"/>
          <w:sz w:val="32"/>
          <w:szCs w:val="32"/>
          <w:highlight w:val="none"/>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78E04C53">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比选申请书应按规定签署、盖章。</w:t>
      </w:r>
    </w:p>
    <w:p w14:paraId="4F77DE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本章所附格式大小只是范例，比选申请人可根据自己的实际情况进行调整。</w:t>
      </w:r>
    </w:p>
    <w:p w14:paraId="580CD8A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bookmarkStart w:id="342" w:name="_Toc24031"/>
      <w:bookmarkStart w:id="343" w:name="_Toc5206"/>
      <w:bookmarkStart w:id="344" w:name="_Toc22771"/>
      <w:bookmarkStart w:id="345" w:name="_Toc11259"/>
      <w:bookmarkStart w:id="346" w:name="_Toc7986"/>
      <w:r>
        <w:rPr>
          <w:rFonts w:hint="eastAsia" w:ascii="仿宋_GB2312" w:hAnsi="仿宋_GB2312" w:eastAsia="仿宋_GB2312" w:cs="仿宋_GB2312"/>
          <w:b/>
          <w:bCs/>
          <w:color w:val="auto"/>
          <w:sz w:val="30"/>
          <w:szCs w:val="30"/>
          <w:highlight w:val="none"/>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auto"/>
          <w:sz w:val="24"/>
          <w:highlight w:val="none"/>
        </w:rPr>
      </w:pPr>
    </w:p>
    <w:p w14:paraId="7E96169F">
      <w:pPr>
        <w:spacing w:line="460" w:lineRule="exact"/>
        <w:jc w:val="center"/>
        <w:rPr>
          <w:rFonts w:hint="default" w:ascii="仿宋_GB2312" w:hAnsi="仿宋_GB2312" w:eastAsia="仿宋_GB2312" w:cs="仿宋_GB2312"/>
          <w:b/>
          <w:color w:val="auto"/>
          <w:sz w:val="30"/>
          <w:szCs w:val="30"/>
          <w:highlight w:val="none"/>
          <w:u w:val="single"/>
          <w:lang w:val="en-US"/>
        </w:rPr>
      </w:pPr>
      <w:r>
        <w:rPr>
          <w:rFonts w:hint="eastAsia" w:ascii="仿宋_GB2312" w:hAnsi="仿宋_GB2312" w:eastAsia="仿宋_GB2312" w:cs="仿宋_GB2312"/>
          <w:b/>
          <w:color w:val="auto"/>
          <w:sz w:val="30"/>
          <w:szCs w:val="30"/>
          <w:highlight w:val="none"/>
          <w:u w:val="single"/>
          <w:lang w:val="en-US" w:eastAsia="zh-CN"/>
        </w:rPr>
        <w:t>四川省交通物资有限责任公司</w:t>
      </w:r>
    </w:p>
    <w:p w14:paraId="067DAB47">
      <w:pPr>
        <w:spacing w:line="460" w:lineRule="exact"/>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30"/>
          <w:szCs w:val="30"/>
          <w:highlight w:val="none"/>
          <w:u w:val="single"/>
          <w:lang w:val="en-US" w:eastAsia="zh-CN"/>
        </w:rPr>
        <w:t xml:space="preserve">          </w:t>
      </w:r>
      <w:r>
        <w:rPr>
          <w:rFonts w:hint="eastAsia" w:ascii="仿宋_GB2312" w:hAnsi="仿宋_GB2312" w:eastAsia="仿宋_GB2312" w:cs="仿宋_GB2312"/>
          <w:b/>
          <w:color w:val="auto"/>
          <w:sz w:val="30"/>
          <w:szCs w:val="30"/>
          <w:highlight w:val="none"/>
        </w:rPr>
        <w:t>公开</w:t>
      </w:r>
      <w:r>
        <w:rPr>
          <w:rFonts w:hint="eastAsia" w:ascii="仿宋_GB2312" w:hAnsi="仿宋_GB2312" w:eastAsia="仿宋_GB2312" w:cs="仿宋_GB2312"/>
          <w:b/>
          <w:color w:val="auto"/>
          <w:sz w:val="30"/>
          <w:szCs w:val="30"/>
          <w:highlight w:val="none"/>
          <w:lang w:val="en-US" w:eastAsia="zh-CN"/>
        </w:rPr>
        <w:t>选聘项目</w:t>
      </w:r>
    </w:p>
    <w:p w14:paraId="0DB0AC06">
      <w:pPr>
        <w:spacing w:line="460" w:lineRule="exact"/>
        <w:jc w:val="left"/>
        <w:rPr>
          <w:rFonts w:ascii="仿宋_GB2312" w:hAnsi="仿宋_GB2312" w:eastAsia="仿宋_GB2312" w:cs="仿宋_GB2312"/>
          <w:b/>
          <w:color w:val="auto"/>
          <w:sz w:val="24"/>
          <w:highlight w:val="none"/>
        </w:rPr>
      </w:pPr>
    </w:p>
    <w:p w14:paraId="039C56EA">
      <w:pPr>
        <w:spacing w:line="460" w:lineRule="exact"/>
        <w:jc w:val="left"/>
        <w:rPr>
          <w:rFonts w:ascii="仿宋_GB2312" w:hAnsi="仿宋_GB2312" w:eastAsia="仿宋_GB2312" w:cs="仿宋_GB2312"/>
          <w:b/>
          <w:color w:val="auto"/>
          <w:sz w:val="24"/>
          <w:highlight w:val="none"/>
        </w:rPr>
      </w:pPr>
    </w:p>
    <w:p w14:paraId="0154D4B2">
      <w:pPr>
        <w:pStyle w:val="2"/>
        <w:rPr>
          <w:color w:val="auto"/>
        </w:rPr>
      </w:pPr>
    </w:p>
    <w:p w14:paraId="679D8C17">
      <w:pPr>
        <w:spacing w:line="460" w:lineRule="exact"/>
        <w:jc w:val="left"/>
        <w:rPr>
          <w:rFonts w:ascii="仿宋_GB2312" w:hAnsi="仿宋_GB2312" w:eastAsia="仿宋_GB2312" w:cs="仿宋_GB2312"/>
          <w:b/>
          <w:color w:val="auto"/>
          <w:sz w:val="24"/>
          <w:highlight w:val="none"/>
        </w:rPr>
      </w:pPr>
    </w:p>
    <w:p w14:paraId="3B0C3D94">
      <w:pPr>
        <w:spacing w:line="460" w:lineRule="exact"/>
        <w:jc w:val="left"/>
        <w:rPr>
          <w:rFonts w:ascii="仿宋_GB2312" w:hAnsi="仿宋_GB2312" w:eastAsia="仿宋_GB2312" w:cs="仿宋_GB2312"/>
          <w:b/>
          <w:color w:val="auto"/>
          <w:sz w:val="24"/>
          <w:highlight w:val="none"/>
        </w:rPr>
      </w:pPr>
    </w:p>
    <w:p w14:paraId="35E070E8">
      <w:pPr>
        <w:spacing w:line="460" w:lineRule="exact"/>
        <w:jc w:val="center"/>
        <w:rPr>
          <w:rFonts w:ascii="仿宋_GB2312" w:hAnsi="仿宋_GB2312" w:eastAsia="仿宋_GB2312" w:cs="仿宋_GB2312"/>
          <w:b/>
          <w:color w:val="auto"/>
          <w:sz w:val="30"/>
          <w:szCs w:val="30"/>
          <w:highlight w:val="none"/>
        </w:rPr>
      </w:pPr>
      <w:bookmarkStart w:id="347" w:name="_Toc29810"/>
      <w:r>
        <w:rPr>
          <w:rFonts w:hint="eastAsia" w:ascii="仿宋_GB2312" w:hAnsi="仿宋_GB2312" w:eastAsia="仿宋_GB2312" w:cs="仿宋_GB2312"/>
          <w:b/>
          <w:color w:val="auto"/>
          <w:sz w:val="30"/>
          <w:szCs w:val="30"/>
          <w:highlight w:val="none"/>
        </w:rPr>
        <w:t>比选申请书</w:t>
      </w:r>
      <w:bookmarkEnd w:id="347"/>
    </w:p>
    <w:p w14:paraId="1CE25EDF">
      <w:pPr>
        <w:spacing w:line="460" w:lineRule="exact"/>
        <w:rPr>
          <w:rFonts w:ascii="仿宋_GB2312" w:hAnsi="仿宋_GB2312" w:eastAsia="仿宋_GB2312" w:cs="仿宋_GB2312"/>
          <w:b/>
          <w:color w:val="auto"/>
          <w:sz w:val="30"/>
          <w:szCs w:val="30"/>
          <w:highlight w:val="none"/>
        </w:rPr>
      </w:pPr>
    </w:p>
    <w:p w14:paraId="0485A2C7">
      <w:pPr>
        <w:spacing w:line="460" w:lineRule="exact"/>
        <w:rPr>
          <w:rFonts w:ascii="仿宋_GB2312" w:hAnsi="仿宋_GB2312" w:eastAsia="仿宋_GB2312" w:cs="仿宋_GB2312"/>
          <w:b/>
          <w:color w:val="auto"/>
          <w:sz w:val="30"/>
          <w:szCs w:val="30"/>
          <w:highlight w:val="none"/>
        </w:rPr>
      </w:pPr>
    </w:p>
    <w:p w14:paraId="4A502A84">
      <w:pPr>
        <w:spacing w:line="460" w:lineRule="exact"/>
        <w:jc w:val="center"/>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项目编号：）</w:t>
      </w:r>
    </w:p>
    <w:p w14:paraId="484A86ED">
      <w:pPr>
        <w:spacing w:line="460" w:lineRule="exact"/>
        <w:rPr>
          <w:rFonts w:ascii="仿宋_GB2312" w:hAnsi="仿宋_GB2312" w:eastAsia="仿宋_GB2312" w:cs="仿宋_GB2312"/>
          <w:color w:val="auto"/>
          <w:sz w:val="30"/>
          <w:szCs w:val="30"/>
          <w:highlight w:val="none"/>
        </w:rPr>
      </w:pPr>
    </w:p>
    <w:p w14:paraId="52D0E0FD">
      <w:pPr>
        <w:spacing w:line="460" w:lineRule="exact"/>
        <w:rPr>
          <w:rFonts w:ascii="仿宋_GB2312" w:hAnsi="仿宋_GB2312" w:eastAsia="仿宋_GB2312" w:cs="仿宋_GB2312"/>
          <w:b/>
          <w:color w:val="auto"/>
          <w:sz w:val="30"/>
          <w:szCs w:val="30"/>
          <w:highlight w:val="none"/>
        </w:rPr>
      </w:pPr>
    </w:p>
    <w:p w14:paraId="2581958D">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比选申请人：    </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全称并加盖公章</w:t>
      </w:r>
      <w:r>
        <w:rPr>
          <w:rFonts w:hint="eastAsia" w:ascii="仿宋_GB2312" w:hAnsi="仿宋_GB2312" w:eastAsia="仿宋_GB2312" w:cs="仿宋_GB2312"/>
          <w:b/>
          <w:color w:val="auto"/>
          <w:sz w:val="30"/>
          <w:szCs w:val="30"/>
          <w:highlight w:val="none"/>
          <w:lang w:eastAsia="zh-CN"/>
        </w:rPr>
        <w:t>）</w:t>
      </w:r>
    </w:p>
    <w:p w14:paraId="46675148">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联系人：</w:t>
      </w:r>
    </w:p>
    <w:p w14:paraId="6EDB3D41">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联系电话：</w:t>
      </w:r>
    </w:p>
    <w:p w14:paraId="333B7E6B">
      <w:pPr>
        <w:spacing w:line="460" w:lineRule="exact"/>
        <w:ind w:firstLine="1656" w:firstLineChars="550"/>
        <w:rPr>
          <w:rFonts w:ascii="仿宋_GB2312" w:hAnsi="仿宋_GB2312" w:eastAsia="仿宋_GB2312" w:cs="仿宋_GB2312"/>
          <w:b/>
          <w:color w:val="auto"/>
          <w:sz w:val="30"/>
          <w:szCs w:val="30"/>
          <w:highlight w:val="none"/>
        </w:rPr>
      </w:pPr>
    </w:p>
    <w:p w14:paraId="40F22D13">
      <w:pPr>
        <w:spacing w:line="460" w:lineRule="exact"/>
        <w:ind w:firstLine="1656" w:firstLineChars="550"/>
        <w:rPr>
          <w:rFonts w:ascii="仿宋_GB2312" w:hAnsi="仿宋_GB2312" w:eastAsia="仿宋_GB2312" w:cs="仿宋_GB2312"/>
          <w:b/>
          <w:color w:val="auto"/>
          <w:sz w:val="30"/>
          <w:szCs w:val="30"/>
          <w:highlight w:val="none"/>
        </w:rPr>
      </w:pPr>
    </w:p>
    <w:p w14:paraId="7D3C5020">
      <w:pPr>
        <w:spacing w:line="460" w:lineRule="exact"/>
        <w:ind w:firstLine="1656" w:firstLineChars="550"/>
        <w:rPr>
          <w:rFonts w:ascii="仿宋_GB2312" w:hAnsi="仿宋_GB2312" w:eastAsia="仿宋_GB2312" w:cs="仿宋_GB2312"/>
          <w:b/>
          <w:color w:val="auto"/>
          <w:sz w:val="30"/>
          <w:szCs w:val="30"/>
          <w:highlight w:val="none"/>
        </w:rPr>
      </w:pPr>
    </w:p>
    <w:p w14:paraId="17881B81">
      <w:pPr>
        <w:spacing w:line="460" w:lineRule="exact"/>
        <w:jc w:val="center"/>
        <w:rPr>
          <w:rFonts w:ascii="仿宋_GB2312" w:hAnsi="仿宋_GB2312" w:eastAsia="仿宋_GB2312" w:cs="仿宋_GB2312"/>
          <w:b/>
          <w:color w:val="auto"/>
          <w:sz w:val="30"/>
          <w:szCs w:val="30"/>
          <w:highlight w:val="none"/>
        </w:rPr>
      </w:pPr>
      <w:bookmarkStart w:id="348" w:name="_Toc7456"/>
      <w:r>
        <w:rPr>
          <w:rFonts w:hint="eastAsia" w:ascii="仿宋_GB2312" w:hAnsi="仿宋_GB2312" w:eastAsia="仿宋_GB2312" w:cs="仿宋_GB2312"/>
          <w:b/>
          <w:color w:val="auto"/>
          <w:sz w:val="30"/>
          <w:szCs w:val="30"/>
          <w:highlight w:val="none"/>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br w:type="page"/>
      </w:r>
      <w:bookmarkStart w:id="349" w:name="_Toc9662"/>
      <w:bookmarkStart w:id="350" w:name="_Toc10022"/>
      <w:bookmarkStart w:id="351" w:name="_Toc16887"/>
      <w:bookmarkStart w:id="352" w:name="_Toc10661"/>
      <w:bookmarkStart w:id="353" w:name="_Toc2677"/>
      <w:bookmarkStart w:id="354" w:name="_Toc30337"/>
      <w:bookmarkStart w:id="355" w:name="_Toc4068"/>
      <w:bookmarkStart w:id="356" w:name="_Toc12107"/>
      <w:r>
        <w:rPr>
          <w:rFonts w:hint="eastAsia" w:ascii="仿宋_GB2312" w:hAnsi="仿宋_GB2312" w:eastAsia="仿宋_GB2312" w:cs="仿宋_GB2312"/>
          <w:b/>
          <w:bCs/>
          <w:color w:val="auto"/>
          <w:kern w:val="28"/>
          <w:sz w:val="30"/>
          <w:szCs w:val="30"/>
          <w:highlight w:val="none"/>
          <w:lang w:val="en-US" w:eastAsia="zh-CN" w:bidi="ar-SA"/>
        </w:rPr>
        <w:t>二、比选申请函</w:t>
      </w:r>
      <w:bookmarkEnd w:id="349"/>
      <w:bookmarkEnd w:id="350"/>
      <w:bookmarkEnd w:id="351"/>
    </w:p>
    <w:p w14:paraId="6E8CBB07">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四川省交通物资有限责任公司</w:t>
      </w:r>
    </w:p>
    <w:p w14:paraId="030AEB4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我方全面研究了 “</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w:t>
      </w:r>
      <w:r>
        <w:rPr>
          <w:rFonts w:hint="eastAsia" w:ascii="仿宋_GB2312" w:hAnsi="仿宋_GB2312" w:eastAsia="仿宋_GB2312" w:cs="仿宋_GB2312"/>
          <w:color w:val="auto"/>
          <w:sz w:val="24"/>
          <w:highlight w:val="none"/>
        </w:rPr>
        <w:t>”比选文件，决定参加贵单位组织的本项目比选活动。我方授权（姓名、职务）代表我方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（比选申请人单位的名称）全权处理本项目比选活动的有关事宜。在此提交的比选申请文件，正本一份，副本一份。包括如下内容：</w:t>
      </w:r>
    </w:p>
    <w:p w14:paraId="647CD2AE">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（一）比选申请书；负责人本人身份证复印件。如果有委托代理人的，应同时附负责人授权书、负责人身份复印件、委托代理人身份证复印件；</w:t>
      </w:r>
    </w:p>
    <w:p w14:paraId="61E796F4">
      <w:pPr>
        <w:spacing w:line="460"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（二）团队构成，团队负责人及成员简介及其相关资格证书的复印件； </w:t>
      </w:r>
    </w:p>
    <w:p w14:paraId="6F18D8FC">
      <w:pPr>
        <w:spacing w:line="460" w:lineRule="exact"/>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三）服务方案；</w:t>
      </w:r>
    </w:p>
    <w:p w14:paraId="383AC78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四</w:t>
      </w:r>
      <w:r>
        <w:rPr>
          <w:rFonts w:hint="eastAsia" w:ascii="仿宋_GB2312" w:hAnsi="仿宋_GB2312" w:eastAsia="仿宋_GB2312" w:cs="仿宋_GB2312"/>
          <w:color w:val="auto"/>
          <w:sz w:val="24"/>
          <w:highlight w:val="none"/>
        </w:rPr>
        <w:t>）比选报价；</w:t>
      </w:r>
    </w:p>
    <w:p w14:paraId="50A158C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）律师事务所执业许可证副本、相关资质复印件；</w:t>
      </w:r>
    </w:p>
    <w:p w14:paraId="3CC33F2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）本文件第三章提到的相关证明文件；</w:t>
      </w:r>
    </w:p>
    <w:p w14:paraId="13AF2A7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七</w:t>
      </w:r>
      <w:r>
        <w:rPr>
          <w:rFonts w:hint="eastAsia" w:ascii="仿宋_GB2312" w:hAnsi="仿宋_GB2312" w:eastAsia="仿宋_GB2312" w:cs="仿宋_GB2312"/>
          <w:color w:val="auto"/>
          <w:sz w:val="24"/>
          <w:highlight w:val="none"/>
        </w:rPr>
        <w:t>）承诺函；</w:t>
      </w:r>
    </w:p>
    <w:p w14:paraId="3575D56D">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八</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202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rPr>
        <w:t>度审计报告；</w:t>
      </w:r>
    </w:p>
    <w:p w14:paraId="65FF862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w:t>
      </w:r>
      <w:r>
        <w:rPr>
          <w:rFonts w:hint="eastAsia" w:ascii="仿宋_GB2312" w:hAnsi="仿宋_GB2312" w:eastAsia="仿宋_GB2312" w:cs="仿宋_GB2312"/>
          <w:color w:val="auto"/>
          <w:sz w:val="24"/>
          <w:highlight w:val="none"/>
          <w:lang w:eastAsia="zh-CN"/>
        </w:rPr>
        <w:t>已完全</w:t>
      </w:r>
      <w:r>
        <w:rPr>
          <w:rFonts w:hint="eastAsia" w:ascii="仿宋_GB2312" w:hAnsi="仿宋_GB2312" w:eastAsia="仿宋_GB2312" w:cs="仿宋_GB2312"/>
          <w:color w:val="auto"/>
          <w:sz w:val="24"/>
          <w:highlight w:val="none"/>
        </w:rPr>
        <w:t>明白比选文件的所有条款要求，并重申以下几点：</w:t>
      </w:r>
    </w:p>
    <w:p w14:paraId="3324DD8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我方决定参加此次比选项目的法律服务工作并已经实施全部有关服务的比选报价及详细预算。</w:t>
      </w:r>
    </w:p>
    <w:p w14:paraId="03D243F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（二）我方了解并知悉比选文件第五章“项目需求及服务、团队等相关要求”所列明的内容并进行</w:t>
      </w:r>
      <w:r>
        <w:rPr>
          <w:rFonts w:hint="eastAsia" w:ascii="仿宋_GB2312" w:hAnsi="仿宋_GB2312" w:eastAsia="仿宋_GB2312" w:cs="仿宋_GB2312"/>
          <w:color w:val="auto"/>
          <w:sz w:val="24"/>
          <w:highlight w:val="none"/>
          <w:u w:val="single"/>
        </w:rPr>
        <w:t xml:space="preserve"> 完全/部分 </w:t>
      </w:r>
      <w:r>
        <w:rPr>
          <w:rFonts w:hint="eastAsia" w:ascii="仿宋_GB2312" w:hAnsi="仿宋_GB2312" w:eastAsia="仿宋_GB2312" w:cs="仿宋_GB2312"/>
          <w:color w:val="auto"/>
          <w:sz w:val="24"/>
          <w:highlight w:val="none"/>
        </w:rPr>
        <w:t>响应，其中</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项我单位无法响应（如有请列明序号）。</w:t>
      </w:r>
    </w:p>
    <w:p w14:paraId="7B21194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本比选申请文件的有效期至比选截止日后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天有效，如中选，有效期将延至合同终止日止。</w:t>
      </w:r>
    </w:p>
    <w:p w14:paraId="2CF1F9C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我方已详细研究了比选文件的所有内容包括修正文件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和所有已提供的参考资料以及有关附件并完全明白。我方放弃在此方面提出含糊意见或误解的一切权力。</w:t>
      </w:r>
    </w:p>
    <w:p w14:paraId="7FAB8E2F">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我方同意按照贵方可能提出的要求而提供与比选有关的</w:t>
      </w:r>
      <w:r>
        <w:rPr>
          <w:rFonts w:hint="eastAsia" w:ascii="仿宋_GB2312" w:hAnsi="仿宋_GB2312" w:eastAsia="仿宋_GB2312" w:cs="仿宋_GB2312"/>
          <w:color w:val="auto"/>
          <w:sz w:val="24"/>
          <w:highlight w:val="none"/>
          <w:lang w:eastAsia="zh-CN"/>
        </w:rPr>
        <w:t>任何其他</w:t>
      </w:r>
      <w:r>
        <w:rPr>
          <w:rFonts w:hint="eastAsia" w:ascii="仿宋_GB2312" w:hAnsi="仿宋_GB2312" w:eastAsia="仿宋_GB2312" w:cs="仿宋_GB2312"/>
          <w:color w:val="auto"/>
          <w:sz w:val="24"/>
          <w:highlight w:val="none"/>
        </w:rPr>
        <w:t>数据或信息。</w:t>
      </w:r>
    </w:p>
    <w:p w14:paraId="29183DF7">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我方理解贵方不一定接受最低比选报价或任何贵方可能收到的比选申请。</w:t>
      </w:r>
    </w:p>
    <w:p w14:paraId="73EFF887">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我方如果中选，将保证履行比选文件以及比选文件修改书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中全部责任和义务，按质、按量、按期完成任务。</w:t>
      </w:r>
    </w:p>
    <w:p w14:paraId="4B301C6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所有与本次比选有关的函件请发往下列地址：</w:t>
      </w:r>
    </w:p>
    <w:p w14:paraId="1BF9E833">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    址：  </w:t>
      </w:r>
    </w:p>
    <w:p w14:paraId="6CCDBBA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邮政编码：          电话：         传真：  </w:t>
      </w:r>
    </w:p>
    <w:p w14:paraId="6D470D04">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3F86EF74">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参选机构（律所公章）</w:t>
      </w:r>
    </w:p>
    <w:p w14:paraId="26EA5952">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法定代表姓名：             </w:t>
      </w:r>
    </w:p>
    <w:p w14:paraId="4CDB832D">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务：</w:t>
      </w:r>
    </w:p>
    <w:p w14:paraId="0FC5D754">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授权代表姓名（签名或盖章）</w:t>
      </w:r>
    </w:p>
    <w:p w14:paraId="2D4BE74B">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参选机构地址：</w:t>
      </w:r>
    </w:p>
    <w:p w14:paraId="47F248E1">
      <w:pPr>
        <w:spacing w:line="460" w:lineRule="exact"/>
        <w:ind w:firstLine="480"/>
        <w:jc w:val="right"/>
        <w:rPr>
          <w:rFonts w:ascii="仿宋_GB2312" w:hAnsi="仿宋_GB2312" w:eastAsia="仿宋_GB2312" w:cs="仿宋_GB2312"/>
          <w:color w:val="auto"/>
          <w:sz w:val="24"/>
          <w:highlight w:val="none"/>
        </w:rPr>
      </w:pPr>
    </w:p>
    <w:p w14:paraId="0612D5B8">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671B9045">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D77FDD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2642DF5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D2A862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14DD0F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0E35218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863187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93DD04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1B0E37A">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3C3614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31CABC4A">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比选申请人根据自身情况在比选申请书中提供（1）或（2）。</w:t>
      </w:r>
    </w:p>
    <w:p w14:paraId="7F5DA6D1">
      <w:pPr>
        <w:spacing w:line="460" w:lineRule="exact"/>
        <w:ind w:firstLine="480"/>
        <w:rPr>
          <w:rFonts w:ascii="仿宋_GB2312" w:hAnsi="仿宋_GB2312" w:eastAsia="仿宋_GB2312" w:cs="仿宋_GB2312"/>
          <w:color w:val="auto"/>
          <w:sz w:val="24"/>
          <w:highlight w:val="none"/>
        </w:rPr>
      </w:pPr>
    </w:p>
    <w:p w14:paraId="4296A9F7">
      <w:pPr>
        <w:spacing w:line="460" w:lineRule="exact"/>
        <w:ind w:firstLine="602"/>
        <w:jc w:val="center"/>
        <w:rPr>
          <w:rFonts w:ascii="仿宋_GB2312" w:hAnsi="仿宋_GB2312" w:eastAsia="仿宋_GB2312" w:cs="仿宋_GB2312"/>
          <w:b/>
          <w:color w:val="auto"/>
          <w:sz w:val="24"/>
          <w:highlight w:val="none"/>
        </w:rPr>
      </w:pPr>
      <w:bookmarkStart w:id="357" w:name="_Toc24911"/>
      <w:r>
        <w:rPr>
          <w:rFonts w:hint="eastAsia" w:ascii="仿宋_GB2312" w:hAnsi="仿宋_GB2312" w:eastAsia="仿宋_GB2312" w:cs="仿宋_GB2312"/>
          <w:b/>
          <w:color w:val="auto"/>
          <w:sz w:val="24"/>
          <w:highlight w:val="none"/>
        </w:rPr>
        <w:t>（1）法定代表人证明</w:t>
      </w:r>
      <w:bookmarkEnd w:id="357"/>
    </w:p>
    <w:p w14:paraId="2E86FB4B">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（仅在法定代表人参加比选时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60CDDED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律师事务所名称：</w:t>
      </w:r>
      <w:r>
        <w:rPr>
          <w:rFonts w:hint="eastAsia" w:ascii="仿宋_GB2312" w:hAnsi="仿宋_GB2312" w:eastAsia="仿宋_GB2312" w:cs="仿宋_GB2312"/>
          <w:color w:val="auto"/>
          <w:sz w:val="24"/>
          <w:highlight w:val="none"/>
          <w:u w:val="single"/>
        </w:rPr>
        <w:t xml:space="preserve">                                      </w:t>
      </w:r>
    </w:p>
    <w:p w14:paraId="2110E9D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3CD33DB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single"/>
        </w:rPr>
        <w:t xml:space="preserve">                                              </w:t>
      </w:r>
    </w:p>
    <w:p w14:paraId="7A2AEE3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240129E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73CFB13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w:t>
      </w:r>
      <w:r>
        <w:rPr>
          <w:rFonts w:hint="eastAsia" w:ascii="仿宋_GB2312" w:hAnsi="仿宋_GB2312" w:eastAsia="仿宋_GB2312" w:cs="仿宋_GB2312"/>
          <w:color w:val="auto"/>
          <w:sz w:val="24"/>
          <w:highlight w:val="none"/>
          <w:u w:val="single"/>
        </w:rPr>
        <w:t xml:space="preserve">       </w:t>
      </w:r>
    </w:p>
    <w:p w14:paraId="3E16F026">
      <w:pPr>
        <w:spacing w:line="460" w:lineRule="exact"/>
        <w:ind w:firstLine="48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18731A4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（比选申请人）的法定代表人。</w:t>
      </w:r>
    </w:p>
    <w:p w14:paraId="397B0A15">
      <w:pPr>
        <w:spacing w:line="460" w:lineRule="exact"/>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14:paraId="179662B0">
      <w:pPr>
        <w:spacing w:line="460" w:lineRule="exact"/>
        <w:rPr>
          <w:rFonts w:ascii="仿宋_GB2312" w:hAnsi="仿宋_GB2312" w:eastAsia="仿宋_GB2312" w:cs="仿宋_GB2312"/>
          <w:color w:val="auto"/>
          <w:sz w:val="24"/>
          <w:highlight w:val="none"/>
        </w:rPr>
      </w:pPr>
    </w:p>
    <w:p w14:paraId="047B2765">
      <w:pPr>
        <w:wordWrap w:val="0"/>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14:paraId="572E21F5">
      <w:pPr>
        <w:spacing w:line="460" w:lineRule="exact"/>
        <w:ind w:firstLine="5160" w:firstLineChars="2150"/>
        <w:rPr>
          <w:rFonts w:ascii="仿宋_GB2312" w:hAnsi="仿宋_GB2312" w:eastAsia="仿宋_GB2312" w:cs="仿宋_GB2312"/>
          <w:color w:val="auto"/>
          <w:sz w:val="24"/>
          <w:highlight w:val="none"/>
          <w:u w:val="single"/>
        </w:rPr>
      </w:pPr>
    </w:p>
    <w:p w14:paraId="453C705C">
      <w:pPr>
        <w:spacing w:line="460" w:lineRule="exact"/>
        <w:ind w:firstLine="4200" w:firstLineChars="17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48CB047">
      <w:pPr>
        <w:tabs>
          <w:tab w:val="left" w:pos="8280"/>
        </w:tabs>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附法定代表人身份证复印件。</w:t>
      </w:r>
    </w:p>
    <w:p w14:paraId="231A9705">
      <w:pPr>
        <w:spacing w:line="460" w:lineRule="exact"/>
        <w:rPr>
          <w:rFonts w:ascii="仿宋_GB2312" w:hAnsi="仿宋_GB2312" w:eastAsia="仿宋_GB2312" w:cs="仿宋_GB2312"/>
          <w:b/>
          <w:color w:val="auto"/>
          <w:sz w:val="24"/>
          <w:highlight w:val="none"/>
        </w:rPr>
      </w:pPr>
    </w:p>
    <w:p w14:paraId="4CDE90AA">
      <w:pPr>
        <w:spacing w:line="460" w:lineRule="exact"/>
        <w:rPr>
          <w:rFonts w:ascii="仿宋_GB2312" w:hAnsi="仿宋_GB2312" w:eastAsia="仿宋_GB2312" w:cs="仿宋_GB2312"/>
          <w:b/>
          <w:color w:val="auto"/>
          <w:sz w:val="24"/>
          <w:highlight w:val="none"/>
        </w:rPr>
      </w:pPr>
    </w:p>
    <w:p w14:paraId="5A998211">
      <w:pPr>
        <w:spacing w:line="460" w:lineRule="exact"/>
        <w:rPr>
          <w:rFonts w:ascii="仿宋_GB2312" w:hAnsi="仿宋_GB2312" w:eastAsia="仿宋_GB2312" w:cs="仿宋_GB2312"/>
          <w:b/>
          <w:color w:val="auto"/>
          <w:sz w:val="24"/>
          <w:highlight w:val="none"/>
        </w:rPr>
      </w:pPr>
    </w:p>
    <w:p w14:paraId="354F3CC8">
      <w:pPr>
        <w:spacing w:line="460" w:lineRule="exact"/>
        <w:rPr>
          <w:rFonts w:ascii="仿宋_GB2312" w:hAnsi="仿宋_GB2312" w:eastAsia="仿宋_GB2312" w:cs="仿宋_GB2312"/>
          <w:b/>
          <w:color w:val="auto"/>
          <w:sz w:val="24"/>
          <w:highlight w:val="none"/>
        </w:rPr>
      </w:pPr>
    </w:p>
    <w:p w14:paraId="6094D048">
      <w:pPr>
        <w:spacing w:line="460" w:lineRule="exact"/>
        <w:rPr>
          <w:rFonts w:ascii="仿宋_GB2312" w:hAnsi="仿宋_GB2312" w:eastAsia="仿宋_GB2312" w:cs="仿宋_GB2312"/>
          <w:b/>
          <w:color w:val="auto"/>
          <w:sz w:val="24"/>
          <w:highlight w:val="none"/>
        </w:rPr>
      </w:pPr>
    </w:p>
    <w:p w14:paraId="69018806">
      <w:pPr>
        <w:spacing w:line="460" w:lineRule="exact"/>
        <w:rPr>
          <w:rFonts w:ascii="仿宋_GB2312" w:hAnsi="仿宋_GB2312" w:eastAsia="仿宋_GB2312" w:cs="仿宋_GB2312"/>
          <w:b/>
          <w:color w:val="auto"/>
          <w:sz w:val="24"/>
          <w:highlight w:val="none"/>
        </w:rPr>
      </w:pPr>
    </w:p>
    <w:p w14:paraId="1433650D">
      <w:pPr>
        <w:spacing w:line="460" w:lineRule="exact"/>
        <w:rPr>
          <w:rFonts w:ascii="仿宋_GB2312" w:hAnsi="仿宋_GB2312" w:eastAsia="仿宋_GB2312" w:cs="仿宋_GB2312"/>
          <w:b/>
          <w:color w:val="auto"/>
          <w:sz w:val="24"/>
          <w:highlight w:val="none"/>
        </w:rPr>
      </w:pPr>
    </w:p>
    <w:p w14:paraId="498F6EA3">
      <w:pPr>
        <w:spacing w:line="460" w:lineRule="exact"/>
        <w:rPr>
          <w:rFonts w:ascii="仿宋_GB2312" w:hAnsi="仿宋_GB2312" w:eastAsia="仿宋_GB2312" w:cs="仿宋_GB2312"/>
          <w:b/>
          <w:color w:val="auto"/>
          <w:sz w:val="24"/>
          <w:highlight w:val="none"/>
        </w:rPr>
      </w:pPr>
    </w:p>
    <w:p w14:paraId="0DD06F95">
      <w:pPr>
        <w:spacing w:line="460" w:lineRule="exact"/>
        <w:rPr>
          <w:rFonts w:ascii="仿宋_GB2312" w:hAnsi="仿宋_GB2312" w:eastAsia="仿宋_GB2312" w:cs="仿宋_GB2312"/>
          <w:b/>
          <w:color w:val="auto"/>
          <w:sz w:val="24"/>
          <w:highlight w:val="none"/>
        </w:rPr>
      </w:pPr>
    </w:p>
    <w:p w14:paraId="69878C76">
      <w:pPr>
        <w:spacing w:line="460" w:lineRule="exact"/>
        <w:rPr>
          <w:rFonts w:ascii="仿宋_GB2312" w:hAnsi="仿宋_GB2312" w:eastAsia="仿宋_GB2312" w:cs="仿宋_GB2312"/>
          <w:b/>
          <w:color w:val="auto"/>
          <w:sz w:val="24"/>
          <w:highlight w:val="none"/>
        </w:rPr>
      </w:pPr>
    </w:p>
    <w:p w14:paraId="6D531EA5">
      <w:pPr>
        <w:spacing w:line="460" w:lineRule="exact"/>
        <w:rPr>
          <w:rFonts w:ascii="仿宋_GB2312" w:hAnsi="仿宋_GB2312" w:eastAsia="仿宋_GB2312" w:cs="仿宋_GB2312"/>
          <w:b/>
          <w:color w:val="auto"/>
          <w:sz w:val="24"/>
          <w:highlight w:val="none"/>
        </w:rPr>
      </w:pPr>
    </w:p>
    <w:p w14:paraId="210D8A97">
      <w:pPr>
        <w:spacing w:line="460" w:lineRule="exact"/>
        <w:jc w:val="center"/>
        <w:rPr>
          <w:rFonts w:ascii="仿宋_GB2312" w:hAnsi="仿宋_GB2312" w:eastAsia="仿宋_GB2312" w:cs="仿宋_GB2312"/>
          <w:b/>
          <w:color w:val="auto"/>
          <w:sz w:val="24"/>
          <w:highlight w:val="none"/>
        </w:rPr>
      </w:pPr>
      <w:bookmarkStart w:id="358" w:name="_Toc10373"/>
      <w:r>
        <w:rPr>
          <w:rFonts w:hint="eastAsia" w:ascii="仿宋_GB2312" w:hAnsi="仿宋_GB2312" w:eastAsia="仿宋_GB2312" w:cs="仿宋_GB2312"/>
          <w:b/>
          <w:color w:val="auto"/>
          <w:sz w:val="24"/>
          <w:highlight w:val="none"/>
        </w:rPr>
        <w:t>（2）法定代表人委托书</w:t>
      </w:r>
      <w:bookmarkEnd w:id="358"/>
    </w:p>
    <w:p w14:paraId="0FAA07B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75B99E09">
      <w:pPr>
        <w:spacing w:line="460" w:lineRule="exact"/>
        <w:jc w:val="center"/>
        <w:rPr>
          <w:rFonts w:ascii="仿宋_GB2312" w:hAnsi="仿宋_GB2312" w:eastAsia="仿宋_GB2312" w:cs="仿宋_GB2312"/>
          <w:b/>
          <w:color w:val="auto"/>
          <w:sz w:val="24"/>
          <w:highlight w:val="none"/>
        </w:rPr>
      </w:pPr>
    </w:p>
    <w:p w14:paraId="45529C6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本授权委托书声明：我</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的法定代表人，现授权</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为我公司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委托代理人，以本所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的名义参加“</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w:t>
      </w:r>
      <w:r>
        <w:rPr>
          <w:rFonts w:hint="eastAsia" w:ascii="仿宋_GB2312" w:hAnsi="仿宋_GB2312" w:eastAsia="仿宋_GB2312" w:cs="仿宋_GB2312"/>
          <w:color w:val="auto"/>
          <w:sz w:val="24"/>
          <w:highlight w:val="none"/>
        </w:rPr>
        <w:t>”比选活动。委托代理人在比选过程中所签署的一切文件和处理与之有关的一切事务，我及我所均予以承认并全部承担其产生的所有权利和义务。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委托代理人无转委托权。特此委托。</w:t>
      </w:r>
    </w:p>
    <w:p w14:paraId="63D1D10C">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委托权限：特别授权</w:t>
      </w:r>
    </w:p>
    <w:p w14:paraId="38C55E58">
      <w:pPr>
        <w:spacing w:line="460" w:lineRule="exact"/>
        <w:rPr>
          <w:rFonts w:ascii="仿宋_GB2312" w:hAnsi="仿宋_GB2312" w:eastAsia="仿宋_GB2312" w:cs="仿宋_GB2312"/>
          <w:color w:val="auto"/>
          <w:sz w:val="24"/>
          <w:highlight w:val="none"/>
        </w:rPr>
      </w:pPr>
    </w:p>
    <w:p w14:paraId="4EAB1F3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14:paraId="0E1FC703">
      <w:pPr>
        <w:spacing w:line="460" w:lineRule="exact"/>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被授权人（签字）：</w:t>
      </w:r>
      <w:r>
        <w:rPr>
          <w:rFonts w:hint="eastAsia" w:ascii="仿宋_GB2312" w:hAnsi="仿宋_GB2312" w:eastAsia="仿宋_GB2312" w:cs="仿宋_GB2312"/>
          <w:color w:val="auto"/>
          <w:sz w:val="24"/>
          <w:highlight w:val="none"/>
          <w:u w:val="single"/>
        </w:rPr>
        <w:t xml:space="preserve">                </w:t>
      </w:r>
    </w:p>
    <w:p w14:paraId="7673FDA6">
      <w:pPr>
        <w:spacing w:line="460" w:lineRule="exact"/>
        <w:rPr>
          <w:rFonts w:ascii="仿宋_GB2312" w:hAnsi="仿宋_GB2312" w:eastAsia="仿宋_GB2312" w:cs="仿宋_GB2312"/>
          <w:color w:val="auto"/>
          <w:sz w:val="24"/>
          <w:highlight w:val="none"/>
        </w:rPr>
      </w:pPr>
    </w:p>
    <w:p w14:paraId="3F2C589E">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后附法定代表人和被授权人的身份证复印件。</w:t>
      </w:r>
    </w:p>
    <w:p w14:paraId="6233D62B">
      <w:pPr>
        <w:spacing w:line="460" w:lineRule="exact"/>
        <w:rPr>
          <w:rFonts w:ascii="仿宋_GB2312" w:hAnsi="仿宋_GB2312" w:eastAsia="仿宋_GB2312" w:cs="仿宋_GB2312"/>
          <w:color w:val="auto"/>
          <w:sz w:val="24"/>
          <w:highlight w:val="none"/>
        </w:rPr>
      </w:pPr>
    </w:p>
    <w:p w14:paraId="35F69765">
      <w:pPr>
        <w:spacing w:line="460" w:lineRule="exact"/>
        <w:ind w:firstLine="3720" w:firstLineChars="155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p>
    <w:p w14:paraId="72B22773">
      <w:pPr>
        <w:spacing w:line="460" w:lineRule="exact"/>
        <w:ind w:firstLine="3120" w:firstLineChars="1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年   月    日</w:t>
      </w:r>
    </w:p>
    <w:p w14:paraId="4BDFD27F">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59" w:name="_Toc14006"/>
      <w:bookmarkStart w:id="360" w:name="_Toc21876"/>
      <w:bookmarkStart w:id="361" w:name="_Toc9094"/>
      <w:bookmarkStart w:id="362" w:name="_Toc6335"/>
      <w:bookmarkStart w:id="363" w:name="_Toc15612"/>
      <w:r>
        <w:rPr>
          <w:rFonts w:hint="eastAsia" w:ascii="仿宋_GB2312" w:hAnsi="仿宋_GB2312" w:eastAsia="仿宋_GB2312" w:cs="仿宋_GB2312"/>
          <w:b/>
          <w:bCs/>
          <w:color w:val="auto"/>
          <w:kern w:val="28"/>
          <w:sz w:val="30"/>
          <w:szCs w:val="30"/>
          <w:highlight w:val="none"/>
          <w:lang w:val="en-US" w:eastAsia="zh-CN" w:bidi="ar-SA"/>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auto"/>
          <w:kern w:val="28"/>
          <w:sz w:val="30"/>
          <w:szCs w:val="30"/>
          <w:highlight w:val="none"/>
          <w:lang w:val="en-US" w:eastAsia="zh-CN" w:bidi="ar-SA"/>
        </w:rPr>
        <w:t>函</w:t>
      </w:r>
    </w:p>
    <w:p w14:paraId="4DF54F89">
      <w:pPr>
        <w:spacing w:line="460" w:lineRule="exact"/>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四川省交通物资有限责任公司</w:t>
      </w:r>
    </w:p>
    <w:p w14:paraId="3D04FC04">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本单位自愿参加</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kern w:val="2"/>
          <w:sz w:val="24"/>
          <w:szCs w:val="24"/>
          <w:highlight w:val="none"/>
          <w:u w:val="single"/>
          <w:lang w:val="en-US" w:eastAsia="zh-CN" w:bidi="ar-SA"/>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w:t>
      </w:r>
      <w:r>
        <w:rPr>
          <w:rFonts w:hint="eastAsia" w:ascii="仿宋_GB2312" w:hAnsi="仿宋_GB2312" w:eastAsia="仿宋_GB2312" w:cs="仿宋_GB2312"/>
          <w:color w:val="auto"/>
          <w:sz w:val="24"/>
          <w:highlight w:val="none"/>
        </w:rPr>
        <w:t>，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1.同意比选文件中的有关规定，并按照贵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要求的与比选有关的一切数据、情况和资料等。</w:t>
      </w:r>
    </w:p>
    <w:p w14:paraId="4180B14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3.本单位如中选，保证按照比选文件的承诺与贵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签订服务合同。</w:t>
      </w:r>
    </w:p>
    <w:p w14:paraId="54C34A05">
      <w:pPr>
        <w:spacing w:line="46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4.无论本</w:t>
      </w:r>
      <w:r>
        <w:rPr>
          <w:rFonts w:hint="eastAsia" w:ascii="仿宋_GB2312" w:hAnsi="仿宋_GB2312" w:eastAsia="仿宋_GB2312" w:cs="仿宋_GB2312"/>
          <w:color w:val="auto"/>
          <w:sz w:val="24"/>
          <w:highlight w:val="none"/>
          <w:lang w:val="en-US" w:eastAsia="zh-CN"/>
        </w:rPr>
        <w:t>次选聘</w:t>
      </w:r>
      <w:r>
        <w:rPr>
          <w:rFonts w:hint="eastAsia" w:ascii="仿宋_GB2312" w:hAnsi="仿宋_GB2312" w:eastAsia="仿宋_GB2312" w:cs="仿宋_GB2312"/>
          <w:color w:val="auto"/>
          <w:sz w:val="24"/>
          <w:highlight w:val="none"/>
        </w:rPr>
        <w:t>中选或者落选，</w:t>
      </w:r>
      <w:r>
        <w:rPr>
          <w:rFonts w:hint="eastAsia" w:ascii="仿宋_GB2312" w:hAnsi="仿宋_GB2312" w:eastAsia="仿宋_GB2312" w:cs="仿宋_GB2312"/>
          <w:color w:val="auto"/>
          <w:sz w:val="24"/>
          <w:highlight w:val="none"/>
          <w:lang w:val="en-US" w:eastAsia="zh-CN"/>
        </w:rPr>
        <w:t>贵司发送至本单位邮箱：</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中的</w:t>
      </w:r>
      <w:r>
        <w:rPr>
          <w:rFonts w:hint="eastAsia" w:ascii="仿宋_GB2312" w:hAnsi="仿宋_GB2312" w:eastAsia="仿宋_GB2312" w:cs="仿宋_GB2312"/>
          <w:color w:val="auto"/>
          <w:sz w:val="24"/>
          <w:highlight w:val="none"/>
        </w:rPr>
        <w:t>贵司与</w:t>
      </w:r>
      <w:r>
        <w:rPr>
          <w:rFonts w:hint="eastAsia" w:ascii="仿宋_GB2312" w:hAnsi="仿宋_GB2312" w:eastAsia="仿宋_GB2312" w:cs="仿宋_GB2312"/>
          <w:color w:val="auto"/>
          <w:kern w:val="2"/>
          <w:sz w:val="24"/>
          <w:szCs w:val="24"/>
          <w:highlight w:val="none"/>
          <w:lang w:val="en-US" w:eastAsia="zh-CN" w:bidi="ar-SA"/>
        </w:rPr>
        <w:t>神州国开供应链管理（成都）有限公司</w:t>
      </w:r>
      <w:r>
        <w:rPr>
          <w:rFonts w:hint="eastAsia" w:ascii="仿宋_GB2312" w:hAnsi="仿宋_GB2312" w:eastAsia="仿宋_GB2312" w:cs="仿宋_GB2312"/>
          <w:color w:val="auto"/>
          <w:sz w:val="24"/>
          <w:highlight w:val="none"/>
        </w:rPr>
        <w:t>所有涉案材料，将秉承诚实信用原则，充分保护贵公司利益，承诺严格对涉案材料进行保密，未经贵司</w:t>
      </w:r>
      <w:r>
        <w:rPr>
          <w:rFonts w:hint="eastAsia" w:ascii="仿宋_GB2312" w:hAnsi="仿宋_GB2312" w:eastAsia="仿宋_GB2312" w:cs="仿宋_GB2312"/>
          <w:color w:val="auto"/>
          <w:sz w:val="24"/>
          <w:highlight w:val="none"/>
          <w:lang w:val="en-US" w:eastAsia="zh-CN"/>
        </w:rPr>
        <w:t>书面</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auto"/>
          <w:sz w:val="24"/>
          <w:highlight w:val="none"/>
          <w:lang w:eastAsia="zh-CN"/>
        </w:rPr>
        <w:t>与其他选聘</w:t>
      </w:r>
      <w:r>
        <w:rPr>
          <w:rFonts w:hint="eastAsia" w:ascii="仿宋_GB2312" w:hAnsi="仿宋_GB2312" w:eastAsia="仿宋_GB2312" w:cs="仿宋_GB2312"/>
          <w:color w:val="auto"/>
          <w:sz w:val="24"/>
          <w:highlight w:val="none"/>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（单位公章）</w:t>
      </w:r>
    </w:p>
    <w:p w14:paraId="25AB38E8">
      <w:pPr>
        <w:spacing w:line="460" w:lineRule="exact"/>
        <w:ind w:firstLine="480" w:firstLineChars="200"/>
        <w:jc w:val="center"/>
        <w:rPr>
          <w:rFonts w:ascii="仿宋_GB2312" w:hAnsi="仿宋_GB2312" w:eastAsia="仿宋_GB2312" w:cs="仿宋_GB2312"/>
          <w:color w:val="auto"/>
          <w:sz w:val="24"/>
          <w:highlight w:val="none"/>
        </w:rPr>
      </w:pPr>
      <w:bookmarkStart w:id="364" w:name="_Toc12441"/>
      <w:r>
        <w:rPr>
          <w:rFonts w:hint="eastAsia" w:ascii="仿宋_GB2312" w:hAnsi="仿宋_GB2312" w:eastAsia="仿宋_GB2312" w:cs="仿宋_GB2312"/>
          <w:color w:val="auto"/>
          <w:sz w:val="24"/>
          <w:highlight w:val="none"/>
        </w:rPr>
        <w:t>法定代表人或授权代表（签字或加盖个人名章）：</w:t>
      </w:r>
      <w:bookmarkEnd w:id="364"/>
      <w:r>
        <w:rPr>
          <w:rFonts w:hint="eastAsia" w:ascii="仿宋_GB2312" w:hAnsi="仿宋_GB2312" w:eastAsia="仿宋_GB2312" w:cs="仿宋_GB2312"/>
          <w:color w:val="auto"/>
          <w:sz w:val="24"/>
          <w:highlight w:val="none"/>
          <w:u w:val="single"/>
        </w:rPr>
        <w:t xml:space="preserve">        </w:t>
      </w:r>
    </w:p>
    <w:p w14:paraId="14981B8B">
      <w:pPr>
        <w:keepNext/>
        <w:keepLines/>
        <w:widowControl w:val="0"/>
        <w:spacing w:before="340" w:after="330" w:line="460" w:lineRule="exact"/>
        <w:jc w:val="right"/>
        <w:outlineLvl w:val="0"/>
        <w:rPr>
          <w:rFonts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日    期：   年   月   日</w:t>
      </w:r>
    </w:p>
    <w:p w14:paraId="58B9198A">
      <w:pPr>
        <w:keepNext/>
        <w:keepLines/>
        <w:widowControl w:val="0"/>
        <w:spacing w:before="340" w:after="330" w:line="460" w:lineRule="exact"/>
        <w:jc w:val="left"/>
        <w:outlineLvl w:val="0"/>
        <w:rPr>
          <w:rFonts w:ascii="仿宋_GB2312" w:hAnsi="仿宋_GB2312" w:eastAsia="仿宋_GB2312" w:cs="仿宋_GB2312"/>
          <w:b/>
          <w:bCs/>
          <w:color w:val="auto"/>
          <w:kern w:val="44"/>
          <w:sz w:val="24"/>
          <w:szCs w:val="24"/>
          <w:highlight w:val="none"/>
          <w:lang w:val="en-US" w:eastAsia="zh-CN" w:bidi="ar-SA"/>
        </w:rPr>
      </w:pPr>
      <w:r>
        <w:rPr>
          <w:rFonts w:hint="eastAsia" w:ascii="仿宋_GB2312" w:hAnsi="仿宋_GB2312" w:eastAsia="仿宋_GB2312" w:cs="仿宋_GB2312"/>
          <w:b/>
          <w:bCs/>
          <w:color w:val="auto"/>
          <w:kern w:val="44"/>
          <w:sz w:val="24"/>
          <w:szCs w:val="24"/>
          <w:highlight w:val="none"/>
          <w:lang w:val="en-US" w:eastAsia="zh-CN" w:bidi="ar-SA"/>
        </w:rPr>
        <w:br w:type="page"/>
      </w:r>
      <w:r>
        <w:rPr>
          <w:rFonts w:hint="eastAsia" w:ascii="仿宋_GB2312" w:hAnsi="仿宋_GB2312" w:eastAsia="仿宋_GB2312" w:cs="仿宋_GB2312"/>
          <w:b/>
          <w:bCs/>
          <w:color w:val="auto"/>
          <w:kern w:val="28"/>
          <w:sz w:val="30"/>
          <w:szCs w:val="30"/>
          <w:highlight w:val="none"/>
          <w:lang w:val="en-US" w:eastAsia="zh-CN" w:bidi="ar-SA"/>
        </w:rPr>
        <w:t>五、比选报价表格式</w:t>
      </w:r>
    </w:p>
    <w:p w14:paraId="7DFEAE02">
      <w:pPr>
        <w:spacing w:line="46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比选报价表</w:t>
      </w:r>
    </w:p>
    <w:p w14:paraId="16C01250">
      <w:pPr>
        <w:spacing w:before="312" w:beforeLines="100" w:line="460" w:lineRule="exact"/>
        <w:rPr>
          <w:rFonts w:ascii="仿宋_GB2312" w:hAnsi="仿宋_GB2312" w:eastAsia="仿宋_GB2312" w:cs="仿宋_GB2312"/>
          <w:color w:val="auto"/>
          <w:sz w:val="24"/>
          <w:highlight w:val="none"/>
        </w:rPr>
      </w:pPr>
    </w:p>
    <w:tbl>
      <w:tblPr>
        <w:tblStyle w:val="7"/>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226"/>
        <w:gridCol w:w="3438"/>
      </w:tblGrid>
      <w:tr w14:paraId="12A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tcPr>
          <w:p w14:paraId="1AC1A21F">
            <w:pPr>
              <w:spacing w:before="312" w:beforeLines="100"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基础代理费（单位：元）</w:t>
            </w:r>
          </w:p>
        </w:tc>
        <w:tc>
          <w:tcPr>
            <w:tcW w:w="3226" w:type="dxa"/>
          </w:tcPr>
          <w:p w14:paraId="4D23A2EC">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风险代理费（单位：元）</w:t>
            </w:r>
          </w:p>
        </w:tc>
        <w:tc>
          <w:tcPr>
            <w:tcW w:w="3438" w:type="dxa"/>
          </w:tcPr>
          <w:p w14:paraId="49A87B02">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合计费用（单位：元）</w:t>
            </w:r>
          </w:p>
        </w:tc>
      </w:tr>
      <w:tr w14:paraId="5C2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4" w:type="dxa"/>
            <w:vAlign w:val="center"/>
          </w:tcPr>
          <w:p w14:paraId="379C3624">
            <w:pPr>
              <w:spacing w:before="312" w:beforeLines="100" w:line="460" w:lineRule="exact"/>
              <w:jc w:val="center"/>
              <w:rPr>
                <w:rFonts w:ascii="仿宋_GB2312" w:hAnsi="仿宋_GB2312" w:eastAsia="仿宋_GB2312" w:cs="仿宋_GB2312"/>
                <w:color w:val="auto"/>
                <w:sz w:val="24"/>
                <w:highlight w:val="none"/>
              </w:rPr>
            </w:pPr>
          </w:p>
        </w:tc>
        <w:tc>
          <w:tcPr>
            <w:tcW w:w="3226" w:type="dxa"/>
            <w:vAlign w:val="center"/>
          </w:tcPr>
          <w:p w14:paraId="5363DD16">
            <w:pPr>
              <w:spacing w:before="312" w:beforeLines="100" w:line="460" w:lineRule="exact"/>
              <w:jc w:val="center"/>
              <w:rPr>
                <w:rFonts w:ascii="仿宋_GB2312" w:hAnsi="仿宋_GB2312" w:eastAsia="仿宋_GB2312" w:cs="仿宋_GB2312"/>
                <w:color w:val="auto"/>
                <w:sz w:val="24"/>
                <w:highlight w:val="none"/>
              </w:rPr>
            </w:pPr>
          </w:p>
        </w:tc>
        <w:tc>
          <w:tcPr>
            <w:tcW w:w="3438" w:type="dxa"/>
            <w:vAlign w:val="center"/>
          </w:tcPr>
          <w:p w14:paraId="50C0BFF5">
            <w:pPr>
              <w:spacing w:before="312" w:beforeLines="100" w:line="460" w:lineRule="exact"/>
              <w:jc w:val="center"/>
              <w:rPr>
                <w:rFonts w:ascii="仿宋_GB2312" w:hAnsi="仿宋_GB2312" w:eastAsia="仿宋_GB2312" w:cs="仿宋_GB2312"/>
                <w:color w:val="auto"/>
                <w:sz w:val="24"/>
                <w:highlight w:val="none"/>
              </w:rPr>
            </w:pPr>
          </w:p>
        </w:tc>
      </w:tr>
    </w:tbl>
    <w:p w14:paraId="4DB693C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4D492B6F">
      <w:pPr>
        <w:widowControl/>
        <w:spacing w:line="460" w:lineRule="exact"/>
        <w:jc w:val="left"/>
        <w:rPr>
          <w:rFonts w:ascii="仿宋_GB2312" w:hAnsi="仿宋_GB2312" w:eastAsia="仿宋_GB2312" w:cs="仿宋_GB2312"/>
          <w:color w:val="auto"/>
          <w:sz w:val="24"/>
          <w:highlight w:val="none"/>
        </w:rPr>
      </w:pPr>
    </w:p>
    <w:p w14:paraId="6436A109">
      <w:pPr>
        <w:widowControl/>
        <w:spacing w:line="460" w:lineRule="exact"/>
        <w:jc w:val="left"/>
        <w:rPr>
          <w:rFonts w:ascii="仿宋_GB2312" w:hAnsi="仿宋_GB2312" w:eastAsia="仿宋_GB2312" w:cs="仿宋_GB2312"/>
          <w:color w:val="auto"/>
          <w:sz w:val="24"/>
          <w:highlight w:val="none"/>
        </w:rPr>
      </w:pPr>
    </w:p>
    <w:p w14:paraId="52F5973C">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bookmarkStart w:id="365" w:name="_Toc19269"/>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比选申请人（单位公章）：</w:t>
      </w:r>
      <w:bookmarkEnd w:id="365"/>
      <w:r>
        <w:rPr>
          <w:rFonts w:hint="eastAsia" w:ascii="仿宋_GB2312" w:hAnsi="仿宋_GB2312" w:eastAsia="仿宋_GB2312" w:cs="仿宋_GB2312"/>
          <w:color w:val="auto"/>
          <w:sz w:val="24"/>
          <w:highlight w:val="none"/>
        </w:rPr>
        <w:t xml:space="preserve"> </w:t>
      </w:r>
    </w:p>
    <w:p w14:paraId="3B8CD542">
      <w:pPr>
        <w:spacing w:line="460" w:lineRule="exact"/>
        <w:ind w:firstLine="480" w:firstLineChars="200"/>
        <w:jc w:val="center"/>
        <w:rPr>
          <w:rFonts w:ascii="仿宋_GB2312" w:hAnsi="仿宋_GB2312" w:eastAsia="仿宋_GB2312" w:cs="仿宋_GB2312"/>
          <w:color w:val="auto"/>
          <w:sz w:val="24"/>
          <w:highlight w:val="none"/>
        </w:rPr>
      </w:pPr>
      <w:bookmarkStart w:id="366" w:name="_Toc2864"/>
      <w:r>
        <w:rPr>
          <w:rFonts w:hint="eastAsia" w:ascii="仿宋_GB2312" w:hAnsi="仿宋_GB2312" w:eastAsia="仿宋_GB2312" w:cs="仿宋_GB2312"/>
          <w:color w:val="auto"/>
          <w:sz w:val="24"/>
          <w:highlight w:val="none"/>
        </w:rPr>
        <w:t xml:space="preserve">                         法定代表人/授权代表（签字或盖章）：</w:t>
      </w:r>
      <w:bookmarkEnd w:id="366"/>
      <w:bookmarkStart w:id="367" w:name="_Toc26537"/>
    </w:p>
    <w:p w14:paraId="5959F2D9">
      <w:pPr>
        <w:spacing w:line="460" w:lineRule="exact"/>
        <w:ind w:firstLine="3840" w:firstLineChars="16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bookmarkEnd w:id="367"/>
      <w:r>
        <w:rPr>
          <w:rFonts w:hint="eastAsia" w:ascii="仿宋_GB2312" w:hAnsi="仿宋_GB2312" w:eastAsia="仿宋_GB2312" w:cs="仿宋_GB2312"/>
          <w:color w:val="auto"/>
          <w:sz w:val="24"/>
          <w:highlight w:val="none"/>
        </w:rPr>
        <w:t xml:space="preserve"> </w:t>
      </w:r>
    </w:p>
    <w:p w14:paraId="7E64F100">
      <w:pPr>
        <w:widowControl/>
        <w:spacing w:line="460" w:lineRule="exact"/>
        <w:jc w:val="left"/>
        <w:rPr>
          <w:rFonts w:ascii="仿宋_GB2312" w:hAnsi="仿宋_GB2312" w:eastAsia="仿宋_GB2312" w:cs="仿宋_GB2312"/>
          <w:color w:val="auto"/>
          <w:sz w:val="24"/>
          <w:highlight w:val="none"/>
        </w:rPr>
      </w:pPr>
    </w:p>
    <w:p w14:paraId="24E69254">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68" w:name="_Toc24016"/>
      <w:bookmarkStart w:id="369" w:name="_Toc25342"/>
      <w:bookmarkStart w:id="370" w:name="_Toc5495"/>
      <w:bookmarkStart w:id="371" w:name="_Toc15800"/>
      <w:bookmarkStart w:id="372" w:name="_Toc8182"/>
      <w:r>
        <w:rPr>
          <w:rFonts w:hint="eastAsia" w:ascii="仿宋_GB2312" w:hAnsi="仿宋_GB2312" w:eastAsia="仿宋_GB2312" w:cs="仿宋_GB2312"/>
          <w:b/>
          <w:bCs/>
          <w:color w:val="auto"/>
          <w:kern w:val="28"/>
          <w:sz w:val="30"/>
          <w:szCs w:val="30"/>
          <w:highlight w:val="none"/>
          <w:lang w:val="en-US" w:eastAsia="zh-CN" w:bidi="ar-SA"/>
        </w:rPr>
        <w:t>六、</w:t>
      </w:r>
      <w:r>
        <w:rPr>
          <w:rFonts w:ascii="仿宋_GB2312" w:hAnsi="仿宋_GB2312" w:eastAsia="仿宋_GB2312" w:cs="仿宋_GB2312"/>
          <w:b/>
          <w:bCs/>
          <w:color w:val="auto"/>
          <w:kern w:val="28"/>
          <w:sz w:val="30"/>
          <w:szCs w:val="30"/>
          <w:highlight w:val="none"/>
          <w:lang w:val="en-US" w:eastAsia="zh-CN" w:bidi="ar-SA"/>
        </w:rPr>
        <w:t>比选申请人基本情况表</w:t>
      </w:r>
    </w:p>
    <w:tbl>
      <w:tblPr>
        <w:tblStyle w:val="7"/>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1A21E524">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2297F6E">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4619713">
            <w:pPr>
              <w:spacing w:before="156" w:beforeLines="50" w:after="156" w:afterLines="50" w:line="360" w:lineRule="exact"/>
              <w:rPr>
                <w:rFonts w:ascii="仿宋_GB2312" w:hAnsi="仿宋_GB2312" w:eastAsia="仿宋_GB2312" w:cs="仿宋_GB2312"/>
                <w:color w:val="auto"/>
                <w:sz w:val="24"/>
                <w:highlight w:val="none"/>
              </w:rPr>
            </w:pPr>
          </w:p>
        </w:tc>
      </w:tr>
      <w:tr w14:paraId="253D8FD9">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7C4FB182">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41F9B166">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1925A8B5">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01D4D313">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1F7E899F">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0A48ED12">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27A5387C">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0628D75B">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56C02391">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75F2A448">
            <w:pPr>
              <w:spacing w:before="156" w:beforeLines="50" w:after="156" w:afterLines="50" w:line="360" w:lineRule="exact"/>
              <w:jc w:val="center"/>
              <w:rPr>
                <w:rFonts w:ascii="仿宋_GB2312" w:hAnsi="仿宋_GB2312" w:eastAsia="仿宋_GB2312" w:cs="仿宋_GB2312"/>
                <w:color w:val="auto"/>
                <w:sz w:val="24"/>
                <w:highlight w:val="none"/>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99B20B">
            <w:pPr>
              <w:widowControl w:val="0"/>
              <w:tabs>
                <w:tab w:val="left" w:pos="241"/>
              </w:tabs>
              <w:spacing w:before="156" w:beforeLines="50" w:after="156" w:afterLines="50" w:line="360" w:lineRule="exact"/>
              <w:jc w:val="both"/>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7EFFCE42">
            <w:pPr>
              <w:spacing w:before="156" w:beforeLines="50" w:after="156" w:afterLines="50" w:line="360" w:lineRule="exact"/>
              <w:rPr>
                <w:rFonts w:ascii="仿宋_GB2312" w:hAnsi="仿宋_GB2312" w:eastAsia="仿宋_GB2312" w:cs="仿宋_GB2312"/>
                <w:color w:val="auto"/>
                <w:sz w:val="24"/>
                <w:highlight w:val="none"/>
              </w:rPr>
            </w:pPr>
          </w:p>
        </w:tc>
      </w:tr>
      <w:tr w14:paraId="5303E540">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97B32C">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8E87F76">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011E8005">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49AE7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4D14A97B">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608EF518">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168B97F">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30791763">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5C1C0C32">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F417DFB">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6479416E">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EC707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57D37921">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783B055A">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BE9FA35">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基本银行账</w:t>
            </w:r>
            <w:r>
              <w:rPr>
                <w:rFonts w:hint="eastAsia" w:ascii="仿宋_GB2312" w:hAnsi="仿宋_GB2312" w:eastAsia="仿宋_GB2312" w:cs="仿宋_GB2312"/>
                <w:color w:val="auto"/>
                <w:kern w:val="2"/>
                <w:sz w:val="24"/>
                <w:szCs w:val="24"/>
                <w:highlight w:val="none"/>
                <w:lang w:val="en-US" w:eastAsia="zh-CN" w:bidi="ar-SA"/>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735EE611">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1178B36B">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DD63048">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20080396">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bl>
    <w:p w14:paraId="0FD9DC59">
      <w:pPr>
        <w:spacing w:line="600" w:lineRule="exact"/>
        <w:rPr>
          <w:rFonts w:ascii="Times New Roman" w:hAnsi="Times New Roman" w:eastAsia="仿宋" w:cs="Times New Roman"/>
          <w:color w:val="auto"/>
          <w:sz w:val="28"/>
          <w:szCs w:val="28"/>
          <w:highlight w:val="none"/>
        </w:rPr>
      </w:pPr>
    </w:p>
    <w:p w14:paraId="1781447F">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比选申请人（单位公章）： </w:t>
      </w:r>
    </w:p>
    <w:p w14:paraId="7C67F65D">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法定代表人/授权代表</w:t>
      </w:r>
      <w:r>
        <w:rPr>
          <w:rFonts w:ascii="仿宋_GB2312" w:hAnsi="仿宋_GB2312" w:eastAsia="仿宋_GB2312" w:cs="仿宋_GB2312"/>
          <w:color w:val="auto"/>
          <w:sz w:val="24"/>
          <w:highlight w:val="none"/>
        </w:rPr>
        <w:t xml:space="preserve">（签字）：               </w:t>
      </w:r>
    </w:p>
    <w:p w14:paraId="35F2F5AB">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日 期：</w:t>
      </w:r>
    </w:p>
    <w:p w14:paraId="6CC515C9">
      <w:pPr>
        <w:keepNext/>
        <w:keepLines/>
        <w:widowControl w:val="0"/>
        <w:ind w:firstLine="880"/>
        <w:jc w:val="both"/>
        <w:outlineLvl w:val="3"/>
        <w:rPr>
          <w:rFonts w:ascii="仿宋_GB2312" w:hAnsi="仿宋_GB2312" w:eastAsia="仿宋_GB2312" w:cs="仿宋_GB2312"/>
          <w:color w:val="auto"/>
          <w:kern w:val="2"/>
          <w:sz w:val="30"/>
          <w:szCs w:val="30"/>
          <w:highlight w:val="none"/>
          <w:lang w:val="en-US" w:eastAsia="zh-CN" w:bidi="ar-SA"/>
        </w:rPr>
      </w:pPr>
    </w:p>
    <w:p w14:paraId="585D5D3E">
      <w:pPr>
        <w:rPr>
          <w:color w:val="auto"/>
          <w:highlight w:val="none"/>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14:paraId="10BD9062">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七、合法有效律师事务所执业许可证，以及国家法律法规要求的相关从业资质</w:t>
      </w:r>
    </w:p>
    <w:p w14:paraId="202EC2D2">
      <w:pPr>
        <w:rPr>
          <w:rFonts w:ascii="仿宋_GB2312" w:hAnsi="仿宋_GB2312" w:eastAsia="仿宋_GB2312" w:cs="仿宋_GB2312"/>
          <w:color w:val="auto"/>
          <w:sz w:val="30"/>
          <w:szCs w:val="30"/>
          <w:highlight w:val="none"/>
        </w:rPr>
      </w:pPr>
    </w:p>
    <w:p w14:paraId="2B08169D">
      <w:pPr>
        <w:rPr>
          <w:color w:val="auto"/>
          <w:highlight w:val="none"/>
        </w:rPr>
        <w:sectPr>
          <w:pgSz w:w="11906" w:h="16838"/>
          <w:pgMar w:top="1440" w:right="1800" w:bottom="1440" w:left="1800" w:header="851" w:footer="992" w:gutter="0"/>
          <w:pgNumType w:fmt="numberInDash"/>
          <w:cols w:space="720" w:num="1"/>
          <w:docGrid w:type="lines" w:linePitch="312" w:charSpace="0"/>
        </w:sectPr>
      </w:pPr>
    </w:p>
    <w:p w14:paraId="7C8DD7B7">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具有四川省内常设机构及拥有50名以上的注册专职律师相关证明材料</w:t>
      </w:r>
    </w:p>
    <w:p w14:paraId="0CEB7B29">
      <w:pP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br w:type="page"/>
      </w:r>
    </w:p>
    <w:p w14:paraId="1177C750">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近三年未受到司法行政部门的行政处罚和律师协会的行业处分，近三年提供的法律服务未因重大执业质量等问题受到省国资委的通报（提供相关网站查询截图）</w:t>
      </w:r>
    </w:p>
    <w:p w14:paraId="5D1BD0D0">
      <w:pPr>
        <w:rPr>
          <w:color w:val="auto"/>
          <w:highlight w:val="none"/>
        </w:rPr>
        <w:sectPr>
          <w:pgSz w:w="11906" w:h="16838"/>
          <w:pgMar w:top="1440" w:right="1800" w:bottom="1440" w:left="1800" w:header="851" w:footer="992" w:gutter="0"/>
          <w:pgNumType w:fmt="numberInDash"/>
          <w:cols w:space="720" w:num="1"/>
          <w:docGrid w:type="lines" w:linePitch="312" w:charSpace="0"/>
        </w:sectPr>
      </w:pPr>
    </w:p>
    <w:p w14:paraId="4CB5BC9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auto"/>
          <w:kern w:val="28"/>
          <w:sz w:val="30"/>
          <w:szCs w:val="30"/>
          <w:highlight w:val="none"/>
          <w:lang w:val="en-US" w:eastAsia="zh-CN" w:bidi="ar-SA"/>
        </w:rPr>
        <w:t>）</w:t>
      </w:r>
    </w:p>
    <w:p w14:paraId="357319D9">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叙述</w:t>
      </w:r>
      <w:r>
        <w:rPr>
          <w:rFonts w:hint="eastAsia" w:ascii="仿宋_GB2312" w:hAnsi="仿宋_GB2312" w:eastAsia="仿宋_GB2312" w:cs="仿宋_GB2312"/>
          <w:color w:val="auto"/>
          <w:sz w:val="24"/>
          <w:highlight w:val="none"/>
        </w:rPr>
        <w:t>项目服务方案，服务方案应包含以下人员情况介绍。</w:t>
      </w:r>
    </w:p>
    <w:p w14:paraId="628BAD0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一、团队负责人及主要参与人员基本情况</w:t>
      </w:r>
    </w:p>
    <w:tbl>
      <w:tblPr>
        <w:tblStyle w:val="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910" w:type="dxa"/>
            <w:vAlign w:val="center"/>
          </w:tcPr>
          <w:p w14:paraId="1D2C0A86">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519" w:type="dxa"/>
            <w:vAlign w:val="center"/>
          </w:tcPr>
          <w:p w14:paraId="0DEFA065">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类似工作</w:t>
            </w:r>
          </w:p>
          <w:p w14:paraId="189DF73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经验年限</w:t>
            </w:r>
          </w:p>
        </w:tc>
        <w:tc>
          <w:tcPr>
            <w:tcW w:w="1804" w:type="dxa"/>
            <w:vAlign w:val="center"/>
          </w:tcPr>
          <w:p w14:paraId="3F10579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拟任职务</w:t>
            </w:r>
          </w:p>
        </w:tc>
        <w:tc>
          <w:tcPr>
            <w:tcW w:w="1942" w:type="dxa"/>
            <w:vAlign w:val="center"/>
          </w:tcPr>
          <w:p w14:paraId="0863FC6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法律服务</w:t>
            </w:r>
          </w:p>
          <w:p w14:paraId="7ECEC70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71BDAE2F">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0B3B122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21FAEC19">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075DDFAA">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47701D74">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171DABC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79420D4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13465A0E">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4E652E6C">
      <w:pPr>
        <w:spacing w:line="460" w:lineRule="exact"/>
        <w:rPr>
          <w:rFonts w:ascii="仿宋_GB2312" w:hAnsi="仿宋_GB2312" w:eastAsia="仿宋_GB2312" w:cs="仿宋_GB2312"/>
          <w:color w:val="auto"/>
          <w:sz w:val="24"/>
          <w:highlight w:val="none"/>
        </w:rPr>
      </w:pPr>
      <w:bookmarkStart w:id="373" w:name="_Toc455607508"/>
      <w:r>
        <w:rPr>
          <w:rFonts w:hint="eastAsia" w:ascii="仿宋_GB2312" w:hAnsi="仿宋_GB2312" w:eastAsia="仿宋_GB2312" w:cs="仿宋_GB2312"/>
          <w:color w:val="auto"/>
          <w:sz w:val="24"/>
          <w:highlight w:val="none"/>
        </w:rPr>
        <w:t>二、投入本项目的主要负责人资历表</w:t>
      </w:r>
      <w:bookmarkEnd w:id="373"/>
    </w:p>
    <w:tbl>
      <w:tblPr>
        <w:tblStyle w:val="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60" w:type="dxa"/>
          </w:tcPr>
          <w:p w14:paraId="7B63CCD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0F879C0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479" w:type="dxa"/>
          </w:tcPr>
          <w:p w14:paraId="50734C3F">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32EF9D61">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264" w:type="dxa"/>
          </w:tcPr>
          <w:p w14:paraId="4A23A17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60" w:type="dxa"/>
          </w:tcPr>
          <w:p w14:paraId="5504C289">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6648F8E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479" w:type="dxa"/>
          </w:tcPr>
          <w:p w14:paraId="0201AC6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313F4053">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264" w:type="dxa"/>
          </w:tcPr>
          <w:p w14:paraId="1380D5C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261" w:type="dxa"/>
            <w:gridSpan w:val="5"/>
          </w:tcPr>
          <w:p w14:paraId="4305C5F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681" w:type="dxa"/>
            <w:gridSpan w:val="4"/>
          </w:tcPr>
          <w:p w14:paraId="3968304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640" w:type="dxa"/>
            <w:gridSpan w:val="2"/>
          </w:tcPr>
          <w:p w14:paraId="2A3ED60A">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5CE6F62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057FB64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5CB24AD4">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6EFB996C">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193F158F">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bookmarkStart w:id="374" w:name="_Toc455607509"/>
    </w:p>
    <w:p w14:paraId="5577E667">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三、投入本项目的主要团队人员资历表</w:t>
      </w:r>
      <w:bookmarkEnd w:id="374"/>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38" w:type="dxa"/>
          </w:tcPr>
          <w:p w14:paraId="6217A05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4EFF886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672" w:type="dxa"/>
          </w:tcPr>
          <w:p w14:paraId="3226A243">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12961B97">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156" w:type="dxa"/>
          </w:tcPr>
          <w:p w14:paraId="3B34EB6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38" w:type="dxa"/>
          </w:tcPr>
          <w:p w14:paraId="541650A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344320C7">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672" w:type="dxa"/>
          </w:tcPr>
          <w:p w14:paraId="49FE647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3504FA9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156" w:type="dxa"/>
          </w:tcPr>
          <w:p w14:paraId="01A17CED">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199" w:type="dxa"/>
            <w:gridSpan w:val="5"/>
          </w:tcPr>
          <w:p w14:paraId="4B78510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732" w:type="dxa"/>
            <w:gridSpan w:val="4"/>
          </w:tcPr>
          <w:p w14:paraId="21FDFBF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505" w:type="dxa"/>
            <w:gridSpan w:val="2"/>
          </w:tcPr>
          <w:p w14:paraId="69897AE2">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60599411">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05FCA822">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30BAA3F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224FC59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18A6E21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5C683B10">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2084DDAC">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p>
    <w:p w14:paraId="6F103639">
      <w:pPr>
        <w:widowControl/>
        <w:spacing w:line="460" w:lineRule="exact"/>
        <w:jc w:val="left"/>
        <w:rPr>
          <w:rFonts w:ascii="仿宋_GB2312" w:hAnsi="仿宋_GB2312" w:eastAsia="仿宋_GB2312" w:cs="仿宋_GB2312"/>
          <w:color w:val="auto"/>
          <w:sz w:val="24"/>
          <w:highlight w:val="none"/>
        </w:rPr>
      </w:pPr>
    </w:p>
    <w:p w14:paraId="0AF26166">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比选申请人（单位公章）： </w:t>
      </w:r>
    </w:p>
    <w:p w14:paraId="37A70B09">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法定代表人/授权代表</w:t>
      </w:r>
      <w:r>
        <w:rPr>
          <w:rFonts w:ascii="仿宋_GB2312" w:hAnsi="仿宋_GB2312" w:eastAsia="仿宋_GB2312" w:cs="仿宋_GB2312"/>
          <w:color w:val="auto"/>
          <w:sz w:val="24"/>
          <w:highlight w:val="none"/>
        </w:rPr>
        <w:t xml:space="preserve">（签字）：               </w:t>
      </w:r>
    </w:p>
    <w:p w14:paraId="0615F44C">
      <w:pPr>
        <w:spacing w:line="460" w:lineRule="exact"/>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 </w:t>
      </w:r>
    </w:p>
    <w:p w14:paraId="0CE37786">
      <w:pPr>
        <w:pStyle w:val="2"/>
        <w:rPr>
          <w:rFonts w:hint="eastAsia" w:ascii="仿宋_GB2312" w:hAnsi="仿宋_GB2312" w:eastAsia="仿宋_GB2312" w:cs="仿宋_GB2312"/>
          <w:color w:val="auto"/>
          <w:sz w:val="24"/>
          <w:highlight w:val="none"/>
        </w:rPr>
      </w:pPr>
    </w:p>
    <w:p w14:paraId="76B88606">
      <w:pPr>
        <w:pStyle w:val="2"/>
        <w:rPr>
          <w:rFonts w:hint="default" w:ascii="仿宋_GB2312" w:hAnsi="仿宋_GB2312" w:eastAsia="仿宋_GB2312" w:cs="仿宋_GB2312"/>
          <w:b/>
          <w:bCs/>
          <w:color w:val="auto"/>
          <w:kern w:val="28"/>
          <w:sz w:val="30"/>
          <w:szCs w:val="30"/>
          <w:highlight w:val="none"/>
          <w:lang w:val="en-US" w:eastAsia="zh-CN" w:bidi="ar-SA"/>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bCs/>
          <w:color w:val="auto"/>
          <w:kern w:val="28"/>
          <w:sz w:val="30"/>
          <w:szCs w:val="30"/>
          <w:highlight w:val="none"/>
          <w:lang w:val="en-US" w:eastAsia="zh-CN" w:bidi="ar-SA"/>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十二、最近三年内，比选申请人为国有企业/政府部门提供诉讼或非诉法律服务的证明材料及经验简介。</w:t>
      </w:r>
    </w:p>
    <w:p w14:paraId="3547AE46">
      <w:pPr>
        <w:rPr>
          <w:rFonts w:ascii="仿宋_GB2312" w:hAnsi="仿宋_GB2312" w:eastAsia="仿宋_GB2312" w:cs="仿宋_GB2312"/>
          <w:b/>
          <w:bCs/>
          <w:color w:val="auto"/>
          <w:kern w:val="28"/>
          <w:sz w:val="30"/>
          <w:szCs w:val="30"/>
          <w:highlight w:val="none"/>
        </w:rPr>
      </w:pPr>
      <w:r>
        <w:rPr>
          <w:rFonts w:hint="eastAsia" w:ascii="仿宋_GB2312" w:hAnsi="仿宋_GB2312" w:eastAsia="仿宋_GB2312" w:cs="仿宋_GB2312"/>
          <w:b/>
          <w:bCs/>
          <w:color w:val="auto"/>
          <w:kern w:val="28"/>
          <w:sz w:val="30"/>
          <w:szCs w:val="30"/>
          <w:highlight w:val="none"/>
        </w:rPr>
        <w:br w:type="page"/>
      </w:r>
    </w:p>
    <w:p w14:paraId="605B79C3">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十三、服务团队为国企提供企业/政府部门提供诉讼或非诉法律服务标的金额1000万（含1000万）以上的证明材料及经验简介。</w:t>
      </w:r>
    </w:p>
    <w:p w14:paraId="52E300D0">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E599064">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262560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083D888">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0343E3E">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DCE63F7">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F54F09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402EDE0">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822FEFD">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1B1223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E85E83C">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7B1F61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624BAB9">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C5C929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4263F527">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4E4F1D4">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DB551B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501BCCE">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094C4C3">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28F291F">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十四、</w:t>
      </w:r>
      <w:r>
        <w:rPr>
          <w:rFonts w:hint="eastAsia" w:ascii="仿宋_GB2312" w:hAnsi="仿宋_GB2312" w:eastAsia="仿宋_GB2312" w:cs="仿宋_GB2312"/>
          <w:b/>
          <w:bCs/>
          <w:color w:val="auto"/>
          <w:kern w:val="28"/>
          <w:sz w:val="30"/>
          <w:szCs w:val="30"/>
          <w:highlight w:val="none"/>
          <w:lang w:val="en-US" w:eastAsia="zh-CN" w:bidi="ar-SA"/>
        </w:rPr>
        <w:t>2023年度财务审计报告</w:t>
      </w:r>
    </w:p>
    <w:p w14:paraId="134F1F44">
      <w:pPr>
        <w:rPr>
          <w:rFonts w:hint="eastAsia" w:ascii="华文仿宋" w:hAnsi="华文仿宋" w:eastAsia="华文仿宋"/>
          <w:color w:val="auto"/>
          <w:sz w:val="28"/>
          <w:highlight w:val="none"/>
        </w:rPr>
      </w:pPr>
      <w:r>
        <w:rPr>
          <w:rFonts w:hint="eastAsia" w:ascii="仿宋_GB2312" w:hAnsi="仿宋_GB2312" w:eastAsia="仿宋_GB2312" w:cs="仿宋_GB2312"/>
          <w:b/>
          <w:bCs/>
          <w:color w:val="auto"/>
          <w:kern w:val="28"/>
          <w:sz w:val="30"/>
          <w:szCs w:val="30"/>
          <w:highlight w:val="none"/>
        </w:rPr>
        <w:br w:type="page"/>
      </w:r>
      <w:bookmarkStart w:id="375" w:name="_Toc29181"/>
      <w:bookmarkStart w:id="376" w:name="_Toc19007"/>
      <w:bookmarkStart w:id="377" w:name="_Toc23378"/>
      <w:bookmarkStart w:id="378" w:name="_Toc5469"/>
      <w:bookmarkStart w:id="379" w:name="_Toc5371"/>
      <w:bookmarkStart w:id="380" w:name="_Toc8050"/>
      <w:bookmarkStart w:id="381" w:name="_Toc7311"/>
      <w:bookmarkStart w:id="382" w:name="_Toc29701"/>
    </w:p>
    <w:p w14:paraId="4F9FA6E5">
      <w:pPr>
        <w:keepNext/>
        <w:keepLines/>
        <w:widowControl w:val="0"/>
        <w:numPr>
          <w:ilvl w:val="255"/>
          <w:numId w:val="0"/>
        </w:numPr>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十五、比选申请人认为需附的</w:t>
      </w:r>
      <w:r>
        <w:rPr>
          <w:rFonts w:ascii="仿宋_GB2312" w:hAnsi="仿宋_GB2312" w:eastAsia="仿宋_GB2312" w:cs="仿宋_GB2312"/>
          <w:b/>
          <w:bCs/>
          <w:color w:val="auto"/>
          <w:kern w:val="28"/>
          <w:sz w:val="30"/>
          <w:szCs w:val="30"/>
          <w:highlight w:val="none"/>
          <w:lang w:val="en-US" w:eastAsia="zh-CN" w:bidi="ar-SA"/>
        </w:rPr>
        <w:t>其他资料（如有）</w:t>
      </w:r>
    </w:p>
    <w:p w14:paraId="75CE4829">
      <w:pPr>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br w:type="page"/>
      </w:r>
    </w:p>
    <w:p w14:paraId="1EF750BB">
      <w:pPr>
        <w:spacing w:after="156" w:afterLines="50" w:line="460" w:lineRule="exact"/>
        <w:ind w:firstLine="643" w:firstLineChars="200"/>
        <w:jc w:val="center"/>
        <w:outlineLvl w:val="0"/>
        <w:rPr>
          <w:rFonts w:ascii="仿宋_GB2312" w:hAnsi="仿宋_GB2312" w:eastAsia="仿宋_GB2312" w:cs="仿宋_GB2312"/>
          <w:color w:val="auto"/>
          <w:sz w:val="32"/>
          <w:szCs w:val="32"/>
          <w:highlight w:val="none"/>
        </w:rPr>
      </w:pPr>
      <w:bookmarkStart w:id="383" w:name="_Toc31984"/>
      <w:bookmarkStart w:id="384" w:name="_Toc939"/>
      <w:r>
        <w:rPr>
          <w:rFonts w:hint="eastAsia" w:ascii="仿宋_GB2312" w:hAnsi="仿宋_GB2312" w:eastAsia="仿宋_GB2312" w:cs="仿宋_GB2312"/>
          <w:b/>
          <w:bCs/>
          <w:color w:val="auto"/>
          <w:sz w:val="32"/>
          <w:szCs w:val="32"/>
          <w:highlight w:val="none"/>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ascii="仿宋_GB2312" w:hAnsi="仿宋_GB2312" w:eastAsia="仿宋_GB2312" w:cs="仿宋_GB2312"/>
          <w:color w:val="auto"/>
          <w:sz w:val="24"/>
          <w:highlight w:val="none"/>
        </w:rPr>
      </w:pPr>
      <w:bookmarkStart w:id="385" w:name="_Toc4032"/>
      <w:bookmarkStart w:id="386" w:name="_Toc27403"/>
      <w:bookmarkStart w:id="387" w:name="_Toc2263"/>
      <w:r>
        <w:rPr>
          <w:rFonts w:hint="eastAsia" w:ascii="仿宋_GB2312" w:hAnsi="仿宋_GB2312" w:eastAsia="仿宋_GB2312" w:cs="仿宋_GB2312"/>
          <w:color w:val="auto"/>
          <w:sz w:val="24"/>
          <w:highlight w:val="none"/>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比选人为维护公司合法权益，</w:t>
      </w:r>
      <w:r>
        <w:rPr>
          <w:rFonts w:hint="eastAsia" w:ascii="仿宋_GB2312" w:hAnsi="仿宋_GB2312" w:eastAsia="仿宋_GB2312" w:cs="仿宋_GB2312"/>
          <w:color w:val="auto"/>
          <w:sz w:val="24"/>
          <w:highlight w:val="none"/>
          <w:lang w:val="en-US" w:eastAsia="zh-CN"/>
        </w:rPr>
        <w:t>保障公司资金安全，</w:t>
      </w:r>
      <w:r>
        <w:rPr>
          <w:rFonts w:hint="eastAsia" w:ascii="仿宋_GB2312" w:hAnsi="仿宋_GB2312" w:eastAsia="仿宋_GB2312" w:cs="仿宋_GB2312"/>
          <w:color w:val="auto"/>
          <w:sz w:val="24"/>
          <w:highlight w:val="none"/>
        </w:rPr>
        <w:t>为公司正常运营和发展保驾护航，引入法律支撑服务合作单位。</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88" w:name="_Toc2266"/>
      <w:bookmarkStart w:id="389" w:name="_Toc15152"/>
      <w:bookmarkStart w:id="390" w:name="_Toc10913"/>
      <w:r>
        <w:rPr>
          <w:rFonts w:hint="eastAsia" w:ascii="仿宋_GB2312" w:hAnsi="仿宋_GB2312" w:eastAsia="仿宋_GB2312" w:cs="仿宋_GB2312"/>
          <w:color w:val="auto"/>
          <w:sz w:val="24"/>
          <w:highlight w:val="none"/>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委托的范围内</w:t>
      </w:r>
      <w:r>
        <w:rPr>
          <w:rFonts w:hint="eastAsia" w:ascii="仿宋_GB2312" w:hAnsi="仿宋_GB2312" w:eastAsia="仿宋_GB2312" w:cs="仿宋_GB2312"/>
          <w:color w:val="auto"/>
          <w:sz w:val="24"/>
          <w:highlight w:val="none"/>
          <w:lang w:val="en-US" w:eastAsia="zh-CN"/>
        </w:rPr>
        <w:t>开展法律诉讼及后续款项回收工作相关</w:t>
      </w:r>
      <w:r>
        <w:rPr>
          <w:rFonts w:hint="eastAsia" w:ascii="仿宋_GB2312" w:hAnsi="仿宋_GB2312" w:eastAsia="仿宋_GB2312" w:cs="仿宋_GB2312"/>
          <w:color w:val="auto"/>
          <w:sz w:val="24"/>
          <w:highlight w:val="none"/>
        </w:rPr>
        <w:t>事宜。主要内容为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通过仲裁/诉讼一审、二审（若有）、再审（若有）、执行（若有）回收欠款本金及违约金、逾期付款利息等服务内容，必要时需参加比选人及比选人集团要求的关于案件的会议。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1" w:name="_Toc23471"/>
      <w:bookmarkStart w:id="392" w:name="_Toc12665"/>
      <w:bookmarkStart w:id="393" w:name="_Toc18086"/>
      <w:r>
        <w:rPr>
          <w:rFonts w:hint="eastAsia" w:ascii="仿宋_GB2312" w:hAnsi="仿宋_GB2312" w:eastAsia="仿宋_GB2312" w:cs="仿宋_GB2312"/>
          <w:color w:val="auto"/>
          <w:sz w:val="24"/>
          <w:highlight w:val="none"/>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1.遵守国家</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bookmarkStart w:id="394" w:name="_Hlk129770241"/>
      <w:r>
        <w:rPr>
          <w:rFonts w:hint="eastAsia" w:ascii="仿宋_GB2312" w:hAnsi="仿宋_GB2312" w:eastAsia="仿宋_GB2312" w:cs="仿宋_GB2312"/>
          <w:color w:val="auto"/>
          <w:kern w:val="2"/>
          <w:sz w:val="24"/>
          <w:szCs w:val="24"/>
          <w:highlight w:val="none"/>
          <w:lang w:val="en-US" w:eastAsia="zh-CN" w:bidi="ar-SA"/>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5" w:name="_Toc31114"/>
      <w:bookmarkStart w:id="396" w:name="_Toc30152"/>
      <w:bookmarkStart w:id="397" w:name="_Toc492"/>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3.其他损害比选人合法权益的行为。</w:t>
      </w:r>
      <w:bookmarkStart w:id="398" w:name="_Toc26177"/>
      <w:bookmarkStart w:id="399" w:name="_Toc12823"/>
      <w:bookmarkStart w:id="400" w:name="_Toc17709"/>
      <w:bookmarkStart w:id="401" w:name="_Toc26915"/>
      <w:bookmarkStart w:id="402" w:name="_Toc25653"/>
      <w:bookmarkStart w:id="403" w:name="_Toc25574"/>
      <w:bookmarkStart w:id="404" w:name="_Toc3519"/>
      <w:bookmarkStart w:id="405" w:name="_Toc27729"/>
      <w:bookmarkStart w:id="406" w:name="_Toc30236"/>
      <w:bookmarkStart w:id="407" w:name="_Toc13978"/>
      <w:bookmarkStart w:id="408" w:name="_Toc5556"/>
      <w:bookmarkStart w:id="409" w:name="_Toc5592"/>
    </w:p>
    <w:p w14:paraId="6141B300">
      <w:pPr>
        <w:pStyle w:val="3"/>
        <w:rPr>
          <w:rFonts w:hint="eastAsia" w:ascii="仿宋_GB2312" w:hAnsi="仿宋_GB2312" w:eastAsia="仿宋_GB2312" w:cs="仿宋_GB2312"/>
          <w:color w:val="auto"/>
          <w:sz w:val="24"/>
          <w:highlight w:val="none"/>
        </w:rPr>
      </w:pPr>
    </w:p>
    <w:p w14:paraId="66F5AE0D">
      <w:pPr>
        <w:rPr>
          <w:rFonts w:hint="eastAsia" w:ascii="仿宋_GB2312" w:hAnsi="仿宋_GB2312" w:eastAsia="仿宋_GB2312" w:cs="仿宋_GB2312"/>
          <w:color w:val="auto"/>
          <w:sz w:val="24"/>
          <w:highlight w:val="none"/>
        </w:rPr>
      </w:pPr>
    </w:p>
    <w:p w14:paraId="5F625DE2">
      <w:pPr>
        <w:pStyle w:val="3"/>
        <w:rPr>
          <w:rFonts w:hint="eastAsia" w:ascii="仿宋_GB2312" w:hAnsi="仿宋_GB2312" w:eastAsia="仿宋_GB2312" w:cs="仿宋_GB2312"/>
          <w:color w:val="auto"/>
          <w:sz w:val="24"/>
          <w:highlight w:val="none"/>
        </w:rPr>
      </w:pPr>
    </w:p>
    <w:p w14:paraId="672B49CA">
      <w:pPr>
        <w:rPr>
          <w:rFonts w:hint="eastAsia" w:ascii="仿宋_GB2312" w:hAnsi="仿宋_GB2312" w:eastAsia="仿宋_GB2312" w:cs="仿宋_GB2312"/>
          <w:color w:val="auto"/>
          <w:sz w:val="24"/>
          <w:highlight w:val="none"/>
        </w:rPr>
      </w:pPr>
    </w:p>
    <w:p w14:paraId="22A8631C">
      <w:pPr>
        <w:pStyle w:val="2"/>
        <w:rPr>
          <w:rFonts w:hint="eastAsia" w:ascii="仿宋_GB2312" w:hAnsi="仿宋_GB2312" w:eastAsia="仿宋_GB2312" w:cs="仿宋_GB2312"/>
          <w:color w:val="auto"/>
          <w:sz w:val="24"/>
          <w:highlight w:val="none"/>
        </w:rPr>
      </w:pPr>
    </w:p>
    <w:p w14:paraId="691EEC89">
      <w:pPr>
        <w:pStyle w:val="2"/>
        <w:rPr>
          <w:rFonts w:hint="eastAsia" w:ascii="仿宋_GB2312" w:hAnsi="仿宋_GB2312" w:eastAsia="仿宋_GB2312" w:cs="仿宋_GB2312"/>
          <w:color w:val="auto"/>
          <w:sz w:val="24"/>
          <w:highlight w:val="none"/>
        </w:rPr>
      </w:pPr>
    </w:p>
    <w:p w14:paraId="54BAC478">
      <w:pPr>
        <w:pStyle w:val="2"/>
        <w:rPr>
          <w:rFonts w:hint="eastAsia" w:ascii="仿宋_GB2312" w:hAnsi="仿宋_GB2312" w:eastAsia="仿宋_GB2312" w:cs="仿宋_GB2312"/>
          <w:color w:val="auto"/>
          <w:sz w:val="24"/>
          <w:highlight w:val="none"/>
        </w:rPr>
      </w:pPr>
    </w:p>
    <w:p w14:paraId="0E0B7DDA">
      <w:pPr>
        <w:pStyle w:val="2"/>
        <w:rPr>
          <w:rFonts w:hint="eastAsia" w:ascii="仿宋_GB2312" w:hAnsi="仿宋_GB2312" w:eastAsia="仿宋_GB2312" w:cs="仿宋_GB2312"/>
          <w:color w:val="auto"/>
          <w:sz w:val="24"/>
          <w:highlight w:val="none"/>
        </w:rPr>
      </w:pPr>
    </w:p>
    <w:p w14:paraId="3592CD56">
      <w:pPr>
        <w:pStyle w:val="2"/>
        <w:rPr>
          <w:rFonts w:hint="eastAsia" w:ascii="仿宋_GB2312" w:hAnsi="仿宋_GB2312" w:eastAsia="仿宋_GB2312" w:cs="仿宋_GB2312"/>
          <w:color w:val="auto"/>
          <w:sz w:val="24"/>
          <w:highlight w:val="none"/>
        </w:rPr>
      </w:pPr>
    </w:p>
    <w:p w14:paraId="0CF88371">
      <w:pPr>
        <w:adjustRightInd w:val="0"/>
        <w:spacing w:after="156" w:afterLines="50" w:line="460" w:lineRule="exact"/>
        <w:jc w:val="both"/>
        <w:outlineLvl w:val="0"/>
        <w:rPr>
          <w:rFonts w:hint="eastAsia" w:ascii="仿宋_GB2312" w:hAnsi="仿宋_GB2312" w:eastAsia="仿宋_GB2312" w:cs="仿宋_GB2312"/>
          <w:b/>
          <w:bCs/>
          <w:color w:val="auto"/>
          <w:kern w:val="44"/>
          <w:sz w:val="32"/>
          <w:szCs w:val="32"/>
          <w:highlight w:val="none"/>
        </w:rPr>
      </w:pPr>
    </w:p>
    <w:p w14:paraId="0719ACB3">
      <w:pPr>
        <w:adjustRightInd w:val="0"/>
        <w:spacing w:after="156" w:afterLines="50" w:line="460" w:lineRule="exact"/>
        <w:jc w:val="center"/>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44"/>
          <w:sz w:val="32"/>
          <w:szCs w:val="32"/>
          <w:highlight w:val="none"/>
        </w:rPr>
        <w:t xml:space="preserve">第六章  </w:t>
      </w:r>
      <w:bookmarkEnd w:id="398"/>
      <w:r>
        <w:rPr>
          <w:rFonts w:hint="eastAsia" w:ascii="仿宋_GB2312" w:hAnsi="仿宋_GB2312" w:eastAsia="仿宋_GB2312" w:cs="仿宋_GB2312"/>
          <w:b/>
          <w:bCs/>
          <w:color w:val="auto"/>
          <w:kern w:val="44"/>
          <w:sz w:val="32"/>
          <w:szCs w:val="32"/>
          <w:highlight w:val="none"/>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auto"/>
          <w:kern w:val="44"/>
          <w:sz w:val="32"/>
          <w:szCs w:val="32"/>
          <w:highlight w:val="none"/>
          <w:lang w:val="en-US" w:eastAsia="zh-CN"/>
        </w:rPr>
        <w:t>方法</w:t>
      </w:r>
    </w:p>
    <w:p w14:paraId="59CEEAE5">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一、评审委员会</w:t>
      </w:r>
    </w:p>
    <w:p w14:paraId="3BCFA95A">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1.评审工作由比选人相关成员组建的评审委员会负责。</w:t>
      </w:r>
    </w:p>
    <w:p w14:paraId="137E6BBE">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2.与本次比选申请人存在经济利益或亲属关系的成员应当自行回避。</w:t>
      </w:r>
    </w:p>
    <w:p w14:paraId="37D2EC42">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二、评审程序</w:t>
      </w:r>
    </w:p>
    <w:p w14:paraId="6AA3DF6D">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根据各比选申请人递交的比选申请书按照以下程序进行评审工作：</w:t>
      </w:r>
    </w:p>
    <w:p w14:paraId="6E87C8BA">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bookmarkStart w:id="410" w:name="_Toc9298"/>
      <w:bookmarkStart w:id="411" w:name="_Toc6128"/>
      <w:bookmarkStart w:id="412" w:name="_Toc4845"/>
      <w:r>
        <w:rPr>
          <w:rFonts w:hint="eastAsia" w:ascii="仿宋_GB2312" w:hAnsi="仿宋_GB2312" w:eastAsia="仿宋_GB2312" w:cs="仿宋_GB2312"/>
          <w:b/>
          <w:color w:val="auto"/>
          <w:kern w:val="0"/>
          <w:sz w:val="24"/>
          <w:highlight w:val="none"/>
          <w:lang w:val="zh-CN"/>
        </w:rPr>
        <w:t>三、评审标准</w:t>
      </w:r>
      <w:bookmarkEnd w:id="410"/>
      <w:bookmarkEnd w:id="411"/>
      <w:bookmarkEnd w:id="412"/>
    </w:p>
    <w:p w14:paraId="55D45ABC">
      <w:pPr>
        <w:spacing w:line="400" w:lineRule="exact"/>
        <w:ind w:firstLine="482" w:firstLineChars="200"/>
        <w:jc w:val="center"/>
        <w:rPr>
          <w:rFonts w:ascii="Times New Roman" w:hAnsi="Times New Roman" w:eastAsia="仿宋" w:cs="Times New Roman"/>
          <w:b/>
          <w:color w:val="auto"/>
          <w:kern w:val="0"/>
          <w:sz w:val="24"/>
          <w:highlight w:val="none"/>
        </w:rPr>
      </w:pPr>
      <w:bookmarkStart w:id="413" w:name="_Ref77046541"/>
      <w:r>
        <w:rPr>
          <w:rFonts w:ascii="Times New Roman" w:hAnsi="Times New Roman" w:eastAsia="仿宋" w:cs="Times New Roman"/>
          <w:b/>
          <w:color w:val="auto"/>
          <w:kern w:val="0"/>
          <w:sz w:val="24"/>
          <w:highlight w:val="none"/>
        </w:rPr>
        <w:t>资格评审表</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评审项</w:t>
            </w:r>
          </w:p>
        </w:tc>
        <w:tc>
          <w:tcPr>
            <w:tcW w:w="2752" w:type="dxa"/>
            <w:vAlign w:val="center"/>
          </w:tcPr>
          <w:p w14:paraId="1EAAAE1B">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评审因素</w:t>
            </w:r>
          </w:p>
        </w:tc>
        <w:tc>
          <w:tcPr>
            <w:tcW w:w="3734" w:type="dxa"/>
            <w:vAlign w:val="center"/>
          </w:tcPr>
          <w:p w14:paraId="040EE34D">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形式评审标准</w:t>
            </w:r>
          </w:p>
        </w:tc>
        <w:tc>
          <w:tcPr>
            <w:tcW w:w="2752" w:type="dxa"/>
            <w:vAlign w:val="center"/>
          </w:tcPr>
          <w:p w14:paraId="0DE15CEF">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比选申请人名称</w:t>
            </w:r>
          </w:p>
        </w:tc>
        <w:tc>
          <w:tcPr>
            <w:tcW w:w="3734" w:type="dxa"/>
            <w:vAlign w:val="center"/>
          </w:tcPr>
          <w:p w14:paraId="65A50575">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CD40465">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签字、盖章</w:t>
            </w:r>
          </w:p>
        </w:tc>
        <w:tc>
          <w:tcPr>
            <w:tcW w:w="3734" w:type="dxa"/>
            <w:vAlign w:val="center"/>
          </w:tcPr>
          <w:p w14:paraId="1888DFBE">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F5970EE">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副本份数</w:t>
            </w:r>
          </w:p>
        </w:tc>
        <w:tc>
          <w:tcPr>
            <w:tcW w:w="3734" w:type="dxa"/>
            <w:vAlign w:val="center"/>
          </w:tcPr>
          <w:p w14:paraId="125B2EC6">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0E387600">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报价唯一</w:t>
            </w:r>
          </w:p>
        </w:tc>
        <w:tc>
          <w:tcPr>
            <w:tcW w:w="3734" w:type="dxa"/>
            <w:vAlign w:val="center"/>
          </w:tcPr>
          <w:p w14:paraId="2718EFC3">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7042FEB">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2D1ED9D2">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资格评审标准</w:t>
            </w:r>
          </w:p>
        </w:tc>
        <w:tc>
          <w:tcPr>
            <w:tcW w:w="2752" w:type="dxa"/>
            <w:vAlign w:val="center"/>
          </w:tcPr>
          <w:p w14:paraId="74FE0CE5">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律师事务所执业许可证</w:t>
            </w:r>
          </w:p>
        </w:tc>
        <w:tc>
          <w:tcPr>
            <w:tcW w:w="3734" w:type="dxa"/>
            <w:vAlign w:val="center"/>
          </w:tcPr>
          <w:p w14:paraId="489FF399">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4A6A02F">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信誉要求</w:t>
            </w:r>
          </w:p>
        </w:tc>
        <w:tc>
          <w:tcPr>
            <w:tcW w:w="3734" w:type="dxa"/>
            <w:vAlign w:val="center"/>
          </w:tcPr>
          <w:p w14:paraId="04CED69C">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人员要求</w:t>
            </w:r>
          </w:p>
        </w:tc>
        <w:tc>
          <w:tcPr>
            <w:tcW w:w="3734" w:type="dxa"/>
            <w:vAlign w:val="center"/>
          </w:tcPr>
          <w:p w14:paraId="1E5CB5DE">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财务要求</w:t>
            </w:r>
          </w:p>
        </w:tc>
        <w:tc>
          <w:tcPr>
            <w:tcW w:w="3734" w:type="dxa"/>
            <w:vAlign w:val="center"/>
          </w:tcPr>
          <w:p w14:paraId="798D40CA">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37234DA8">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其他要求</w:t>
            </w:r>
          </w:p>
        </w:tc>
        <w:tc>
          <w:tcPr>
            <w:tcW w:w="3734" w:type="dxa"/>
            <w:vAlign w:val="center"/>
          </w:tcPr>
          <w:p w14:paraId="44E1FDB7">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750DB251">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4E4D8F3A">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响应性评审标准</w:t>
            </w:r>
          </w:p>
        </w:tc>
        <w:tc>
          <w:tcPr>
            <w:tcW w:w="2752" w:type="dxa"/>
            <w:vAlign w:val="center"/>
          </w:tcPr>
          <w:p w14:paraId="15EDB445">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最高限价</w:t>
            </w:r>
          </w:p>
        </w:tc>
        <w:tc>
          <w:tcPr>
            <w:tcW w:w="3734" w:type="dxa"/>
            <w:vAlign w:val="center"/>
          </w:tcPr>
          <w:p w14:paraId="4F7D1846">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5BA30ECD">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比选有效期</w:t>
            </w:r>
          </w:p>
        </w:tc>
        <w:tc>
          <w:tcPr>
            <w:tcW w:w="3734" w:type="dxa"/>
            <w:vAlign w:val="center"/>
          </w:tcPr>
          <w:p w14:paraId="211308BC">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color w:val="auto"/>
                <w:sz w:val="22"/>
                <w:szCs w:val="22"/>
                <w:highlight w:val="none"/>
              </w:rPr>
              <w:t>符合第二章第二节总则 第</w:t>
            </w:r>
            <w:r>
              <w:rPr>
                <w:rFonts w:hint="eastAsia" w:ascii="Times New Roman" w:hAnsi="Times New Roman" w:eastAsia="仿宋" w:cs="Times New Roman"/>
                <w:color w:val="auto"/>
                <w:sz w:val="22"/>
                <w:szCs w:val="22"/>
                <w:highlight w:val="none"/>
                <w:lang w:val="en-US" w:eastAsia="zh-CN"/>
              </w:rPr>
              <w:t>7</w:t>
            </w:r>
            <w:r>
              <w:rPr>
                <w:rFonts w:ascii="Times New Roman" w:hAnsi="Times New Roman" w:eastAsia="仿宋" w:cs="Times New Roman"/>
                <w:color w:val="auto"/>
                <w:sz w:val="22"/>
                <w:szCs w:val="22"/>
                <w:highlight w:val="none"/>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5DCF12C2">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1712A0A0">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bl>
    <w:p w14:paraId="11EBECCA">
      <w:pPr>
        <w:spacing w:line="400" w:lineRule="exact"/>
        <w:ind w:firstLine="482" w:firstLineChars="200"/>
        <w:jc w:val="center"/>
        <w:rPr>
          <w:rFonts w:ascii="Times New Roman" w:hAnsi="Times New Roman" w:eastAsia="仿宋" w:cs="Times New Roman"/>
          <w:b/>
          <w:color w:val="auto"/>
          <w:kern w:val="0"/>
          <w:sz w:val="24"/>
          <w:highlight w:val="none"/>
        </w:rPr>
      </w:pPr>
      <w:r>
        <w:rPr>
          <w:rFonts w:ascii="Times New Roman" w:hAnsi="Times New Roman" w:eastAsia="仿宋" w:cs="Times New Roman"/>
          <w:b/>
          <w:color w:val="auto"/>
          <w:kern w:val="0"/>
          <w:sz w:val="24"/>
          <w:highlight w:val="none"/>
        </w:rPr>
        <w:br w:type="page"/>
      </w:r>
    </w:p>
    <w:p w14:paraId="73AB807B">
      <w:pPr>
        <w:spacing w:line="400" w:lineRule="exact"/>
        <w:ind w:firstLine="643" w:firstLineChars="200"/>
        <w:jc w:val="center"/>
        <w:rPr>
          <w:rFonts w:ascii="Times New Roman" w:hAnsi="Times New Roman" w:eastAsia="仿宋" w:cs="Times New Roman"/>
          <w:b/>
          <w:color w:val="auto"/>
          <w:kern w:val="0"/>
          <w:sz w:val="32"/>
          <w:szCs w:val="32"/>
          <w:highlight w:val="none"/>
        </w:rPr>
      </w:pPr>
      <w:r>
        <w:rPr>
          <w:rFonts w:ascii="Times New Roman" w:hAnsi="Times New Roman" w:eastAsia="仿宋" w:cs="Times New Roman"/>
          <w:b/>
          <w:color w:val="auto"/>
          <w:kern w:val="0"/>
          <w:sz w:val="32"/>
          <w:szCs w:val="32"/>
          <w:highlight w:val="none"/>
        </w:rPr>
        <w:t>详细评审</w:t>
      </w:r>
      <w:r>
        <w:rPr>
          <w:rFonts w:hint="eastAsia" w:ascii="Times New Roman" w:hAnsi="Times New Roman" w:eastAsia="仿宋" w:cs="Times New Roman"/>
          <w:b/>
          <w:color w:val="auto"/>
          <w:kern w:val="0"/>
          <w:sz w:val="32"/>
          <w:szCs w:val="32"/>
          <w:highlight w:val="none"/>
        </w:rPr>
        <w:t>表</w:t>
      </w:r>
      <w:bookmarkEnd w:id="413"/>
      <w:bookmarkStart w:id="414" w:name="_Toc19015"/>
      <w:bookmarkStart w:id="415" w:name="_Toc8490"/>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A5D8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2B7E6019">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序号</w:t>
            </w:r>
          </w:p>
        </w:tc>
        <w:tc>
          <w:tcPr>
            <w:tcW w:w="1061" w:type="dxa"/>
            <w:tcBorders>
              <w:left w:val="single" w:color="auto" w:sz="4" w:space="0"/>
              <w:bottom w:val="single" w:color="auto" w:sz="4" w:space="0"/>
              <w:right w:val="single" w:color="auto" w:sz="4" w:space="0"/>
            </w:tcBorders>
            <w:noWrap w:val="0"/>
            <w:vAlign w:val="center"/>
          </w:tcPr>
          <w:p w14:paraId="46A14B9E">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评标项目</w:t>
            </w:r>
          </w:p>
        </w:tc>
        <w:tc>
          <w:tcPr>
            <w:tcW w:w="1830" w:type="dxa"/>
            <w:tcBorders>
              <w:left w:val="single" w:color="auto" w:sz="4" w:space="0"/>
              <w:bottom w:val="single" w:color="auto" w:sz="4" w:space="0"/>
              <w:right w:val="single" w:color="auto" w:sz="4" w:space="0"/>
            </w:tcBorders>
            <w:noWrap w:val="0"/>
            <w:vAlign w:val="center"/>
          </w:tcPr>
          <w:p w14:paraId="53DA27DE">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详细内容</w:t>
            </w:r>
          </w:p>
        </w:tc>
        <w:tc>
          <w:tcPr>
            <w:tcW w:w="680" w:type="dxa"/>
            <w:tcBorders>
              <w:left w:val="single" w:color="auto" w:sz="4" w:space="0"/>
              <w:bottom w:val="single" w:color="auto" w:sz="4" w:space="0"/>
              <w:right w:val="single" w:color="auto" w:sz="4" w:space="0"/>
            </w:tcBorders>
            <w:noWrap w:val="0"/>
            <w:vAlign w:val="center"/>
          </w:tcPr>
          <w:p w14:paraId="1137D9CA">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评标分值</w:t>
            </w:r>
          </w:p>
        </w:tc>
        <w:tc>
          <w:tcPr>
            <w:tcW w:w="4530" w:type="dxa"/>
            <w:tcBorders>
              <w:left w:val="single" w:color="auto" w:sz="4" w:space="0"/>
              <w:bottom w:val="single" w:color="auto" w:sz="4" w:space="0"/>
            </w:tcBorders>
            <w:noWrap w:val="0"/>
            <w:vAlign w:val="center"/>
          </w:tcPr>
          <w:p w14:paraId="4AF15A11">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评分标准</w:t>
            </w:r>
          </w:p>
        </w:tc>
      </w:tr>
      <w:tr w14:paraId="72C5D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775A4062">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1</w:t>
            </w:r>
          </w:p>
        </w:tc>
        <w:tc>
          <w:tcPr>
            <w:tcW w:w="1061" w:type="dxa"/>
            <w:vMerge w:val="restart"/>
            <w:tcBorders>
              <w:top w:val="single" w:color="auto" w:sz="4" w:space="0"/>
              <w:left w:val="single" w:color="auto" w:sz="4" w:space="0"/>
              <w:right w:val="single" w:color="auto" w:sz="4" w:space="0"/>
            </w:tcBorders>
            <w:noWrap w:val="0"/>
            <w:vAlign w:val="center"/>
          </w:tcPr>
          <w:p w14:paraId="31062315">
            <w:pPr>
              <w:jc w:val="both"/>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val="en-US" w:eastAsia="zh-CN"/>
              </w:rPr>
              <w:t>履约能力（30分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04DF19E">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9B93C44">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6826AE3F">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成立1</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年以上</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含15年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得5分；</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至1</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含10年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得3分；</w:t>
            </w:r>
            <w:r>
              <w:rPr>
                <w:rFonts w:hint="eastAsia" w:ascii="楷体" w:hAnsi="楷体" w:eastAsia="楷体" w:cs="楷体"/>
                <w:b w:val="0"/>
                <w:bCs w:val="0"/>
                <w:color w:val="auto"/>
                <w:kern w:val="1"/>
                <w:sz w:val="21"/>
                <w:szCs w:val="21"/>
                <w:highlight w:val="none"/>
                <w:lang w:val="en-US" w:eastAsia="zh-CN"/>
              </w:rPr>
              <w:t>10年以下得1分。</w:t>
            </w:r>
          </w:p>
        </w:tc>
      </w:tr>
      <w:tr w14:paraId="1EE6E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692CAE80">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6BFF325F">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E36BCE">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CDA688A">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1CF7542B">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专职律师</w:t>
            </w:r>
            <w:r>
              <w:rPr>
                <w:rFonts w:hint="eastAsia" w:ascii="楷体" w:hAnsi="楷体" w:eastAsia="楷体" w:cs="楷体"/>
                <w:b w:val="0"/>
                <w:bCs w:val="0"/>
                <w:color w:val="auto"/>
                <w:kern w:val="1"/>
                <w:sz w:val="21"/>
                <w:szCs w:val="21"/>
                <w:highlight w:val="none"/>
                <w:lang w:val="en-US" w:eastAsia="zh-CN"/>
              </w:rPr>
              <w:t>500</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含500人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人以上得</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300</w:t>
            </w:r>
            <w:r>
              <w:rPr>
                <w:rFonts w:hint="eastAsia" w:ascii="楷体" w:hAnsi="楷体" w:eastAsia="楷体" w:cs="楷体"/>
                <w:b w:val="0"/>
                <w:bCs w:val="0"/>
                <w:color w:val="auto"/>
                <w:kern w:val="1"/>
                <w:sz w:val="21"/>
                <w:szCs w:val="21"/>
                <w:highlight w:val="none"/>
              </w:rPr>
              <w:t>至</w:t>
            </w:r>
            <w:r>
              <w:rPr>
                <w:rFonts w:hint="eastAsia" w:ascii="楷体" w:hAnsi="楷体" w:eastAsia="楷体" w:cs="楷体"/>
                <w:b w:val="0"/>
                <w:bCs w:val="0"/>
                <w:color w:val="auto"/>
                <w:kern w:val="1"/>
                <w:sz w:val="21"/>
                <w:szCs w:val="21"/>
                <w:highlight w:val="none"/>
                <w:lang w:val="en-US" w:eastAsia="zh-CN"/>
              </w:rPr>
              <w:t>500</w:t>
            </w:r>
            <w:r>
              <w:rPr>
                <w:rFonts w:hint="eastAsia" w:ascii="楷体" w:hAnsi="楷体" w:eastAsia="楷体" w:cs="楷体"/>
                <w:b w:val="0"/>
                <w:bCs w:val="0"/>
                <w:color w:val="auto"/>
                <w:kern w:val="1"/>
                <w:sz w:val="21"/>
                <w:szCs w:val="21"/>
                <w:highlight w:val="none"/>
              </w:rPr>
              <w:t>人得</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含300人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300</w:t>
            </w:r>
            <w:r>
              <w:rPr>
                <w:rFonts w:hint="eastAsia" w:ascii="楷体" w:hAnsi="楷体" w:eastAsia="楷体" w:cs="楷体"/>
                <w:b w:val="0"/>
                <w:bCs w:val="0"/>
                <w:color w:val="auto"/>
                <w:kern w:val="1"/>
                <w:sz w:val="21"/>
                <w:szCs w:val="21"/>
                <w:highlight w:val="none"/>
              </w:rPr>
              <w:t>人</w:t>
            </w:r>
            <w:r>
              <w:rPr>
                <w:rFonts w:hint="eastAsia" w:ascii="楷体" w:hAnsi="楷体" w:eastAsia="楷体" w:cs="楷体"/>
                <w:b w:val="0"/>
                <w:bCs w:val="0"/>
                <w:color w:val="auto"/>
                <w:kern w:val="1"/>
                <w:sz w:val="21"/>
                <w:szCs w:val="21"/>
                <w:highlight w:val="none"/>
                <w:lang w:val="en-US" w:eastAsia="zh-CN"/>
              </w:rPr>
              <w:t>至50人</w:t>
            </w:r>
            <w:r>
              <w:rPr>
                <w:rFonts w:hint="eastAsia" w:ascii="楷体" w:hAnsi="楷体" w:eastAsia="楷体" w:cs="楷体"/>
                <w:b w:val="0"/>
                <w:bCs w:val="0"/>
                <w:color w:val="auto"/>
                <w:kern w:val="1"/>
                <w:sz w:val="21"/>
                <w:szCs w:val="21"/>
                <w:highlight w:val="none"/>
              </w:rPr>
              <w:t>得3分。</w:t>
            </w:r>
          </w:p>
        </w:tc>
      </w:tr>
      <w:tr w14:paraId="2ADE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1196C84F">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616F3761">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161AE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7CF1C46">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36086A80">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比选申请人获全国级荣誉，每获得一项得2分；获省市级政府部门或行业协会荣誉，每获得一项得1分；获其他政府部门或行业协会荣誉，每获得一项得1分；获奖荣誉累计得分不超过5分。</w:t>
            </w:r>
          </w:p>
        </w:tc>
      </w:tr>
      <w:tr w14:paraId="2996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2B54C833">
            <w:pPr>
              <w:jc w:val="center"/>
              <w:rPr>
                <w:rFonts w:hint="eastAsia" w:ascii="楷体" w:hAnsi="楷体" w:eastAsia="楷体" w:cs="楷体"/>
                <w:b w:val="0"/>
                <w:bCs w:val="0"/>
                <w:color w:val="auto"/>
                <w:kern w:val="1"/>
                <w:szCs w:val="21"/>
                <w:highlight w:val="none"/>
                <w:lang w:val="en-US" w:eastAsia="zh-CN"/>
              </w:rPr>
            </w:pPr>
          </w:p>
        </w:tc>
        <w:tc>
          <w:tcPr>
            <w:tcW w:w="1061" w:type="dxa"/>
            <w:vMerge w:val="continue"/>
            <w:tcBorders>
              <w:left w:val="single" w:color="auto" w:sz="4" w:space="0"/>
              <w:right w:val="single" w:color="auto" w:sz="4" w:space="0"/>
            </w:tcBorders>
            <w:noWrap w:val="0"/>
            <w:vAlign w:val="center"/>
          </w:tcPr>
          <w:p w14:paraId="64D22A73">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A80816F">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事务所</w:t>
            </w:r>
            <w:r>
              <w:rPr>
                <w:rFonts w:hint="eastAsia" w:ascii="楷体" w:hAnsi="楷体" w:eastAsia="楷体" w:cs="楷体"/>
                <w:b w:val="0"/>
                <w:bCs w:val="0"/>
                <w:color w:val="auto"/>
                <w:kern w:val="1"/>
                <w:sz w:val="21"/>
                <w:szCs w:val="21"/>
                <w:highlight w:val="none"/>
                <w:lang w:val="en-US" w:eastAsia="zh-CN"/>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7CA78F">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65623EF4">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最近三年内，比选申请人为国有企业/政府部门提供诉讼或非诉法律服务，</w:t>
            </w:r>
            <w:r>
              <w:rPr>
                <w:rFonts w:hint="eastAsia" w:ascii="楷体" w:hAnsi="楷体" w:eastAsia="楷体" w:cs="楷体"/>
                <w:b w:val="0"/>
                <w:bCs w:val="0"/>
                <w:color w:val="auto"/>
                <w:kern w:val="1"/>
                <w:sz w:val="21"/>
                <w:szCs w:val="21"/>
                <w:highlight w:val="none"/>
              </w:rPr>
              <w:t>每</w:t>
            </w:r>
            <w:r>
              <w:rPr>
                <w:rFonts w:hint="eastAsia" w:ascii="楷体" w:hAnsi="楷体" w:eastAsia="楷体" w:cs="楷体"/>
                <w:b w:val="0"/>
                <w:bCs w:val="0"/>
                <w:color w:val="auto"/>
                <w:kern w:val="1"/>
                <w:sz w:val="21"/>
                <w:szCs w:val="21"/>
                <w:highlight w:val="none"/>
                <w:lang w:val="en-US" w:eastAsia="zh-CN"/>
              </w:rPr>
              <w:t>服务一家</w:t>
            </w:r>
            <w:r>
              <w:rPr>
                <w:rFonts w:hint="eastAsia" w:ascii="楷体" w:hAnsi="楷体" w:eastAsia="楷体" w:cs="楷体"/>
                <w:b w:val="0"/>
                <w:bCs w:val="0"/>
                <w:color w:val="auto"/>
                <w:kern w:val="1"/>
                <w:sz w:val="21"/>
                <w:szCs w:val="21"/>
                <w:highlight w:val="none"/>
              </w:rPr>
              <w:t>得</w:t>
            </w:r>
            <w:r>
              <w:rPr>
                <w:rFonts w:hint="eastAsia" w:ascii="楷体" w:hAnsi="楷体" w:eastAsia="楷体" w:cs="楷体"/>
                <w:b w:val="0"/>
                <w:bCs w:val="0"/>
                <w:color w:val="auto"/>
                <w:kern w:val="1"/>
                <w:sz w:val="21"/>
                <w:szCs w:val="21"/>
                <w:highlight w:val="none"/>
                <w:lang w:val="en-US" w:eastAsia="zh-CN"/>
              </w:rPr>
              <w:t>2</w:t>
            </w:r>
            <w:r>
              <w:rPr>
                <w:rFonts w:hint="eastAsia" w:ascii="楷体" w:hAnsi="楷体" w:eastAsia="楷体" w:cs="楷体"/>
                <w:b w:val="0"/>
                <w:bCs w:val="0"/>
                <w:color w:val="auto"/>
                <w:kern w:val="1"/>
                <w:sz w:val="21"/>
                <w:szCs w:val="21"/>
                <w:highlight w:val="none"/>
              </w:rPr>
              <w:t>分；累计得分不超过</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服务团队中已提交的业绩不计入该项得分）</w:t>
            </w:r>
            <w:r>
              <w:rPr>
                <w:rFonts w:hint="eastAsia" w:ascii="楷体" w:hAnsi="楷体" w:eastAsia="楷体" w:cs="楷体"/>
                <w:b w:val="0"/>
                <w:bCs w:val="0"/>
                <w:color w:val="auto"/>
                <w:kern w:val="1"/>
                <w:sz w:val="21"/>
                <w:szCs w:val="21"/>
                <w:highlight w:val="none"/>
                <w:lang w:eastAsia="zh-CN"/>
              </w:rPr>
              <w:t>。</w:t>
            </w:r>
          </w:p>
          <w:p w14:paraId="4AA7F012">
            <w:pPr>
              <w:ind w:firstLine="0" w:firstLineChars="0"/>
              <w:rPr>
                <w:rFonts w:hint="eastAsia"/>
                <w:color w:val="auto"/>
                <w:highlight w:val="none"/>
              </w:rPr>
            </w:pPr>
          </w:p>
        </w:tc>
      </w:tr>
      <w:tr w14:paraId="6F402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4" w:hRule="atLeast"/>
        </w:trPr>
        <w:tc>
          <w:tcPr>
            <w:tcW w:w="421" w:type="dxa"/>
            <w:tcBorders>
              <w:top w:val="single" w:color="auto" w:sz="4" w:space="0"/>
              <w:right w:val="single" w:color="auto" w:sz="4" w:space="0"/>
            </w:tcBorders>
            <w:noWrap w:val="0"/>
            <w:vAlign w:val="center"/>
          </w:tcPr>
          <w:p w14:paraId="47B8B9F6">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2</w:t>
            </w:r>
          </w:p>
        </w:tc>
        <w:tc>
          <w:tcPr>
            <w:tcW w:w="1061" w:type="dxa"/>
            <w:tcBorders>
              <w:top w:val="single" w:color="auto" w:sz="4" w:space="0"/>
              <w:left w:val="single" w:color="auto" w:sz="4" w:space="0"/>
              <w:right w:val="single" w:color="auto" w:sz="4" w:space="0"/>
            </w:tcBorders>
            <w:noWrap w:val="0"/>
            <w:vAlign w:val="center"/>
          </w:tcPr>
          <w:p w14:paraId="3B3DD07C">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比选报价</w:t>
            </w:r>
          </w:p>
          <w:p w14:paraId="58FA0896">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（15分）</w:t>
            </w:r>
          </w:p>
        </w:tc>
        <w:tc>
          <w:tcPr>
            <w:tcW w:w="1830" w:type="dxa"/>
            <w:tcBorders>
              <w:top w:val="single" w:color="auto" w:sz="4" w:space="0"/>
              <w:left w:val="single" w:color="auto" w:sz="4" w:space="0"/>
              <w:right w:val="single" w:color="auto" w:sz="4" w:space="0"/>
            </w:tcBorders>
            <w:noWrap w:val="0"/>
            <w:vAlign w:val="center"/>
          </w:tcPr>
          <w:p w14:paraId="3A30FF11">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本次报价</w:t>
            </w:r>
          </w:p>
        </w:tc>
        <w:tc>
          <w:tcPr>
            <w:tcW w:w="680" w:type="dxa"/>
            <w:tcBorders>
              <w:top w:val="single" w:color="auto" w:sz="4" w:space="0"/>
              <w:left w:val="single" w:color="auto" w:sz="4" w:space="0"/>
              <w:right w:val="single" w:color="auto" w:sz="4" w:space="0"/>
            </w:tcBorders>
            <w:noWrap w:val="0"/>
            <w:vAlign w:val="center"/>
          </w:tcPr>
          <w:p w14:paraId="5ADF431E">
            <w:pPr>
              <w:jc w:val="center"/>
              <w:rPr>
                <w:rFonts w:hint="default"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top"/>
          </w:tcPr>
          <w:p w14:paraId="0E45044B">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比选报价得分分为以下两个部分：</w:t>
            </w:r>
          </w:p>
          <w:p w14:paraId="230C116E">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1、总价得分：满分为10分。报价</w:t>
            </w:r>
            <w:r>
              <w:rPr>
                <w:rFonts w:hint="eastAsia" w:ascii="楷体" w:hAnsi="楷体" w:eastAsia="楷体" w:cs="楷体"/>
                <w:color w:val="auto"/>
                <w:szCs w:val="21"/>
                <w:highlight w:val="none"/>
              </w:rPr>
              <w:t>为基本代理费和风险代理费（风险代理费以涉案金额为计算基数）之和</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以所有有效比选申请人的</w:t>
            </w:r>
            <w:r>
              <w:rPr>
                <w:rFonts w:hint="eastAsia" w:ascii="楷体" w:hAnsi="楷体" w:eastAsia="楷体" w:cs="楷体"/>
                <w:color w:val="auto"/>
                <w:szCs w:val="21"/>
                <w:highlight w:val="none"/>
                <w:lang w:val="en-US" w:eastAsia="zh-CN"/>
              </w:rPr>
              <w:t>算术</w:t>
            </w:r>
            <w:r>
              <w:rPr>
                <w:rFonts w:hint="eastAsia" w:ascii="楷体" w:hAnsi="楷体" w:eastAsia="楷体" w:cs="楷体"/>
                <w:color w:val="auto"/>
                <w:szCs w:val="21"/>
                <w:highlight w:val="none"/>
              </w:rPr>
              <w:t>平均比选报价作为基准价。</w:t>
            </w:r>
            <w:r>
              <w:rPr>
                <w:rFonts w:hint="eastAsia" w:ascii="楷体" w:hAnsi="楷体" w:eastAsia="楷体" w:cs="楷体"/>
                <w:color w:val="auto"/>
                <w:szCs w:val="21"/>
                <w:highlight w:val="none"/>
                <w:lang w:val="en-US" w:eastAsia="zh-CN"/>
              </w:rPr>
              <w:t>得分</w:t>
            </w:r>
            <w:r>
              <w:rPr>
                <w:rFonts w:hint="eastAsia" w:ascii="楷体" w:hAnsi="楷体" w:eastAsia="楷体" w:cs="楷体"/>
                <w:color w:val="auto"/>
                <w:szCs w:val="21"/>
                <w:highlight w:val="none"/>
              </w:rPr>
              <w:t>统一按照下列公式计算：报价得分=1</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×[1-︱（最终报价-基准价）︱/基准价]</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lang w:val="en-US" w:eastAsia="zh-CN"/>
              </w:rPr>
              <w:t>注：得分精确到小数点后两位。</w:t>
            </w:r>
          </w:p>
          <w:p w14:paraId="4FF238E3">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2、风险代理占比得分：满分5分。报价得分=5</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风险代理费/（基本代理费+风险代理费）</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lang w:val="en-US" w:eastAsia="zh-CN"/>
              </w:rPr>
              <w:t>注：得分精确到小数点后两位。</w:t>
            </w:r>
          </w:p>
          <w:p w14:paraId="71CB61F2">
            <w:pPr>
              <w:jc w:val="left"/>
              <w:outlineLvl w:val="0"/>
              <w:rPr>
                <w:rFonts w:hint="default"/>
                <w:color w:val="auto"/>
                <w:highlight w:val="none"/>
                <w:lang w:val="en-US" w:eastAsia="zh-CN"/>
              </w:rPr>
            </w:pPr>
            <w:r>
              <w:rPr>
                <w:rFonts w:hint="eastAsia" w:ascii="楷体" w:hAnsi="楷体" w:eastAsia="楷体" w:cs="楷体"/>
                <w:color w:val="auto"/>
                <w:szCs w:val="21"/>
                <w:highlight w:val="none"/>
              </w:rPr>
              <w:t>总费用（基础代理费+风险代理费）</w:t>
            </w:r>
            <w:r>
              <w:rPr>
                <w:rFonts w:hint="eastAsia" w:ascii="楷体" w:hAnsi="楷体" w:eastAsia="楷体" w:cs="楷体"/>
                <w:color w:val="auto"/>
                <w:szCs w:val="21"/>
                <w:highlight w:val="none"/>
              </w:rPr>
              <w:t>不超过</w:t>
            </w:r>
            <w:r>
              <w:rPr>
                <w:rFonts w:hint="eastAsia" w:ascii="楷体" w:hAnsi="楷体" w:eastAsia="楷体" w:cs="楷体"/>
                <w:color w:val="auto"/>
                <w:szCs w:val="21"/>
                <w:highlight w:val="none"/>
                <w:u w:val="single"/>
                <w:lang w:val="en-US" w:eastAsia="zh-CN"/>
              </w:rPr>
              <w:t>15</w:t>
            </w:r>
            <w:r>
              <w:rPr>
                <w:rFonts w:hint="eastAsia" w:ascii="楷体" w:hAnsi="楷体" w:eastAsia="楷体" w:cs="楷体"/>
                <w:color w:val="auto"/>
                <w:szCs w:val="21"/>
                <w:highlight w:val="none"/>
              </w:rPr>
              <w:t>万</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此为限价，</w:t>
            </w:r>
            <w:r>
              <w:rPr>
                <w:rFonts w:hint="eastAsia" w:ascii="楷体" w:hAnsi="楷体" w:eastAsia="楷体" w:cs="楷体"/>
                <w:color w:val="auto"/>
                <w:szCs w:val="21"/>
                <w:highlight w:val="none"/>
              </w:rPr>
              <w:t>含本数</w:t>
            </w:r>
            <w:r>
              <w:rPr>
                <w:rFonts w:hint="eastAsia" w:ascii="楷体" w:hAnsi="楷体" w:eastAsia="楷体" w:cs="楷体"/>
                <w:color w:val="auto"/>
                <w:szCs w:val="21"/>
                <w:highlight w:val="none"/>
              </w:rPr>
              <w:t>），超过的本次报价</w:t>
            </w:r>
            <w:r>
              <w:rPr>
                <w:rFonts w:hint="eastAsia" w:ascii="楷体" w:hAnsi="楷体" w:eastAsia="楷体" w:cs="楷体"/>
                <w:color w:val="auto"/>
                <w:szCs w:val="21"/>
                <w:highlight w:val="none"/>
                <w:lang w:val="en-US" w:eastAsia="zh-CN"/>
              </w:rPr>
              <w:t>为无效报价。</w:t>
            </w:r>
          </w:p>
        </w:tc>
      </w:tr>
      <w:tr w14:paraId="6AD0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tcBorders>
              <w:bottom w:val="single" w:color="auto" w:sz="4" w:space="0"/>
              <w:right w:val="single" w:color="auto" w:sz="4" w:space="0"/>
            </w:tcBorders>
            <w:noWrap w:val="0"/>
            <w:vAlign w:val="center"/>
          </w:tcPr>
          <w:p w14:paraId="49CCA9BE">
            <w:pPr>
              <w:jc w:val="center"/>
              <w:rPr>
                <w:rFonts w:hint="eastAsia" w:ascii="楷体" w:hAnsi="楷体" w:eastAsia="楷体" w:cs="楷体"/>
                <w:b w:val="0"/>
                <w:bCs w:val="0"/>
                <w:color w:val="auto"/>
                <w:kern w:val="1"/>
                <w:szCs w:val="21"/>
                <w:highlight w:val="none"/>
                <w:lang w:val="en-US" w:eastAsia="zh-CN"/>
              </w:rPr>
            </w:pPr>
            <w:r>
              <w:rPr>
                <w:rFonts w:hint="eastAsia" w:ascii="楷体" w:hAnsi="楷体" w:eastAsia="楷体" w:cs="楷体"/>
                <w:b w:val="0"/>
                <w:bCs w:val="0"/>
                <w:color w:val="auto"/>
                <w:kern w:val="1"/>
                <w:szCs w:val="21"/>
                <w:highlight w:val="none"/>
                <w:lang w:val="en-US" w:eastAsia="zh-CN"/>
              </w:rPr>
              <w:t>3</w:t>
            </w:r>
          </w:p>
        </w:tc>
        <w:tc>
          <w:tcPr>
            <w:tcW w:w="1061" w:type="dxa"/>
            <w:tcBorders>
              <w:left w:val="single" w:color="auto" w:sz="4" w:space="0"/>
              <w:bottom w:val="single" w:color="auto" w:sz="4" w:space="0"/>
              <w:right w:val="single" w:color="auto" w:sz="4" w:space="0"/>
            </w:tcBorders>
            <w:noWrap w:val="0"/>
            <w:vAlign w:val="center"/>
          </w:tcPr>
          <w:p w14:paraId="18C21C4D">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服务方案（30分）</w:t>
            </w:r>
          </w:p>
        </w:tc>
        <w:tc>
          <w:tcPr>
            <w:tcW w:w="1830" w:type="dxa"/>
            <w:tcBorders>
              <w:left w:val="single" w:color="auto" w:sz="4" w:space="0"/>
              <w:bottom w:val="single" w:color="auto" w:sz="4" w:space="0"/>
              <w:right w:val="single" w:color="auto" w:sz="4" w:space="0"/>
            </w:tcBorders>
            <w:noWrap w:val="0"/>
            <w:vAlign w:val="center"/>
          </w:tcPr>
          <w:p w14:paraId="21C297D4">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服务方案认可度</w:t>
            </w:r>
          </w:p>
        </w:tc>
        <w:tc>
          <w:tcPr>
            <w:tcW w:w="680" w:type="dxa"/>
            <w:tcBorders>
              <w:left w:val="single" w:color="auto" w:sz="4" w:space="0"/>
              <w:bottom w:val="single" w:color="auto" w:sz="4" w:space="0"/>
              <w:right w:val="single" w:color="auto" w:sz="4" w:space="0"/>
            </w:tcBorders>
            <w:noWrap w:val="0"/>
            <w:vAlign w:val="center"/>
          </w:tcPr>
          <w:p w14:paraId="1CB1FB55">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30</w:t>
            </w:r>
          </w:p>
        </w:tc>
        <w:tc>
          <w:tcPr>
            <w:tcW w:w="4530" w:type="dxa"/>
            <w:tcBorders>
              <w:top w:val="single" w:color="auto" w:sz="4" w:space="0"/>
              <w:left w:val="single" w:color="auto" w:sz="4" w:space="0"/>
              <w:bottom w:val="single" w:color="auto" w:sz="4" w:space="0"/>
            </w:tcBorders>
            <w:noWrap w:val="0"/>
            <w:vAlign w:val="top"/>
          </w:tcPr>
          <w:p w14:paraId="348D25A1">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针对</w:t>
            </w:r>
            <w:r>
              <w:rPr>
                <w:rFonts w:hint="eastAsia" w:ascii="楷体" w:hAnsi="楷体" w:eastAsia="楷体" w:cs="楷体"/>
                <w:b w:val="0"/>
                <w:bCs w:val="0"/>
                <w:color w:val="auto"/>
                <w:sz w:val="21"/>
                <w:szCs w:val="21"/>
                <w:highlight w:val="none"/>
                <w:lang w:val="en-US" w:eastAsia="zh-CN"/>
              </w:rPr>
              <w:t>比选申请人</w:t>
            </w:r>
            <w:r>
              <w:rPr>
                <w:rFonts w:hint="eastAsia" w:ascii="楷体" w:hAnsi="楷体" w:eastAsia="楷体" w:cs="楷体"/>
                <w:b w:val="0"/>
                <w:bCs w:val="0"/>
                <w:color w:val="auto"/>
                <w:sz w:val="21"/>
                <w:szCs w:val="21"/>
                <w:highlight w:val="none"/>
              </w:rPr>
              <w:t>提交的整体</w:t>
            </w:r>
            <w:r>
              <w:rPr>
                <w:rFonts w:hint="eastAsia" w:ascii="楷体" w:hAnsi="楷体" w:eastAsia="楷体" w:cs="楷体"/>
                <w:b w:val="0"/>
                <w:bCs w:val="0"/>
                <w:color w:val="auto"/>
                <w:sz w:val="21"/>
                <w:szCs w:val="21"/>
                <w:highlight w:val="none"/>
                <w:lang w:eastAsia="zh-Hans"/>
              </w:rPr>
              <w:t>法律</w:t>
            </w:r>
            <w:r>
              <w:rPr>
                <w:rFonts w:hint="eastAsia" w:ascii="楷体" w:hAnsi="楷体" w:eastAsia="楷体" w:cs="楷体"/>
                <w:b w:val="0"/>
                <w:bCs w:val="0"/>
                <w:color w:val="auto"/>
                <w:sz w:val="21"/>
                <w:szCs w:val="21"/>
                <w:highlight w:val="none"/>
              </w:rPr>
              <w:t>服务方案是否完整、科学等进行综合打分。</w:t>
            </w:r>
          </w:p>
          <w:p w14:paraId="4BD47C1B">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1.法律分析充分合理，服务方案完整、详尽，服务措施完善、有操作性，得</w:t>
            </w:r>
            <w:r>
              <w:rPr>
                <w:rFonts w:hint="eastAsia" w:ascii="楷体" w:hAnsi="楷体" w:eastAsia="楷体" w:cs="楷体"/>
                <w:b w:val="0"/>
                <w:bCs w:val="0"/>
                <w:color w:val="auto"/>
                <w:sz w:val="21"/>
                <w:szCs w:val="21"/>
                <w:highlight w:val="none"/>
                <w:lang w:val="en-US" w:eastAsia="zh-CN"/>
              </w:rPr>
              <w:t>20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30</w:t>
            </w:r>
            <w:r>
              <w:rPr>
                <w:rFonts w:hint="eastAsia" w:ascii="楷体" w:hAnsi="楷体" w:eastAsia="楷体" w:cs="楷体"/>
                <w:b w:val="0"/>
                <w:bCs w:val="0"/>
                <w:color w:val="auto"/>
                <w:sz w:val="21"/>
                <w:szCs w:val="21"/>
                <w:highlight w:val="none"/>
              </w:rPr>
              <w:t>分；</w:t>
            </w:r>
          </w:p>
          <w:p w14:paraId="47F774E4">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2.有一定法律分析，服务方案较完整，服务措施较完善，有一定操作性，得</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20</w:t>
            </w:r>
            <w:r>
              <w:rPr>
                <w:rFonts w:hint="eastAsia" w:ascii="楷体" w:hAnsi="楷体" w:eastAsia="楷体" w:cs="楷体"/>
                <w:b w:val="0"/>
                <w:bCs w:val="0"/>
                <w:color w:val="auto"/>
                <w:sz w:val="21"/>
                <w:szCs w:val="21"/>
                <w:highlight w:val="none"/>
              </w:rPr>
              <w:t>分；</w:t>
            </w:r>
          </w:p>
          <w:p w14:paraId="657B2B74">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3.法律分析不充分，服务方案不够详尽，服务措施不够完善，操作性较差，得1-</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rPr>
              <w:t>分；</w:t>
            </w:r>
          </w:p>
          <w:p w14:paraId="2D474CDC">
            <w:pPr>
              <w:jc w:val="left"/>
              <w:outlineLvl w:val="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4.没有方案不得分。</w:t>
            </w:r>
          </w:p>
        </w:tc>
      </w:tr>
      <w:tr w14:paraId="6B1E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3CB520F9">
            <w:pPr>
              <w:jc w:val="center"/>
              <w:rPr>
                <w:rFonts w:hint="eastAsia" w:ascii="楷体" w:hAnsi="楷体" w:eastAsia="楷体" w:cs="楷体"/>
                <w:b w:val="0"/>
                <w:bCs w:val="0"/>
                <w:color w:val="auto"/>
                <w:kern w:val="1"/>
                <w:szCs w:val="21"/>
                <w:highlight w:val="none"/>
                <w:lang w:eastAsia="zh-CN"/>
              </w:rPr>
            </w:pPr>
            <w:r>
              <w:rPr>
                <w:rFonts w:hint="eastAsia" w:ascii="楷体" w:hAnsi="楷体" w:eastAsia="楷体" w:cs="楷体"/>
                <w:b w:val="0"/>
                <w:bCs w:val="0"/>
                <w:color w:val="auto"/>
                <w:kern w:val="1"/>
                <w:szCs w:val="21"/>
                <w:highlight w:val="none"/>
                <w:lang w:val="en-US" w:eastAsia="zh-CN"/>
              </w:rPr>
              <w:t>4</w:t>
            </w:r>
          </w:p>
        </w:tc>
        <w:tc>
          <w:tcPr>
            <w:tcW w:w="1061" w:type="dxa"/>
            <w:vMerge w:val="restart"/>
            <w:tcBorders>
              <w:top w:val="single" w:color="auto" w:sz="4" w:space="0"/>
              <w:left w:val="single" w:color="auto" w:sz="4" w:space="0"/>
              <w:right w:val="single" w:color="auto" w:sz="4" w:space="0"/>
            </w:tcBorders>
            <w:noWrap w:val="0"/>
            <w:vAlign w:val="center"/>
          </w:tcPr>
          <w:p w14:paraId="2E74667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w:t>
            </w:r>
          </w:p>
          <w:p w14:paraId="5EDEAB56">
            <w:pPr>
              <w:jc w:val="cente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25分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2613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AF7DBAD">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7D133DC3">
            <w:pPr>
              <w:numPr>
                <w:ilvl w:val="-1"/>
                <w:numId w:val="0"/>
              </w:numP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rPr>
              <w:t>服务团队律师执业年限和教育背景：三名及以上律师执业满8年或博士以上学历得</w:t>
            </w:r>
            <w:r>
              <w:rPr>
                <w:rFonts w:hint="eastAsia" w:ascii="楷体" w:hAnsi="楷体" w:eastAsia="楷体" w:cs="楷体"/>
                <w:b w:val="0"/>
                <w:bCs w:val="0"/>
                <w:color w:val="auto"/>
                <w:kern w:val="1"/>
                <w:sz w:val="21"/>
                <w:szCs w:val="21"/>
                <w:highlight w:val="none"/>
                <w:lang w:val="en-US" w:eastAsia="zh-CN"/>
              </w:rPr>
              <w:t>8</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Hans"/>
              </w:rPr>
              <w:t>二名及以上</w:t>
            </w:r>
            <w:r>
              <w:rPr>
                <w:rFonts w:hint="eastAsia" w:ascii="楷体" w:hAnsi="楷体" w:eastAsia="楷体" w:cs="楷体"/>
                <w:b w:val="0"/>
                <w:bCs w:val="0"/>
                <w:color w:val="auto"/>
                <w:kern w:val="1"/>
                <w:sz w:val="21"/>
                <w:szCs w:val="21"/>
                <w:highlight w:val="none"/>
              </w:rPr>
              <w:t>律师执业满8年或博士以上学历得</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分，一名律师执业满8年或博士以上学历得</w:t>
            </w:r>
            <w:r>
              <w:rPr>
                <w:rFonts w:hint="eastAsia" w:ascii="楷体" w:hAnsi="楷体" w:eastAsia="楷体" w:cs="楷体"/>
                <w:b w:val="0"/>
                <w:bCs w:val="0"/>
                <w:color w:val="auto"/>
                <w:kern w:val="1"/>
                <w:sz w:val="21"/>
                <w:szCs w:val="21"/>
                <w:highlight w:val="none"/>
                <w:lang w:val="en-US" w:eastAsia="zh-CN"/>
              </w:rPr>
              <w:t>3</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不满足不得分</w:t>
            </w:r>
            <w:r>
              <w:rPr>
                <w:rFonts w:hint="eastAsia" w:ascii="楷体" w:hAnsi="楷体" w:eastAsia="楷体" w:cs="楷体"/>
                <w:b w:val="0"/>
                <w:bCs w:val="0"/>
                <w:color w:val="auto"/>
                <w:kern w:val="1"/>
                <w:sz w:val="21"/>
                <w:szCs w:val="21"/>
                <w:highlight w:val="none"/>
                <w:lang w:eastAsia="zh-CN"/>
              </w:rPr>
              <w:t>。</w:t>
            </w:r>
          </w:p>
          <w:p w14:paraId="6DC469EB">
            <w:pPr>
              <w:numPr>
                <w:ilvl w:val="-1"/>
                <w:numId w:val="0"/>
              </w:numPr>
              <w:rPr>
                <w:rFonts w:hint="eastAsia" w:ascii="楷体" w:hAnsi="楷体" w:eastAsia="楷体" w:cs="楷体"/>
                <w:b w:val="0"/>
                <w:bCs w:val="0"/>
                <w:color w:val="auto"/>
                <w:sz w:val="21"/>
                <w:szCs w:val="21"/>
                <w:highlight w:val="none"/>
                <w:lang w:val="en-US" w:eastAsia="zh-CN" w:bidi="zh-TW"/>
              </w:rPr>
            </w:pPr>
            <w:r>
              <w:rPr>
                <w:rFonts w:hint="eastAsia" w:ascii="楷体" w:hAnsi="楷体" w:eastAsia="楷体" w:cs="楷体"/>
                <w:b w:val="0"/>
                <w:bCs w:val="0"/>
                <w:color w:val="auto"/>
                <w:sz w:val="21"/>
                <w:szCs w:val="21"/>
                <w:highlight w:val="none"/>
                <w:lang w:bidi="zh-TW"/>
              </w:rPr>
              <w:t>服务团队固定且不少于</w:t>
            </w:r>
            <w:r>
              <w:rPr>
                <w:rFonts w:hint="eastAsia" w:ascii="楷体" w:hAnsi="楷体" w:eastAsia="楷体" w:cs="楷体"/>
                <w:b w:val="0"/>
                <w:bCs w:val="0"/>
                <w:color w:val="auto"/>
                <w:sz w:val="21"/>
                <w:szCs w:val="21"/>
                <w:highlight w:val="none"/>
                <w:lang w:val="en-US" w:eastAsia="zh-CN" w:bidi="zh-TW"/>
              </w:rPr>
              <w:t>5</w:t>
            </w:r>
            <w:r>
              <w:rPr>
                <w:rFonts w:hint="eastAsia" w:ascii="楷体" w:hAnsi="楷体" w:eastAsia="楷体" w:cs="楷体"/>
                <w:b w:val="0"/>
                <w:bCs w:val="0"/>
                <w:color w:val="auto"/>
                <w:sz w:val="21"/>
                <w:szCs w:val="21"/>
                <w:highlight w:val="none"/>
                <w:lang w:bidi="zh-TW"/>
              </w:rPr>
              <w:t>人的律师顾问团队</w:t>
            </w:r>
            <w:r>
              <w:rPr>
                <w:rFonts w:hint="eastAsia" w:ascii="楷体" w:hAnsi="楷体" w:eastAsia="楷体" w:cs="楷体"/>
                <w:b w:val="0"/>
                <w:bCs w:val="0"/>
                <w:color w:val="auto"/>
                <w:sz w:val="21"/>
                <w:szCs w:val="21"/>
                <w:highlight w:val="none"/>
                <w:lang w:val="en-US" w:eastAsia="zh-CN" w:bidi="zh-TW"/>
              </w:rPr>
              <w:t>的</w:t>
            </w:r>
            <w:r>
              <w:rPr>
                <w:rFonts w:hint="eastAsia" w:ascii="楷体" w:hAnsi="楷体" w:eastAsia="楷体" w:cs="楷体"/>
                <w:b w:val="0"/>
                <w:bCs w:val="0"/>
                <w:color w:val="auto"/>
                <w:sz w:val="21"/>
                <w:szCs w:val="21"/>
                <w:highlight w:val="none"/>
                <w:lang w:bidi="zh-TW"/>
              </w:rPr>
              <w:t>（不含实习律师、律师助理）得</w:t>
            </w:r>
            <w:r>
              <w:rPr>
                <w:rFonts w:hint="eastAsia" w:ascii="楷体" w:hAnsi="楷体" w:eastAsia="楷体" w:cs="楷体"/>
                <w:b w:val="0"/>
                <w:bCs w:val="0"/>
                <w:color w:val="auto"/>
                <w:sz w:val="21"/>
                <w:szCs w:val="21"/>
                <w:highlight w:val="none"/>
                <w:lang w:val="en-US" w:eastAsia="zh-CN" w:bidi="zh-TW"/>
              </w:rPr>
              <w:t>2分</w:t>
            </w:r>
            <w:r>
              <w:rPr>
                <w:rFonts w:hint="eastAsia" w:ascii="楷体" w:hAnsi="楷体" w:eastAsia="楷体" w:cs="楷体"/>
                <w:b w:val="0"/>
                <w:bCs w:val="0"/>
                <w:color w:val="auto"/>
                <w:sz w:val="21"/>
                <w:szCs w:val="21"/>
                <w:highlight w:val="none"/>
                <w:lang w:bidi="zh-TW"/>
              </w:rPr>
              <w:t>，</w:t>
            </w:r>
            <w:r>
              <w:rPr>
                <w:rFonts w:hint="eastAsia" w:ascii="楷体" w:hAnsi="楷体" w:eastAsia="楷体" w:cs="楷体"/>
                <w:b w:val="0"/>
                <w:bCs w:val="0"/>
                <w:color w:val="auto"/>
                <w:sz w:val="21"/>
                <w:szCs w:val="21"/>
                <w:highlight w:val="none"/>
                <w:lang w:val="en-US" w:eastAsia="zh-CN" w:bidi="zh-TW"/>
              </w:rPr>
              <w:t>3至4人</w:t>
            </w:r>
            <w:r>
              <w:rPr>
                <w:rFonts w:hint="eastAsia" w:ascii="楷体" w:hAnsi="楷体" w:eastAsia="楷体" w:cs="楷体"/>
                <w:b w:val="0"/>
                <w:bCs w:val="0"/>
                <w:color w:val="auto"/>
                <w:sz w:val="21"/>
                <w:szCs w:val="21"/>
                <w:highlight w:val="none"/>
                <w:lang w:bidi="zh-TW"/>
              </w:rPr>
              <w:t>（不含实习律师、律师助理）</w:t>
            </w:r>
            <w:r>
              <w:rPr>
                <w:rFonts w:hint="eastAsia" w:ascii="楷体" w:hAnsi="楷体" w:eastAsia="楷体" w:cs="楷体"/>
                <w:b w:val="0"/>
                <w:bCs w:val="0"/>
                <w:color w:val="auto"/>
                <w:sz w:val="21"/>
                <w:szCs w:val="21"/>
                <w:highlight w:val="none"/>
                <w:lang w:val="en-US" w:eastAsia="zh-CN" w:bidi="zh-TW"/>
              </w:rPr>
              <w:t>得1分。</w:t>
            </w:r>
            <w:r>
              <w:rPr>
                <w:rFonts w:hint="eastAsia" w:ascii="楷体" w:hAnsi="楷体" w:eastAsia="楷体" w:cs="楷体"/>
                <w:b w:val="0"/>
                <w:bCs w:val="0"/>
                <w:color w:val="auto"/>
                <w:sz w:val="21"/>
                <w:szCs w:val="21"/>
                <w:highlight w:val="none"/>
                <w:lang w:bidi="zh-TW"/>
              </w:rPr>
              <w:t>未达条件</w:t>
            </w:r>
            <w:r>
              <w:rPr>
                <w:rFonts w:hint="eastAsia" w:ascii="楷体" w:hAnsi="楷体" w:eastAsia="楷体" w:cs="楷体"/>
                <w:b w:val="0"/>
                <w:bCs w:val="0"/>
                <w:color w:val="auto"/>
                <w:sz w:val="21"/>
                <w:szCs w:val="21"/>
                <w:highlight w:val="none"/>
                <w:lang w:val="en-US" w:eastAsia="zh-CN" w:bidi="zh-TW"/>
              </w:rPr>
              <w:t>为无效报价</w:t>
            </w:r>
            <w:r>
              <w:rPr>
                <w:rFonts w:hint="eastAsia" w:ascii="楷体" w:hAnsi="楷体" w:eastAsia="楷体" w:cs="楷体"/>
                <w:b w:val="0"/>
                <w:bCs w:val="0"/>
                <w:color w:val="auto"/>
                <w:sz w:val="21"/>
                <w:szCs w:val="21"/>
                <w:highlight w:val="none"/>
                <w:lang w:eastAsia="zh-CN" w:bidi="zh-TW"/>
              </w:rPr>
              <w:t>。</w:t>
            </w:r>
          </w:p>
          <w:p w14:paraId="018F3284">
            <w:pPr>
              <w:pStyle w:val="6"/>
              <w:ind w:left="0" w:leftChars="0" w:firstLine="0" w:firstLineChars="0"/>
              <w:rPr>
                <w:rFonts w:hint="default" w:ascii="楷体" w:hAnsi="楷体" w:eastAsia="楷体" w:cs="楷体"/>
                <w:b w:val="0"/>
                <w:bCs w:val="0"/>
                <w:color w:val="auto"/>
                <w:kern w:val="1"/>
                <w:sz w:val="21"/>
                <w:szCs w:val="21"/>
                <w:highlight w:val="none"/>
                <w:lang w:val="en-US" w:eastAsia="zh-CN" w:bidi="ar-SA"/>
              </w:rPr>
            </w:pPr>
          </w:p>
        </w:tc>
      </w:tr>
      <w:tr w14:paraId="508F0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2954F74E">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4B40F664">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69ABAB">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服务团队</w:t>
            </w:r>
            <w:r>
              <w:rPr>
                <w:rFonts w:hint="eastAsia" w:ascii="楷体" w:hAnsi="楷体" w:eastAsia="楷体" w:cs="楷体"/>
                <w:b w:val="0"/>
                <w:bCs w:val="0"/>
                <w:color w:val="auto"/>
                <w:kern w:val="1"/>
                <w:sz w:val="21"/>
                <w:szCs w:val="21"/>
                <w:highlight w:val="none"/>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7ABE4A6">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center"/>
          </w:tcPr>
          <w:p w14:paraId="509A8CDC">
            <w:pPr>
              <w:pStyle w:val="6"/>
              <w:ind w:left="0" w:leftChars="0" w:firstLine="0" w:firstLineChars="0"/>
              <w:rPr>
                <w:rFonts w:hint="default" w:eastAsia="楷体"/>
                <w:color w:val="auto"/>
                <w:highlight w:val="none"/>
                <w:lang w:val="en-US" w:eastAsia="zh-CN"/>
              </w:rPr>
            </w:pPr>
            <w:r>
              <w:rPr>
                <w:rFonts w:hint="eastAsia" w:ascii="楷体" w:hAnsi="楷体" w:eastAsia="楷体" w:cs="楷体"/>
                <w:b w:val="0"/>
                <w:bCs w:val="0"/>
                <w:color w:val="auto"/>
                <w:kern w:val="1"/>
                <w:sz w:val="21"/>
                <w:szCs w:val="21"/>
                <w:highlight w:val="none"/>
                <w:lang w:val="en-US" w:eastAsia="zh-CN"/>
              </w:rPr>
              <w:t>服务团队有为国企提供企业/政府部门提供诉讼或非诉法律服务标的金额1000万（含1000万）以上的，每增加一例得3分，最高不超过15分。</w:t>
            </w:r>
          </w:p>
        </w:tc>
      </w:tr>
      <w:tr w14:paraId="57CA6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093CA3D">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合计</w:t>
            </w:r>
          </w:p>
        </w:tc>
        <w:tc>
          <w:tcPr>
            <w:tcW w:w="5210" w:type="dxa"/>
            <w:gridSpan w:val="2"/>
            <w:tcBorders>
              <w:top w:val="single" w:color="auto" w:sz="4" w:space="0"/>
              <w:left w:val="single" w:color="auto" w:sz="4" w:space="0"/>
            </w:tcBorders>
            <w:noWrap w:val="0"/>
            <w:vAlign w:val="center"/>
          </w:tcPr>
          <w:p w14:paraId="09BBB160">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100分</w:t>
            </w:r>
          </w:p>
        </w:tc>
      </w:tr>
    </w:tbl>
    <w:p w14:paraId="52CD92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kern w:val="1"/>
          <w:sz w:val="21"/>
          <w:szCs w:val="21"/>
          <w:highlight w:val="none"/>
          <w:lang w:val="en-US" w:eastAsia="zh-CN" w:bidi="ar-SA"/>
        </w:rPr>
      </w:pPr>
      <w:r>
        <w:rPr>
          <w:rFonts w:hint="eastAsia" w:ascii="楷体" w:hAnsi="楷体" w:eastAsia="楷体" w:cs="楷体"/>
          <w:b w:val="0"/>
          <w:bCs w:val="0"/>
          <w:color w:val="auto"/>
          <w:kern w:val="1"/>
          <w:sz w:val="21"/>
          <w:szCs w:val="21"/>
          <w:highlight w:val="none"/>
          <w:lang w:val="en-US" w:eastAsia="zh-CN" w:bidi="ar-SA"/>
        </w:rPr>
        <w:t>如总评分相同，</w:t>
      </w:r>
      <w:r>
        <w:rPr>
          <w:rFonts w:hint="eastAsia" w:ascii="楷体" w:hAnsi="楷体" w:eastAsia="楷体" w:cs="楷体"/>
          <w:b w:val="0"/>
          <w:bCs w:val="0"/>
          <w:color w:val="auto"/>
          <w:kern w:val="1"/>
          <w:sz w:val="21"/>
          <w:szCs w:val="21"/>
          <w:highlight w:val="none"/>
          <w:lang w:val="zh-CN" w:eastAsia="zh-CN" w:bidi="ar-SA"/>
        </w:rPr>
        <w:t>按</w:t>
      </w:r>
      <w:r>
        <w:rPr>
          <w:rFonts w:hint="eastAsia" w:ascii="楷体" w:hAnsi="楷体" w:eastAsia="楷体" w:cs="楷体"/>
          <w:b w:val="0"/>
          <w:bCs w:val="0"/>
          <w:color w:val="auto"/>
          <w:kern w:val="1"/>
          <w:sz w:val="21"/>
          <w:szCs w:val="21"/>
          <w:highlight w:val="none"/>
          <w:lang w:val="en-US" w:eastAsia="zh-CN" w:bidi="ar-SA"/>
        </w:rPr>
        <w:t>比选报价评分</w:t>
      </w:r>
      <w:r>
        <w:rPr>
          <w:rFonts w:hint="eastAsia" w:ascii="楷体" w:hAnsi="楷体" w:eastAsia="楷体" w:cs="楷体"/>
          <w:b w:val="0"/>
          <w:bCs w:val="0"/>
          <w:color w:val="auto"/>
          <w:kern w:val="1"/>
          <w:sz w:val="21"/>
          <w:szCs w:val="21"/>
          <w:highlight w:val="none"/>
          <w:lang w:val="zh-CN" w:eastAsia="zh-CN" w:bidi="ar-SA"/>
        </w:rPr>
        <w:t>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评分相同的，按</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团队服务</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服务方案、团队服务</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履约能力</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团队服务、履约能力</w:t>
      </w:r>
      <w:r>
        <w:rPr>
          <w:rFonts w:hint="eastAsia" w:ascii="楷体" w:hAnsi="楷体" w:eastAsia="楷体" w:cs="楷体"/>
          <w:b w:val="0"/>
          <w:bCs w:val="0"/>
          <w:color w:val="auto"/>
          <w:kern w:val="1"/>
          <w:sz w:val="21"/>
          <w:szCs w:val="21"/>
          <w:highlight w:val="none"/>
          <w:lang w:val="zh-CN" w:eastAsia="zh-CN" w:bidi="ar-SA"/>
        </w:rPr>
        <w:t>评分均相同，名次由评审组抽签决定，评审组按上述排列顺序向比选人推荐1-3名中选候选人</w:t>
      </w:r>
      <w:r>
        <w:rPr>
          <w:rFonts w:hint="eastAsia" w:ascii="楷体" w:hAnsi="楷体" w:eastAsia="楷体" w:cs="楷体"/>
          <w:b w:val="0"/>
          <w:bCs w:val="0"/>
          <w:color w:val="auto"/>
          <w:kern w:val="1"/>
          <w:sz w:val="21"/>
          <w:szCs w:val="21"/>
          <w:highlight w:val="none"/>
          <w:lang w:val="en-US" w:eastAsia="zh-CN" w:bidi="ar-SA"/>
        </w:rPr>
        <w:t>。文件所指近3年为</w:t>
      </w:r>
      <w:r>
        <w:rPr>
          <w:rFonts w:hint="eastAsia" w:ascii="楷体" w:hAnsi="楷体" w:eastAsia="楷体" w:cs="楷体"/>
          <w:b w:val="0"/>
          <w:bCs w:val="0"/>
          <w:color w:val="auto"/>
          <w:kern w:val="1"/>
          <w:sz w:val="21"/>
          <w:szCs w:val="21"/>
          <w:highlight w:val="none"/>
          <w:lang w:val="en-US" w:eastAsia="zh-CN" w:bidi="ar-SA"/>
        </w:rPr>
        <w:t>2022年1月1日</w:t>
      </w:r>
      <w:r>
        <w:rPr>
          <w:rFonts w:hint="eastAsia" w:ascii="楷体" w:hAnsi="楷体" w:eastAsia="楷体" w:cs="楷体"/>
          <w:b w:val="0"/>
          <w:bCs w:val="0"/>
          <w:color w:val="auto"/>
          <w:kern w:val="1"/>
          <w:sz w:val="21"/>
          <w:szCs w:val="21"/>
          <w:highlight w:val="none"/>
          <w:lang w:val="en-US" w:eastAsia="zh-CN" w:bidi="ar-SA"/>
        </w:rPr>
        <w:t>至比选文件递交截止日。</w:t>
      </w:r>
    </w:p>
    <w:p w14:paraId="36DAEAE4">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07F56B1">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02600C47">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0D7B977">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058DE26">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FDCEE51">
      <w:pPr>
        <w:pStyle w:val="2"/>
        <w:rPr>
          <w:color w:val="auto"/>
          <w:highlight w:val="none"/>
        </w:rPr>
      </w:pPr>
    </w:p>
    <w:p w14:paraId="2B27AFAC">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A799173">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4CA474D3">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25FA21B5">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D03411E">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814A3C2">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05EAE551">
      <w:pPr>
        <w:keepNext/>
        <w:keepLines/>
        <w:widowControl w:val="0"/>
        <w:spacing w:before="0" w:after="156" w:afterLines="50" w:line="460" w:lineRule="exact"/>
        <w:jc w:val="center"/>
        <w:outlineLvl w:val="0"/>
        <w:rPr>
          <w:rFonts w:ascii="仿宋_GB2312" w:hAnsi="仿宋_GB2312" w:eastAsia="仿宋_GB2312" w:cs="仿宋_GB2312"/>
          <w:b/>
          <w:bCs/>
          <w:color w:val="auto"/>
          <w:kern w:val="0"/>
          <w:sz w:val="32"/>
          <w:szCs w:val="32"/>
          <w:highlight w:val="none"/>
          <w:lang w:val="zh-CN" w:eastAsia="zh-CN" w:bidi="ar-SA"/>
        </w:rPr>
      </w:pPr>
      <w:bookmarkStart w:id="416" w:name="_Toc12996"/>
      <w:bookmarkStart w:id="417" w:name="_Toc13785"/>
      <w:bookmarkStart w:id="418" w:name="_Toc5396"/>
      <w:bookmarkStart w:id="419" w:name="_Toc10904"/>
      <w:bookmarkStart w:id="420" w:name="_Toc23662"/>
      <w:bookmarkStart w:id="421" w:name="_Toc332"/>
      <w:bookmarkStart w:id="422" w:name="_Toc28949"/>
      <w:bookmarkStart w:id="423" w:name="_Toc3249"/>
      <w:bookmarkStart w:id="424" w:name="_Toc19065"/>
      <w:bookmarkStart w:id="425" w:name="_Toc18600"/>
      <w:r>
        <w:rPr>
          <w:rFonts w:hint="eastAsia" w:ascii="仿宋_GB2312" w:hAnsi="仿宋_GB2312" w:eastAsia="仿宋_GB2312" w:cs="仿宋_GB2312"/>
          <w:b/>
          <w:bCs/>
          <w:color w:val="auto"/>
          <w:kern w:val="44"/>
          <w:sz w:val="32"/>
          <w:szCs w:val="32"/>
          <w:highlight w:val="none"/>
          <w:lang w:val="zh-CN" w:eastAsia="zh-CN" w:bidi="ar-SA"/>
        </w:rPr>
        <w:t xml:space="preserve">第七章 </w:t>
      </w:r>
      <w:r>
        <w:rPr>
          <w:rFonts w:hint="eastAsia" w:ascii="仿宋_GB2312" w:hAnsi="仿宋_GB2312" w:eastAsia="仿宋_GB2312" w:cs="仿宋_GB2312"/>
          <w:b/>
          <w:bCs/>
          <w:color w:val="auto"/>
          <w:kern w:val="44"/>
          <w:sz w:val="32"/>
          <w:szCs w:val="32"/>
          <w:highlight w:val="none"/>
          <w:lang w:val="en-US" w:eastAsia="zh-CN" w:bidi="ar-SA"/>
        </w:rPr>
        <w:t>主要</w:t>
      </w:r>
      <w:r>
        <w:rPr>
          <w:rFonts w:hint="eastAsia" w:ascii="仿宋_GB2312" w:hAnsi="仿宋_GB2312" w:eastAsia="仿宋_GB2312" w:cs="仿宋_GB2312"/>
          <w:b/>
          <w:bCs/>
          <w:color w:val="auto"/>
          <w:kern w:val="44"/>
          <w:sz w:val="32"/>
          <w:szCs w:val="32"/>
          <w:highlight w:val="none"/>
          <w:lang w:val="zh-CN" w:eastAsia="zh-CN" w:bidi="ar-SA"/>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1895C74B">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合同编号：</w:t>
      </w:r>
    </w:p>
    <w:p w14:paraId="5A30A7CD">
      <w:pPr>
        <w:spacing w:line="460" w:lineRule="exact"/>
        <w:ind w:firstLine="480" w:firstLineChars="200"/>
        <w:rPr>
          <w:rFonts w:ascii="仿宋_GB2312" w:hAnsi="仿宋_GB2312" w:eastAsia="仿宋_GB2312" w:cs="仿宋_GB2312"/>
          <w:color w:val="auto"/>
          <w:sz w:val="24"/>
          <w:highlight w:val="none"/>
        </w:rPr>
      </w:pPr>
    </w:p>
    <w:p w14:paraId="54482E45">
      <w:pPr>
        <w:spacing w:before="156" w:beforeLines="50" w:line="360" w:lineRule="exact"/>
        <w:ind w:left="3036" w:leftChars="230" w:hanging="2553" w:hangingChars="1211"/>
        <w:rPr>
          <w:rFonts w:ascii="Times" w:hAnsi="Times" w:eastAsia="楷体"/>
          <w:color w:val="auto"/>
          <w:highlight w:val="none"/>
        </w:rPr>
      </w:pPr>
      <w:bookmarkStart w:id="426" w:name="_Toc5104"/>
      <w:bookmarkStart w:id="427" w:name="_Toc23657"/>
      <w:bookmarkStart w:id="428" w:name="_Toc29145"/>
      <w:r>
        <w:rPr>
          <w:rFonts w:ascii="Times" w:hAnsi="Times" w:eastAsia="楷体"/>
          <w:b/>
          <w:color w:val="auto"/>
          <w:highlight w:val="none"/>
        </w:rPr>
        <w:t>委托人</w:t>
      </w:r>
      <w:r>
        <w:rPr>
          <w:rFonts w:ascii="Times" w:hAnsi="Times" w:eastAsia="楷体"/>
          <w:color w:val="auto"/>
          <w:highlight w:val="none"/>
        </w:rPr>
        <w:t>（以下简称</w:t>
      </w:r>
      <w:r>
        <w:rPr>
          <w:rFonts w:ascii="楷体" w:hAnsi="楷体" w:eastAsia="楷体"/>
          <w:color w:val="auto"/>
          <w:highlight w:val="none"/>
        </w:rPr>
        <w:t>甲方）：</w:t>
      </w:r>
      <w:r>
        <w:rPr>
          <w:rFonts w:hint="eastAsia" w:ascii="楷体" w:hAnsi="楷体" w:eastAsia="楷体"/>
          <w:color w:val="auto"/>
          <w:highlight w:val="none"/>
          <w:lang w:val="en-US" w:eastAsia="zh-CN"/>
        </w:rPr>
        <w:t>xx</w:t>
      </w:r>
      <w:r>
        <w:rPr>
          <w:rFonts w:hint="eastAsia" w:ascii="楷体" w:hAnsi="楷体" w:eastAsia="楷体" w:cs="楷体"/>
          <w:color w:val="auto"/>
          <w:highlight w:val="none"/>
          <w:lang w:val="en-US" w:eastAsia="zh-CN"/>
        </w:rPr>
        <w:t>有限公司</w:t>
      </w:r>
    </w:p>
    <w:p w14:paraId="2765127F">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法定地址：</w:t>
      </w:r>
    </w:p>
    <w:p w14:paraId="2B8C4D65">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联系电话：</w:t>
      </w:r>
    </w:p>
    <w:p w14:paraId="53BDFF33">
      <w:pPr>
        <w:spacing w:before="156" w:beforeLines="50" w:line="360" w:lineRule="exact"/>
        <w:ind w:firstLine="420" w:firstLineChars="200"/>
        <w:rPr>
          <w:rFonts w:ascii="Times" w:hAnsi="Times" w:eastAsia="楷体"/>
          <w:color w:val="auto"/>
          <w:highlight w:val="none"/>
        </w:rPr>
      </w:pPr>
    </w:p>
    <w:p w14:paraId="3AF42A0F">
      <w:pPr>
        <w:spacing w:before="156" w:beforeLines="50" w:line="360" w:lineRule="exact"/>
        <w:ind w:left="3036" w:leftChars="230" w:hanging="2553" w:hangingChars="1211"/>
        <w:rPr>
          <w:rFonts w:ascii="Times" w:hAnsi="Times" w:eastAsia="楷体"/>
          <w:color w:val="auto"/>
          <w:highlight w:val="none"/>
        </w:rPr>
      </w:pPr>
      <w:r>
        <w:rPr>
          <w:rFonts w:ascii="Times" w:hAnsi="Times" w:eastAsia="楷体"/>
          <w:b/>
          <w:color w:val="auto"/>
          <w:highlight w:val="none"/>
        </w:rPr>
        <w:t>受托人</w:t>
      </w:r>
      <w:r>
        <w:rPr>
          <w:rFonts w:ascii="Times" w:hAnsi="Times" w:eastAsia="楷体"/>
          <w:color w:val="auto"/>
          <w:highlight w:val="none"/>
        </w:rPr>
        <w:t>（以下简称乙方）：</w:t>
      </w:r>
      <w:r>
        <w:rPr>
          <w:rFonts w:hint="eastAsia" w:ascii="Times" w:hAnsi="Times" w:eastAsia="楷体"/>
          <w:color w:val="auto"/>
          <w:highlight w:val="none"/>
          <w:lang w:val="en-US" w:eastAsia="zh-CN"/>
        </w:rPr>
        <w:t>xx</w:t>
      </w:r>
      <w:r>
        <w:rPr>
          <w:rFonts w:ascii="Times" w:hAnsi="Times" w:eastAsia="楷体"/>
          <w:color w:val="auto"/>
          <w:highlight w:val="none"/>
        </w:rPr>
        <w:t>律师事务所</w:t>
      </w:r>
    </w:p>
    <w:p w14:paraId="23E63876">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法定地址：</w:t>
      </w:r>
    </w:p>
    <w:p w14:paraId="1E11A9F6">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联系电话：</w:t>
      </w:r>
    </w:p>
    <w:p w14:paraId="141A322E">
      <w:pPr>
        <w:spacing w:before="156" w:beforeLines="50" w:line="360" w:lineRule="exact"/>
        <w:rPr>
          <w:rFonts w:ascii="Times" w:hAnsi="Times" w:eastAsia="楷体"/>
          <w:color w:val="auto"/>
          <w:highlight w:val="none"/>
        </w:rPr>
      </w:pPr>
    </w:p>
    <w:p w14:paraId="4C03BC58">
      <w:pPr>
        <w:spacing w:before="156" w:beforeLines="50" w:line="360" w:lineRule="exact"/>
        <w:ind w:firstLine="422" w:firstLineChars="200"/>
        <w:rPr>
          <w:rFonts w:ascii="Times" w:hAnsi="Times" w:eastAsia="楷体"/>
          <w:b/>
          <w:bCs/>
          <w:color w:val="auto"/>
          <w:highlight w:val="none"/>
          <w:u w:color="FFFFFF"/>
        </w:rPr>
      </w:pPr>
      <w:r>
        <w:rPr>
          <w:rFonts w:ascii="Times" w:hAnsi="Times" w:eastAsia="楷体"/>
          <w:b/>
          <w:bCs/>
          <w:color w:val="auto"/>
          <w:highlight w:val="none"/>
          <w:u w:color="FFFFFF"/>
        </w:rPr>
        <w:t>鉴于：</w:t>
      </w:r>
    </w:p>
    <w:p w14:paraId="465D4732">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甲方是</w:t>
      </w:r>
      <w:r>
        <w:rPr>
          <w:rFonts w:eastAsia="楷体"/>
          <w:color w:val="auto"/>
          <w:highlight w:val="none"/>
          <w:u w:color="FFFFFF"/>
        </w:rPr>
        <w:t>一家在中华人民共和国境内经合法注册、有效运营的公司</w:t>
      </w:r>
      <w:r>
        <w:rPr>
          <w:rFonts w:ascii="Times" w:hAnsi="Times" w:eastAsia="楷体"/>
          <w:color w:val="auto"/>
          <w:highlight w:val="none"/>
          <w:u w:color="FFFFFF"/>
        </w:rPr>
        <w:t>；</w:t>
      </w:r>
    </w:p>
    <w:p w14:paraId="03813118">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乙方是一家在中华人民共和国境内经合法注册登记成立的提供律师法律服务的大型的特殊普通合伙制律师事务所；</w:t>
      </w:r>
    </w:p>
    <w:p w14:paraId="0E4516BA">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s="Times New Roman"/>
          <w:color w:val="auto"/>
          <w:highlight w:val="none"/>
          <w:u w:color="FFFFFF"/>
        </w:rPr>
        <w:t>甲方因与</w:t>
      </w:r>
      <w:r>
        <w:rPr>
          <w:rFonts w:hint="eastAsia" w:ascii="Times" w:hAnsi="Times" w:eastAsia="楷体" w:cs="Times New Roman"/>
          <w:color w:val="auto"/>
          <w:highlight w:val="none"/>
          <w:u w:val="single" w:color="auto"/>
          <w:lang w:val="en-US" w:eastAsia="zh-CN"/>
        </w:rPr>
        <w:t xml:space="preserve">  xxx 有限公司</w:t>
      </w:r>
      <w:r>
        <w:rPr>
          <w:rFonts w:hint="eastAsia" w:ascii="Times" w:hAnsi="Times" w:eastAsia="楷体" w:cs="Times New Roman"/>
          <w:color w:val="auto"/>
          <w:highlight w:val="none"/>
          <w:u w:val="none" w:color="auto"/>
          <w:lang w:val="en-US" w:eastAsia="zh-CN"/>
        </w:rPr>
        <w:t>买卖</w:t>
      </w:r>
      <w:r>
        <w:rPr>
          <w:rFonts w:hint="eastAsia" w:ascii="Times" w:hAnsi="Times" w:eastAsia="楷体" w:cs="Times New Roman"/>
          <w:color w:val="auto"/>
          <w:highlight w:val="none"/>
          <w:u w:color="FFFFFF"/>
        </w:rPr>
        <w:t>合同</w:t>
      </w:r>
      <w:r>
        <w:rPr>
          <w:rFonts w:ascii="Times" w:hAnsi="Times" w:eastAsia="楷体" w:cs="Times New Roman"/>
          <w:color w:val="auto"/>
          <w:highlight w:val="none"/>
          <w:u w:color="FFFFFF"/>
        </w:rPr>
        <w:t>纠纷一案拟在中华人民共和国境内聘请一家具有合法执业资格的律师事务所为甲方提供法律服</w:t>
      </w:r>
      <w:r>
        <w:rPr>
          <w:rFonts w:ascii="Times" w:hAnsi="Times" w:eastAsia="楷体"/>
          <w:color w:val="auto"/>
          <w:highlight w:val="none"/>
          <w:u w:color="FFFFFF"/>
        </w:rPr>
        <w:t>务。</w:t>
      </w:r>
    </w:p>
    <w:p w14:paraId="0B85891B">
      <w:pPr>
        <w:spacing w:before="156" w:beforeLines="50" w:line="360" w:lineRule="exact"/>
        <w:ind w:firstLine="420" w:firstLineChars="200"/>
        <w:jc w:val="both"/>
        <w:rPr>
          <w:rFonts w:ascii="Times" w:hAnsi="Times" w:eastAsia="楷体"/>
          <w:color w:val="auto"/>
          <w:highlight w:val="none"/>
        </w:rPr>
      </w:pPr>
      <w:r>
        <w:rPr>
          <w:rFonts w:ascii="Times" w:hAnsi="Times" w:eastAsia="楷体"/>
          <w:color w:val="auto"/>
          <w:highlight w:val="none"/>
        </w:rPr>
        <w:t>双方本着平等协商的原则，就合同有关条款达成一致，共同遵照执行。</w:t>
      </w:r>
    </w:p>
    <w:p w14:paraId="1CE998BE">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委托代理事项</w:t>
      </w:r>
    </w:p>
    <w:p w14:paraId="489572E3">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乙方接受甲方委托，并应甲方要求，乙方安排本所</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 xml:space="preserve">律师担任本合同项下 </w:t>
      </w:r>
      <w:r>
        <w:rPr>
          <w:rFonts w:hint="eastAsia" w:ascii="Times" w:hAnsi="Times" w:eastAsia="楷体"/>
          <w:color w:val="auto"/>
          <w:highlight w:val="none"/>
        </w:rPr>
        <w:t>甲方与</w:t>
      </w:r>
      <w:r>
        <w:rPr>
          <w:rFonts w:hint="eastAsia" w:ascii="Times" w:hAnsi="Times" w:eastAsia="楷体" w:cs="Times New Roman"/>
          <w:color w:val="auto"/>
          <w:highlight w:val="none"/>
          <w:u w:val="single" w:color="auto"/>
          <w:lang w:val="en-US" w:eastAsia="zh-CN"/>
        </w:rPr>
        <w:t>xxx有限公司</w:t>
      </w:r>
      <w:r>
        <w:rPr>
          <w:rFonts w:hint="eastAsia" w:ascii="Times" w:hAnsi="Times" w:eastAsia="楷体" w:cs="Times New Roman"/>
          <w:color w:val="auto"/>
          <w:highlight w:val="none"/>
          <w:u w:val="none" w:color="auto"/>
          <w:lang w:val="en-US" w:eastAsia="zh-CN"/>
        </w:rPr>
        <w:t>买卖合同</w:t>
      </w:r>
      <w:r>
        <w:rPr>
          <w:rFonts w:ascii="Times" w:hAnsi="Times" w:eastAsia="楷体"/>
          <w:color w:val="auto"/>
          <w:highlight w:val="none"/>
        </w:rPr>
        <w:t>纠纷案甲方的委托代理人。</w:t>
      </w:r>
    </w:p>
    <w:p w14:paraId="28653B58">
      <w:pPr>
        <w:spacing w:before="156" w:beforeLines="50" w:line="360" w:lineRule="exact"/>
        <w:ind w:firstLine="420" w:firstLineChars="200"/>
        <w:rPr>
          <w:rFonts w:hint="eastAsia" w:ascii="楷体" w:hAnsi="楷体" w:eastAsia="楷体" w:cs="楷体"/>
          <w:color w:val="auto"/>
          <w:highlight w:val="none"/>
          <w:u w:val="single"/>
        </w:rPr>
      </w:pPr>
      <w:r>
        <w:rPr>
          <w:rFonts w:hint="eastAsia" w:ascii="楷体" w:hAnsi="楷体" w:eastAsia="楷体" w:cs="楷体"/>
          <w:color w:val="auto"/>
          <w:highlight w:val="none"/>
        </w:rPr>
        <w:t>代理事</w:t>
      </w:r>
      <w:r>
        <w:rPr>
          <w:rFonts w:hint="eastAsia" w:ascii="楷体" w:hAnsi="楷体" w:eastAsia="楷体" w:cs="楷体"/>
          <w:color w:val="auto"/>
          <w:sz w:val="24"/>
          <w:szCs w:val="24"/>
          <w:highlight w:val="none"/>
        </w:rPr>
        <w:t xml:space="preserve">项为： 一审； 二审； 申诉； 再审； 执行； 仲裁；行政复议； 国家赔偿。 </w:t>
      </w:r>
    </w:p>
    <w:p w14:paraId="4EA26061">
      <w:pPr>
        <w:numPr>
          <w:ilvl w:val="0"/>
          <w:numId w:val="4"/>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委托代理权限</w:t>
      </w:r>
    </w:p>
    <w:p w14:paraId="46585908">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甲方授予乙方律师的代理权限为</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代理（具体权限详见《授权委托书》）。在代理期间内如需变更代理权限，双方需另行协商。</w:t>
      </w:r>
    </w:p>
    <w:p w14:paraId="465C620C">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甲方的权利义务</w:t>
      </w:r>
    </w:p>
    <w:p w14:paraId="612A2D8A">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甲方有权要求乙方承办律师及时通报服务或案情进展情况，对乙方提供的法律服务有权提出意见或建议。</w:t>
      </w:r>
    </w:p>
    <w:p w14:paraId="2A21F667">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甲方有权拒绝乙方及承办律师提出的本委托合同约定之外的报酬、报销、补贴、津贴或者馈赠要求。</w:t>
      </w:r>
    </w:p>
    <w:p w14:paraId="73F69D24">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甲方应当真实、详尽和及时地向乙方叙述案情，提供与委托代理事项有关的证据、文件及其他事实材料；并积极、主动地配合乙方律师的工作，甲方对乙方律师提出的要求应当明确合理。</w:t>
      </w:r>
    </w:p>
    <w:p w14:paraId="56F7521B">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甲方应当按时、足额向乙方支付律师代理费和工作费用。</w:t>
      </w:r>
    </w:p>
    <w:p w14:paraId="6915C287">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甲方指定</w:t>
      </w:r>
      <w:r>
        <w:rPr>
          <w:rFonts w:ascii="Times" w:hAnsi="Times" w:eastAsia="Kaiti SC"/>
          <w:color w:val="auto"/>
          <w:highlight w:val="none"/>
          <w:u w:val="single"/>
        </w:rPr>
        <w:t xml:space="preserve">    </w:t>
      </w:r>
      <w:r>
        <w:rPr>
          <w:rFonts w:ascii="Times" w:hAnsi="Times" w:eastAsia="楷体"/>
          <w:color w:val="auto"/>
          <w:highlight w:val="none"/>
        </w:rPr>
        <w:t>为本案联系人（联系电话：</w:t>
      </w:r>
      <w:r>
        <w:rPr>
          <w:rFonts w:ascii="Times" w:hAnsi="Times" w:eastAsia="Kaiti SC"/>
          <w:color w:val="auto"/>
          <w:highlight w:val="none"/>
          <w:u w:val="single"/>
        </w:rPr>
        <w:t xml:space="preserve">    </w:t>
      </w:r>
      <w:r>
        <w:rPr>
          <w:rFonts w:ascii="Times" w:hAnsi="Times" w:eastAsia="楷体"/>
          <w:color w:val="auto"/>
          <w:highlight w:val="none"/>
        </w:rPr>
        <w:t>），负责转达甲方的指示和要求，提供文件和资料等，甲方更换联系人（或更换联系电话）应当及时通知乙方。</w:t>
      </w:r>
    </w:p>
    <w:p w14:paraId="02D4A464">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甲方有责任对委托代理事项做出独立的判断、决策，甲方根据乙方律师提供的法律意见、建议、方案所做出的决定而导致的损失，非因乙方律师错误运用法律等失职行为造成的，由甲方自行承担责任。</w:t>
      </w:r>
    </w:p>
    <w:p w14:paraId="32B340A8">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乙方的权利义务</w:t>
      </w:r>
    </w:p>
    <w:p w14:paraId="21C44CF2">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乙方指派人员应当以事实为依据，以法律为准绳，认真负责地维护甲方的合法权益，并按甲方要求及时通报案件进展情况，遇到重大决定，必须经过甲方的书面确认。</w:t>
      </w:r>
    </w:p>
    <w:p w14:paraId="02C89737">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乙方律师应当以其依据法律做出的判断，向甲方进行法律风险提示，尽最大努力维护甲方利益。</w:t>
      </w:r>
    </w:p>
    <w:p w14:paraId="645DCE67">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乙方律师对其获知的甲方的商业机密或者甲方的个人隐私负有保密责任，非由法律规定或甲方同意，不得向任何第三方披露。</w:t>
      </w:r>
    </w:p>
    <w:p w14:paraId="7DC432D0">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乙方如发现甲方有捏造事实、隐瞒事实真相或提供虚假证据等行为的，乙方有权解除本合同终止委托关系，已收取的律师服务费不予退还。</w:t>
      </w:r>
    </w:p>
    <w:p w14:paraId="6ADE4DE5">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乙方律师不得违反《律师执业规范》，在涉及甲方的对抗性案件中，未经甲方同意，不得同时担任与甲方具有法律上利益冲突的另一方的委托代理人。</w:t>
      </w:r>
    </w:p>
    <w:p w14:paraId="6D5F3F9A">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szCs w:val="28"/>
          <w:highlight w:val="none"/>
          <w:u w:color="FFFFFF"/>
        </w:rPr>
        <w:t>如乙方在代理过程中因重大过失或者故意给甲方造成损失的，乙方应当按照《合伙企业法》第57条、《律师法》第15条、《律师事务所管理办法》第53条规定承担赔偿责任。</w:t>
      </w:r>
    </w:p>
    <w:p w14:paraId="7A17E90F">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文件传递</w:t>
      </w:r>
    </w:p>
    <w:p w14:paraId="0254D6DE">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0BC3C437">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双方文件往来应当严格执行签收制度，因文件缺失导致的不利后果将根据签收记录确定双方责任。</w:t>
      </w:r>
    </w:p>
    <w:p w14:paraId="704B22FC">
      <w:pPr>
        <w:numPr>
          <w:ilvl w:val="0"/>
          <w:numId w:val="4"/>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r>
        <w:rPr>
          <w:rFonts w:ascii="Times" w:hAnsi="Times" w:eastAsia="楷体"/>
          <w:color w:val="auto"/>
          <w:highlight w:val="none"/>
        </w:rPr>
        <w:t>及其他费用</w:t>
      </w:r>
    </w:p>
    <w:p w14:paraId="0D8A0671">
      <w:pPr>
        <w:spacing w:before="156" w:beforeLines="50" w:line="360" w:lineRule="exact"/>
        <w:ind w:firstLine="420" w:firstLineChars="200"/>
        <w:rPr>
          <w:rFonts w:ascii="Times" w:hAnsi="Times" w:eastAsia="楷体"/>
          <w:color w:val="auto"/>
          <w:szCs w:val="21"/>
          <w:highlight w:val="none"/>
        </w:rPr>
      </w:pPr>
      <w:r>
        <w:rPr>
          <w:rFonts w:ascii="Times" w:hAnsi="Times" w:eastAsia="楷体"/>
          <w:color w:val="auto"/>
          <w:szCs w:val="21"/>
          <w:highlight w:val="none"/>
        </w:rPr>
        <w:t>双方经充分协商，一致同意按如下方式计付代理费：</w:t>
      </w:r>
    </w:p>
    <w:p w14:paraId="1D9E5203">
      <w:pPr>
        <w:numPr>
          <w:ilvl w:val="0"/>
          <w:numId w:val="8"/>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p>
    <w:p w14:paraId="2D2520FB">
      <w:pPr>
        <w:numPr>
          <w:ilvl w:val="0"/>
          <w:numId w:val="0"/>
        </w:numPr>
        <w:spacing w:before="156" w:beforeLines="50" w:line="360" w:lineRule="exact"/>
        <w:ind w:firstLine="480"/>
        <w:rPr>
          <w:rFonts w:hint="eastAsia" w:ascii="Times" w:hAnsi="Times" w:eastAsia="楷体"/>
          <w:color w:val="auto"/>
          <w:highlight w:val="none"/>
          <w:lang w:val="en-US" w:eastAsia="zh-CN"/>
        </w:rPr>
      </w:pPr>
      <w:r>
        <w:rPr>
          <w:rFonts w:hint="eastAsia" w:ascii="Times" w:hAnsi="Times" w:eastAsia="楷体"/>
          <w:color w:val="auto"/>
          <w:highlight w:val="none"/>
          <w:lang w:val="en-US" w:eastAsia="zh-CN"/>
        </w:rPr>
        <w:t>基础费用：</w:t>
      </w:r>
    </w:p>
    <w:p w14:paraId="6E229E3C">
      <w:pPr>
        <w:numPr>
          <w:ilvl w:val="0"/>
          <w:numId w:val="0"/>
        </w:numPr>
        <w:spacing w:before="156" w:beforeLines="50" w:line="360" w:lineRule="exact"/>
        <w:ind w:firstLine="480"/>
        <w:rPr>
          <w:rFonts w:hint="default" w:ascii="Times" w:hAnsi="Times" w:eastAsia="楷体"/>
          <w:color w:val="auto"/>
          <w:highlight w:val="none"/>
          <w:lang w:val="en-US" w:eastAsia="zh-CN"/>
        </w:rPr>
      </w:pPr>
      <w:r>
        <w:rPr>
          <w:rFonts w:hint="eastAsia" w:ascii="Times" w:hAnsi="Times" w:eastAsia="楷体"/>
          <w:color w:val="auto"/>
          <w:highlight w:val="none"/>
          <w:lang w:val="en-US" w:eastAsia="zh-CN"/>
        </w:rPr>
        <w:t>风险费用：</w:t>
      </w:r>
    </w:p>
    <w:p w14:paraId="33317936">
      <w:pPr>
        <w:spacing w:before="156" w:beforeLines="50" w:line="360" w:lineRule="exact"/>
        <w:jc w:val="both"/>
        <w:rPr>
          <w:rFonts w:hint="default" w:ascii="楷体" w:hAnsi="楷体" w:eastAsia="楷体" w:cs="楷体"/>
          <w:color w:val="auto"/>
          <w:highlight w:val="none"/>
          <w:u w:val="single"/>
          <w:lang w:val="en-US"/>
        </w:rPr>
      </w:pPr>
      <w:r>
        <w:rPr>
          <w:rFonts w:hint="eastAsia" w:ascii="楷体" w:hAnsi="楷体" w:eastAsia="楷体" w:cs="楷体"/>
          <w:color w:val="auto"/>
          <w:highlight w:val="none"/>
        </w:rPr>
        <w:t xml:space="preserve"> </w:t>
      </w:r>
      <w:r>
        <w:rPr>
          <w:rFonts w:hint="eastAsia" w:ascii="楷体" w:hAnsi="楷体" w:eastAsia="楷体" w:cs="楷体"/>
          <w:color w:val="auto"/>
          <w:highlight w:val="none"/>
        </w:rPr>
        <w:t xml:space="preserve">   </w:t>
      </w:r>
      <w:r>
        <w:rPr>
          <w:rFonts w:hint="eastAsia" w:ascii="楷体" w:hAnsi="楷体" w:eastAsia="楷体" w:cs="楷体"/>
          <w:color w:val="auto"/>
          <w:highlight w:val="none"/>
          <w:lang w:val="en-US" w:eastAsia="zh-CN"/>
        </w:rPr>
        <w:t>以上为含税费用，包括但不限于诉讼阶段仲裁/诉讼一审、二审（若有）、再审（若有）代理费用和执行阶段（若有）代理费用，差旅费（如有），不包含案件办理过程中涉及的诉讼费、保全费、鉴定费、公告费等第三方收取的相关费用；基础代理费由签订合同且甲方收到乙方发票后1</w:t>
      </w:r>
      <w:r>
        <w:rPr>
          <w:rFonts w:hint="eastAsia" w:ascii="楷体" w:hAnsi="楷体" w:eastAsia="楷体" w:cs="楷体"/>
          <w:color w:val="auto"/>
          <w:highlight w:val="none"/>
          <w:u w:val="single"/>
          <w:lang w:val="en-US" w:eastAsia="zh-CN"/>
        </w:rPr>
        <w:t>5个工作日</w:t>
      </w:r>
      <w:r>
        <w:rPr>
          <w:rFonts w:hint="eastAsia" w:ascii="楷体" w:hAnsi="楷体" w:eastAsia="楷体" w:cs="楷体"/>
          <w:color w:val="auto"/>
          <w:highlight w:val="none"/>
          <w:u w:val="none"/>
          <w:lang w:val="en-US" w:eastAsia="zh-CN"/>
        </w:rPr>
        <w:t>支付</w:t>
      </w:r>
      <w:r>
        <w:rPr>
          <w:rFonts w:hint="eastAsia" w:ascii="楷体" w:hAnsi="楷体" w:eastAsia="楷体" w:cs="楷体"/>
          <w:color w:val="auto"/>
          <w:highlight w:val="none"/>
          <w:u w:val="single"/>
          <w:lang w:val="en-US" w:eastAsia="zh-CN"/>
        </w:rPr>
        <w:t xml:space="preserve">   </w:t>
      </w:r>
      <w:r>
        <w:rPr>
          <w:rFonts w:hint="eastAsia" w:ascii="楷体" w:hAnsi="楷体" w:eastAsia="楷体" w:cs="楷体"/>
          <w:color w:val="auto"/>
          <w:highlight w:val="none"/>
          <w:u w:val="none"/>
          <w:lang w:val="en-US" w:eastAsia="zh-CN"/>
        </w:rPr>
        <w:t>%，于判决生效且甲方收到乙方发票后1</w:t>
      </w:r>
      <w:r>
        <w:rPr>
          <w:rFonts w:hint="eastAsia" w:ascii="楷体" w:hAnsi="楷体" w:eastAsia="楷体" w:cs="楷体"/>
          <w:color w:val="auto"/>
          <w:highlight w:val="none"/>
          <w:u w:val="single"/>
          <w:lang w:val="en-US" w:eastAsia="zh-CN"/>
        </w:rPr>
        <w:t>5个工作日</w:t>
      </w:r>
      <w:r>
        <w:rPr>
          <w:rFonts w:hint="eastAsia" w:ascii="楷体" w:hAnsi="楷体" w:eastAsia="楷体" w:cs="楷体"/>
          <w:color w:val="auto"/>
          <w:highlight w:val="none"/>
          <w:u w:val="none"/>
          <w:lang w:val="en-US" w:eastAsia="zh-CN"/>
        </w:rPr>
        <w:t>支付</w:t>
      </w:r>
      <w:r>
        <w:rPr>
          <w:rFonts w:hint="eastAsia" w:ascii="楷体" w:hAnsi="楷体" w:eastAsia="楷体" w:cs="楷体"/>
          <w:color w:val="auto"/>
          <w:highlight w:val="none"/>
          <w:u w:val="single"/>
          <w:lang w:val="en-US" w:eastAsia="zh-CN"/>
        </w:rPr>
        <w:t xml:space="preserve">   </w:t>
      </w:r>
      <w:r>
        <w:rPr>
          <w:rFonts w:hint="eastAsia" w:ascii="楷体" w:hAnsi="楷体" w:eastAsia="楷体" w:cs="楷体"/>
          <w:color w:val="auto"/>
          <w:highlight w:val="none"/>
          <w:u w:val="none"/>
          <w:lang w:val="en-US" w:eastAsia="zh-CN"/>
        </w:rPr>
        <w:t>%。风险代理以甲方收到乙方发票后</w:t>
      </w:r>
      <w:r>
        <w:rPr>
          <w:rFonts w:hint="eastAsia" w:ascii="楷体" w:hAnsi="楷体" w:eastAsia="楷体" w:cs="楷体"/>
          <w:strike w:val="0"/>
          <w:dstrike w:val="0"/>
          <w:color w:val="auto"/>
          <w:highlight w:val="none"/>
          <w:u w:val="single"/>
          <w:lang w:val="en-US" w:eastAsia="zh-CN"/>
        </w:rPr>
        <w:t>15个工作日</w:t>
      </w:r>
      <w:r>
        <w:rPr>
          <w:rFonts w:hint="eastAsia" w:ascii="楷体" w:hAnsi="楷体" w:eastAsia="楷体" w:cs="楷体"/>
          <w:color w:val="auto"/>
          <w:highlight w:val="none"/>
          <w:u w:val="none"/>
          <w:lang w:val="en-US" w:eastAsia="zh-CN"/>
        </w:rPr>
        <w:t>，按照甲方收到案件利息、违约金（不含本金）部分等比例支付，甲方收到的案件回均认定为“先本后息”。</w:t>
      </w:r>
    </w:p>
    <w:p w14:paraId="725666FD">
      <w:pPr>
        <w:numPr>
          <w:ilvl w:val="1"/>
          <w:numId w:val="9"/>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其他费用：</w:t>
      </w:r>
    </w:p>
    <w:p w14:paraId="77B9FABB">
      <w:pPr>
        <w:spacing w:before="156" w:beforeLines="50" w:line="360" w:lineRule="exact"/>
        <w:ind w:firstLine="42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乙方为甲方提供法律服务过程中有关单位收取的鉴定费、公证费、评估费、翻译费、查档费或仲裁、诉讼、聘请专家论证等相关费用由甲方另行支付。</w:t>
      </w:r>
    </w:p>
    <w:p w14:paraId="34D4DDD5">
      <w:pPr>
        <w:spacing w:before="156" w:beforeLines="50" w:line="360" w:lineRule="exact"/>
        <w:ind w:firstLine="420" w:firstLineChars="200"/>
        <w:rPr>
          <w:rFonts w:ascii="Times" w:hAnsi="Times" w:eastAsia="楷体"/>
          <w:color w:val="auto"/>
          <w:highlight w:val="none"/>
          <w:u w:color="FFFFFF"/>
        </w:rPr>
      </w:pPr>
      <w:r>
        <w:rPr>
          <w:rFonts w:ascii="Times" w:hAnsi="Times" w:eastAsia="楷体"/>
          <w:color w:val="auto"/>
          <w:highlight w:val="none"/>
          <w:u w:color="FFFFFF"/>
        </w:rPr>
        <w:t>乙方收款账户：</w:t>
      </w:r>
    </w:p>
    <w:p w14:paraId="654EFEA2">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户    名：</w:t>
      </w:r>
      <w:r>
        <w:rPr>
          <w:rFonts w:ascii="Times" w:hAnsi="Times" w:eastAsia="楷体"/>
          <w:color w:val="auto"/>
          <w:highlight w:val="none"/>
          <w:u w:color="FFFFFF"/>
        </w:rPr>
        <w:br w:type="textWrapping"/>
      </w:r>
      <w:r>
        <w:rPr>
          <w:rFonts w:ascii="Times" w:hAnsi="Times" w:eastAsia="楷体"/>
          <w:color w:val="auto"/>
          <w:highlight w:val="none"/>
          <w:u w:color="FFFFFF"/>
        </w:rPr>
        <w:t>开户银行：</w:t>
      </w:r>
      <w:r>
        <w:rPr>
          <w:rFonts w:ascii="Times" w:hAnsi="Times" w:eastAsia="楷体"/>
          <w:color w:val="auto"/>
          <w:highlight w:val="none"/>
          <w:u w:color="FFFFFF"/>
        </w:rPr>
        <w:br w:type="textWrapping"/>
      </w:r>
      <w:r>
        <w:rPr>
          <w:rFonts w:ascii="Times" w:hAnsi="Times" w:eastAsia="楷体"/>
          <w:color w:val="auto"/>
          <w:highlight w:val="none"/>
          <w:u w:color="FFFFFF"/>
        </w:rPr>
        <w:t>账    号：</w:t>
      </w:r>
    </w:p>
    <w:p w14:paraId="228B66EB">
      <w:pPr>
        <w:spacing w:before="156" w:beforeLines="50" w:line="360" w:lineRule="exact"/>
        <w:ind w:firstLine="480"/>
        <w:rPr>
          <w:rFonts w:ascii="Times" w:hAnsi="Times" w:eastAsia="楷体"/>
          <w:color w:val="auto"/>
          <w:highlight w:val="none"/>
          <w:u w:color="FFFFFF"/>
        </w:rPr>
      </w:pPr>
      <w:r>
        <w:rPr>
          <w:rFonts w:ascii="Times" w:hAnsi="Times" w:eastAsia="楷体"/>
          <w:color w:val="auto"/>
          <w:highlight w:val="none"/>
          <w:u w:color="FFFFFF"/>
        </w:rPr>
        <w:t xml:space="preserve">乙方应按如下开票信息向甲方开具 </w:t>
      </w:r>
      <w:r>
        <w:rPr>
          <w:rFonts w:hint="eastAsia" w:eastAsia="仿宋"/>
          <w:color w:val="auto"/>
          <w:sz w:val="36"/>
          <w:szCs w:val="36"/>
          <w:highlight w:val="none"/>
          <w:lang w:eastAsia="zh-CN"/>
        </w:rPr>
        <w:t>☑</w:t>
      </w:r>
      <w:r>
        <w:rPr>
          <w:rFonts w:ascii="Times" w:hAnsi="Times" w:eastAsia="楷体"/>
          <w:color w:val="auto"/>
          <w:highlight w:val="none"/>
          <w:u w:color="FFFFFF"/>
        </w:rPr>
        <w:t xml:space="preserve">增值税专用发票 </w:t>
      </w:r>
      <w:r>
        <w:rPr>
          <w:rFonts w:eastAsia="仿宋"/>
          <w:color w:val="auto"/>
          <w:sz w:val="36"/>
          <w:szCs w:val="36"/>
          <w:highlight w:val="none"/>
        </w:rPr>
        <w:t>□</w:t>
      </w:r>
      <w:r>
        <w:rPr>
          <w:rFonts w:ascii="Times" w:hAnsi="Times" w:eastAsia="楷体"/>
          <w:color w:val="auto"/>
          <w:highlight w:val="none"/>
          <w:u w:color="FFFFFF"/>
        </w:rPr>
        <w:t>增值税普通发票：</w:t>
      </w:r>
    </w:p>
    <w:p w14:paraId="58F80595">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名        称：</w:t>
      </w:r>
      <w:r>
        <w:rPr>
          <w:rFonts w:ascii="Times" w:hAnsi="Times" w:eastAsia="楷体"/>
          <w:color w:val="auto"/>
          <w:highlight w:val="none"/>
          <w:u w:color="FFFFFF"/>
        </w:rPr>
        <w:br w:type="textWrapping"/>
      </w:r>
      <w:r>
        <w:rPr>
          <w:rFonts w:ascii="Times" w:hAnsi="Times" w:eastAsia="楷体"/>
          <w:color w:val="auto"/>
          <w:highlight w:val="none"/>
          <w:u w:color="FFFFFF"/>
        </w:rPr>
        <w:t>纳税人识别号：</w:t>
      </w:r>
      <w:r>
        <w:rPr>
          <w:rFonts w:ascii="Times" w:hAnsi="Times" w:eastAsia="楷体"/>
          <w:color w:val="auto"/>
          <w:highlight w:val="none"/>
          <w:u w:color="FFFFFF"/>
        </w:rPr>
        <w:br w:type="textWrapping"/>
      </w:r>
      <w:r>
        <w:rPr>
          <w:rFonts w:ascii="Times" w:hAnsi="Times" w:eastAsia="楷体"/>
          <w:color w:val="auto"/>
          <w:highlight w:val="none"/>
          <w:u w:color="FFFFFF"/>
        </w:rPr>
        <w:t>地 址、电 话：</w:t>
      </w:r>
      <w:r>
        <w:rPr>
          <w:rFonts w:ascii="Times" w:hAnsi="Times" w:eastAsia="楷体"/>
          <w:color w:val="auto"/>
          <w:highlight w:val="none"/>
          <w:u w:color="FFFFFF"/>
        </w:rPr>
        <w:br w:type="textWrapping"/>
      </w:r>
      <w:r>
        <w:rPr>
          <w:rFonts w:ascii="Times" w:hAnsi="Times" w:eastAsia="楷体"/>
          <w:color w:val="auto"/>
          <w:highlight w:val="none"/>
          <w:u w:color="FFFFFF"/>
        </w:rPr>
        <w:t>开户行及账号：</w:t>
      </w:r>
    </w:p>
    <w:p w14:paraId="3DFB1885">
      <w:pPr>
        <w:spacing w:before="156" w:beforeLines="50" w:line="360" w:lineRule="exact"/>
        <w:ind w:left="480"/>
        <w:rPr>
          <w:rFonts w:ascii="Times" w:hAnsi="Times" w:eastAsia="楷体"/>
          <w:color w:val="auto"/>
          <w:highlight w:val="none"/>
        </w:rPr>
      </w:pPr>
      <w:r>
        <w:rPr>
          <w:rFonts w:hint="eastAsia" w:ascii="Times" w:hAnsi="Times" w:eastAsia="楷体"/>
          <w:b/>
          <w:color w:val="auto"/>
          <w:highlight w:val="none"/>
        </w:rPr>
        <w:t>第七条</w:t>
      </w:r>
      <w:r>
        <w:rPr>
          <w:rFonts w:hint="eastAsia" w:ascii="Times" w:hAnsi="Times" w:eastAsia="楷体"/>
          <w:color w:val="auto"/>
          <w:highlight w:val="none"/>
        </w:rPr>
        <w:t xml:space="preserve"> </w:t>
      </w:r>
      <w:r>
        <w:rPr>
          <w:rFonts w:ascii="Times" w:hAnsi="Times" w:eastAsia="楷体"/>
          <w:color w:val="auto"/>
          <w:highlight w:val="none"/>
        </w:rPr>
        <w:t>违约责任</w:t>
      </w:r>
    </w:p>
    <w:p w14:paraId="64E875AA">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本合同履行中，因乙方律师过错而解除本合同终止委托关系的，乙方应当退还预收的全部律师服务费。由此造成甲方经济损失的，乙方应当给予甲方赔偿。</w:t>
      </w:r>
    </w:p>
    <w:p w14:paraId="44F6E24F">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4E54CB96">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26131FFF">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除非本合同约定或乙方另有书面同意，否则如因甲方未能按时足额付清上述费用，导致乙方律师不能或未能及时承办本合同委托事项所产生的不良后果由甲方承担责任。</w:t>
      </w:r>
    </w:p>
    <w:p w14:paraId="6B40D5A6">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双方协商解除本合同或者为避免客户利益冲突等而根据行业管理规定需解除本合同的，乙方应按已办理该项法律事务的工作时间、复杂程度、律师人数等实际情况，酌情退费。</w:t>
      </w:r>
    </w:p>
    <w:p w14:paraId="420FE361">
      <w:pPr>
        <w:spacing w:before="156" w:beforeLines="50" w:line="360" w:lineRule="auto"/>
        <w:rPr>
          <w:rFonts w:ascii="楷体" w:hAnsi="楷体" w:eastAsia="楷体"/>
          <w:color w:val="auto"/>
          <w:highlight w:val="none"/>
        </w:rPr>
      </w:pPr>
      <w:r>
        <w:rPr>
          <w:rFonts w:hint="eastAsia" w:ascii="楷体" w:hAnsi="楷体" w:eastAsia="楷体"/>
          <w:color w:val="auto"/>
          <w:highlight w:val="none"/>
        </w:rPr>
        <w:t xml:space="preserve">    </w:t>
      </w:r>
      <w:r>
        <w:rPr>
          <w:rFonts w:hint="eastAsia" w:ascii="楷体" w:hAnsi="楷体" w:eastAsia="楷体"/>
          <w:b/>
          <w:color w:val="auto"/>
          <w:highlight w:val="none"/>
        </w:rPr>
        <w:t>第八条</w:t>
      </w:r>
      <w:r>
        <w:rPr>
          <w:rFonts w:hint="eastAsia" w:ascii="楷体" w:hAnsi="楷体" w:eastAsia="楷体"/>
          <w:color w:val="auto"/>
          <w:highlight w:val="none"/>
        </w:rPr>
        <w:t xml:space="preserve"> 【间接利冲豁免条款】</w:t>
      </w:r>
    </w:p>
    <w:p w14:paraId="7692DD99">
      <w:pPr>
        <w:spacing w:before="156" w:beforeLines="50" w:line="360" w:lineRule="auto"/>
        <w:ind w:firstLine="420" w:firstLineChars="200"/>
        <w:rPr>
          <w:rFonts w:eastAsia="楷体"/>
          <w:color w:val="auto"/>
          <w:highlight w:val="none"/>
        </w:rPr>
      </w:pPr>
      <w:r>
        <w:rPr>
          <w:rFonts w:hint="eastAsia" w:ascii="楷体" w:hAnsi="楷体" w:eastAsia="楷体"/>
          <w:color w:val="auto"/>
          <w:highlight w:val="none"/>
        </w:rPr>
        <w:t>甲方知晓并充分理解</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律师事务所为已在多地设立分所的跨区域法律服务机构。为避免本合同项下委托事项给乙方及其它各地分所律师造成工作不便，甲方在此确认，除乙方外，</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7B4C33DC">
      <w:pPr>
        <w:spacing w:before="156" w:beforeLines="50" w:line="360" w:lineRule="auto"/>
        <w:ind w:left="480"/>
        <w:rPr>
          <w:rFonts w:ascii="楷体" w:hAnsi="楷体" w:eastAsia="楷体"/>
          <w:color w:val="auto"/>
          <w:highlight w:val="none"/>
        </w:rPr>
      </w:pPr>
      <w:r>
        <w:rPr>
          <w:rFonts w:hint="eastAsia" w:ascii="楷体" w:hAnsi="楷体" w:eastAsia="楷体"/>
          <w:b/>
          <w:color w:val="auto"/>
          <w:highlight w:val="none"/>
        </w:rPr>
        <w:t>第九条</w:t>
      </w:r>
      <w:r>
        <w:rPr>
          <w:rFonts w:hint="eastAsia" w:ascii="楷体" w:hAnsi="楷体" w:eastAsia="楷体"/>
          <w:color w:val="auto"/>
          <w:highlight w:val="none"/>
        </w:rPr>
        <w:t xml:space="preserve"> 【风险告知条款】</w:t>
      </w:r>
    </w:p>
    <w:p w14:paraId="356E73BC">
      <w:pPr>
        <w:spacing w:before="156" w:beforeLines="50" w:line="360" w:lineRule="auto"/>
        <w:ind w:firstLine="420" w:firstLineChars="200"/>
        <w:rPr>
          <w:rFonts w:ascii="楷体" w:hAnsi="楷体" w:eastAsia="楷体"/>
          <w:color w:val="auto"/>
          <w:highlight w:val="none"/>
        </w:rPr>
      </w:pPr>
      <w:r>
        <w:rPr>
          <w:rFonts w:hint="eastAsia" w:ascii="楷体" w:hAnsi="楷体" w:eastAsia="楷体"/>
          <w:color w:val="auto"/>
          <w:highlight w:val="none"/>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w:t>
      </w:r>
      <w:r>
        <w:rPr>
          <w:rFonts w:hint="eastAsia" w:eastAsia="楷体"/>
          <w:color w:val="auto"/>
          <w:highlight w:val="none"/>
        </w:rPr>
        <w:t>/</w:t>
      </w:r>
      <w:r>
        <w:rPr>
          <w:rFonts w:hint="eastAsia" w:ascii="楷体" w:hAnsi="楷体" w:eastAsia="楷体"/>
          <w:color w:val="auto"/>
          <w:highlight w:val="none"/>
        </w:rPr>
        <w:t>仲裁时间长短不确定性的风险、执行不能的风险、不如实陈述事实和提供证据可能承担相应不利后果或败诉的风险。</w:t>
      </w:r>
    </w:p>
    <w:p w14:paraId="5A247C72">
      <w:pPr>
        <w:spacing w:before="156" w:beforeLines="50" w:line="360" w:lineRule="exact"/>
        <w:rPr>
          <w:rFonts w:ascii="Times" w:hAnsi="Times" w:eastAsia="楷体"/>
          <w:color w:val="auto"/>
          <w:highlight w:val="none"/>
        </w:rPr>
      </w:pPr>
      <w:r>
        <w:rPr>
          <w:rFonts w:hint="eastAsia" w:ascii="Times" w:hAnsi="Times" w:eastAsia="楷体"/>
          <w:b/>
          <w:color w:val="auto"/>
          <w:highlight w:val="none"/>
        </w:rPr>
        <w:t xml:space="preserve">    第十条 </w:t>
      </w:r>
      <w:r>
        <w:rPr>
          <w:rFonts w:ascii="Times" w:hAnsi="Times" w:eastAsia="楷体"/>
          <w:color w:val="auto"/>
          <w:highlight w:val="none"/>
        </w:rPr>
        <w:t>甲方承诺在乙方律师代理案件的任何一个阶段或乙方律师代理职责终止时，认真填制《律师服务质量征求意见表》并寄交乙方或递交给承办律师。</w:t>
      </w:r>
    </w:p>
    <w:p w14:paraId="44C713D4">
      <w:pPr>
        <w:spacing w:before="156" w:beforeLines="50" w:line="360" w:lineRule="exact"/>
        <w:rPr>
          <w:rFonts w:ascii="Times" w:hAnsi="Times" w:eastAsia="楷体"/>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第十一条</w:t>
      </w:r>
      <w:r>
        <w:rPr>
          <w:rFonts w:hint="eastAsia" w:ascii="Times" w:hAnsi="Times" w:eastAsia="楷体"/>
          <w:color w:val="auto"/>
          <w:highlight w:val="none"/>
        </w:rPr>
        <w:t xml:space="preserve"> </w:t>
      </w:r>
      <w:r>
        <w:rPr>
          <w:rFonts w:ascii="Times" w:hAnsi="Times" w:eastAsia="楷体"/>
          <w:color w:val="auto"/>
          <w:highlight w:val="none"/>
        </w:rPr>
        <w:t>本合同履行中如发生纠纷，双方应尽量协商解决。协商不成，任何一方都可以向成都仲裁委员会申请仲裁。</w:t>
      </w:r>
    </w:p>
    <w:p w14:paraId="245093DE">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第十二条</w:t>
      </w:r>
      <w:r>
        <w:rPr>
          <w:rFonts w:hint="eastAsia" w:ascii="Times" w:hAnsi="Times" w:eastAsia="楷体"/>
          <w:color w:val="auto"/>
          <w:highlight w:val="none"/>
        </w:rPr>
        <w:t xml:space="preserve"> </w:t>
      </w:r>
      <w:r>
        <w:rPr>
          <w:rFonts w:ascii="Times" w:hAnsi="Times" w:eastAsia="楷体"/>
          <w:color w:val="auto"/>
          <w:highlight w:val="none"/>
        </w:rPr>
        <w:t>乙方的代理职责自本合同签订之日起至乙方代理的法律事务完成之日止。</w:t>
      </w:r>
    </w:p>
    <w:p w14:paraId="42457C0C">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第十三条</w:t>
      </w:r>
      <w:r>
        <w:rPr>
          <w:rFonts w:hint="eastAsia" w:ascii="Times" w:hAnsi="Times" w:eastAsia="楷体"/>
          <w:color w:val="auto"/>
          <w:highlight w:val="none"/>
        </w:rPr>
        <w:t xml:space="preserve"> </w:t>
      </w:r>
      <w:r>
        <w:rPr>
          <w:rFonts w:ascii="Times" w:hAnsi="Times" w:eastAsia="楷体"/>
          <w:color w:val="auto"/>
          <w:highlight w:val="none"/>
        </w:rPr>
        <w:t>本合同履行中，如一方要求解除合同，需由双方另行协商，并签订书面协议。</w:t>
      </w:r>
    </w:p>
    <w:p w14:paraId="7EB4AE60">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第十四条</w:t>
      </w:r>
      <w:r>
        <w:rPr>
          <w:rFonts w:hint="eastAsia" w:ascii="Times" w:hAnsi="Times" w:eastAsia="楷体"/>
          <w:color w:val="auto"/>
          <w:highlight w:val="none"/>
        </w:rPr>
        <w:t xml:space="preserve"> </w:t>
      </w:r>
      <w:r>
        <w:rPr>
          <w:rFonts w:ascii="Times" w:hAnsi="Times" w:eastAsia="楷体"/>
          <w:color w:val="auto"/>
          <w:highlight w:val="none"/>
        </w:rPr>
        <w:t>本合同壹式</w:t>
      </w:r>
      <w:r>
        <w:rPr>
          <w:rFonts w:hint="eastAsia" w:ascii="Times" w:hAnsi="Times" w:eastAsia="楷体"/>
          <w:color w:val="auto"/>
          <w:highlight w:val="none"/>
        </w:rPr>
        <w:t>肆</w:t>
      </w:r>
      <w:r>
        <w:rPr>
          <w:rFonts w:ascii="Times" w:hAnsi="Times" w:eastAsia="楷体"/>
          <w:color w:val="auto"/>
          <w:highlight w:val="none"/>
        </w:rPr>
        <w:t>份，甲方</w:t>
      </w:r>
      <w:r>
        <w:rPr>
          <w:rFonts w:hint="eastAsia" w:ascii="Times" w:hAnsi="Times" w:eastAsia="楷体"/>
          <w:color w:val="auto"/>
          <w:highlight w:val="none"/>
        </w:rPr>
        <w:t>贰</w:t>
      </w:r>
      <w:r>
        <w:rPr>
          <w:rFonts w:ascii="Times" w:hAnsi="Times" w:eastAsia="楷体"/>
          <w:color w:val="auto"/>
          <w:highlight w:val="none"/>
        </w:rPr>
        <w:t>份，乙方</w:t>
      </w:r>
      <w:r>
        <w:rPr>
          <w:rFonts w:hint="eastAsia" w:ascii="Times" w:hAnsi="Times" w:eastAsia="楷体"/>
          <w:color w:val="auto"/>
          <w:highlight w:val="none"/>
        </w:rPr>
        <w:t>贰</w:t>
      </w:r>
      <w:r>
        <w:rPr>
          <w:rFonts w:ascii="Times" w:hAnsi="Times" w:eastAsia="楷体"/>
          <w:color w:val="auto"/>
          <w:highlight w:val="none"/>
        </w:rPr>
        <w:t>份，自双方授权代表签字并加盖单位印章后生效。</w:t>
      </w:r>
    </w:p>
    <w:p w14:paraId="0D8BC104">
      <w:pPr>
        <w:spacing w:line="460" w:lineRule="exact"/>
        <w:jc w:val="left"/>
        <w:rPr>
          <w:rFonts w:ascii="仿宋_GB2312" w:hAnsi="仿宋_GB2312" w:eastAsia="仿宋_GB2312" w:cs="仿宋_GB2312"/>
          <w:b/>
          <w:color w:val="auto"/>
          <w:sz w:val="24"/>
          <w:highlight w:val="none"/>
        </w:rPr>
      </w:pPr>
      <w:bookmarkStart w:id="429" w:name="_Toc361325820"/>
      <w:bookmarkStart w:id="430" w:name="_Toc474502608"/>
      <w:bookmarkStart w:id="431" w:name="_Toc18854"/>
      <w:bookmarkStart w:id="432" w:name="_Toc29829"/>
      <w:bookmarkStart w:id="433" w:name="_Toc505261938"/>
      <w:bookmarkStart w:id="434" w:name="_Toc8347"/>
      <w:bookmarkStart w:id="435" w:name="_Toc513469076"/>
      <w:bookmarkStart w:id="436" w:name="_Toc474327066"/>
      <w:bookmarkStart w:id="437" w:name="_Toc466391967"/>
      <w:r>
        <w:rPr>
          <w:rFonts w:hint="eastAsia" w:ascii="Times" w:hAnsi="Times" w:eastAsia="楷体"/>
          <w:b/>
          <w:color w:val="auto"/>
          <w:highlight w:val="none"/>
        </w:rPr>
        <w:t>第</w:t>
      </w:r>
      <w:r>
        <w:rPr>
          <w:rFonts w:hint="eastAsia" w:ascii="Times" w:hAnsi="Times" w:eastAsia="楷体"/>
          <w:b/>
          <w:color w:val="auto"/>
          <w:highlight w:val="none"/>
          <w:lang w:val="en-US" w:eastAsia="zh-CN"/>
        </w:rPr>
        <w:t>伍</w:t>
      </w:r>
      <w:r>
        <w:rPr>
          <w:rFonts w:hint="eastAsia" w:ascii="Times" w:hAnsi="Times" w:eastAsia="楷体"/>
          <w:b/>
          <w:color w:val="auto"/>
          <w:highlight w:val="none"/>
        </w:rPr>
        <w:t>条</w:t>
      </w:r>
      <w:r>
        <w:rPr>
          <w:rFonts w:hint="eastAsia" w:ascii="仿宋_GB2312" w:hAnsi="仿宋_GB2312" w:eastAsia="仿宋_GB2312" w:cs="仿宋_GB2312"/>
          <w:b/>
          <w:color w:val="auto"/>
          <w:sz w:val="24"/>
          <w:highlight w:val="none"/>
        </w:rPr>
        <w:t xml:space="preserve">  </w:t>
      </w:r>
      <w:r>
        <w:rPr>
          <w:rFonts w:hint="eastAsia" w:ascii="Times" w:hAnsi="Times" w:eastAsia="楷体"/>
          <w:color w:val="auto"/>
          <w:highlight w:val="none"/>
        </w:rPr>
        <w:t>附件</w:t>
      </w:r>
      <w:bookmarkEnd w:id="429"/>
      <w:bookmarkEnd w:id="430"/>
      <w:bookmarkEnd w:id="431"/>
      <w:bookmarkEnd w:id="432"/>
      <w:bookmarkEnd w:id="433"/>
      <w:bookmarkEnd w:id="434"/>
      <w:bookmarkEnd w:id="435"/>
      <w:bookmarkEnd w:id="436"/>
      <w:bookmarkEnd w:id="437"/>
    </w:p>
    <w:p w14:paraId="214D33B3">
      <w:pPr>
        <w:spacing w:before="156" w:beforeLines="50" w:line="360" w:lineRule="auto"/>
        <w:ind w:firstLine="420" w:firstLineChars="200"/>
        <w:rPr>
          <w:rFonts w:hint="eastAsia" w:ascii="楷体" w:hAnsi="楷体" w:eastAsia="楷体"/>
          <w:color w:val="auto"/>
          <w:highlight w:val="none"/>
        </w:rPr>
      </w:pPr>
      <w:bookmarkStart w:id="438" w:name="_Toc7234"/>
      <w:r>
        <w:rPr>
          <w:rFonts w:hint="eastAsia" w:ascii="楷体" w:hAnsi="楷体" w:eastAsia="楷体"/>
          <w:color w:val="auto"/>
          <w:highlight w:val="none"/>
        </w:rPr>
        <w:t>1.项目比选文件</w:t>
      </w:r>
      <w:bookmarkEnd w:id="438"/>
    </w:p>
    <w:p w14:paraId="08381F22">
      <w:pPr>
        <w:spacing w:before="156" w:beforeLines="50" w:line="360" w:lineRule="auto"/>
        <w:ind w:firstLine="420" w:firstLineChars="200"/>
        <w:rPr>
          <w:rFonts w:hint="eastAsia" w:ascii="楷体" w:hAnsi="楷体" w:eastAsia="楷体"/>
          <w:color w:val="auto"/>
          <w:highlight w:val="none"/>
        </w:rPr>
      </w:pPr>
      <w:bookmarkStart w:id="439" w:name="_Toc30140"/>
      <w:r>
        <w:rPr>
          <w:rFonts w:hint="eastAsia" w:ascii="楷体" w:hAnsi="楷体" w:eastAsia="楷体"/>
          <w:color w:val="auto"/>
          <w:highlight w:val="none"/>
        </w:rPr>
        <w:t>2.项目修改澄清文件</w:t>
      </w:r>
      <w:bookmarkEnd w:id="439"/>
    </w:p>
    <w:p w14:paraId="6446B6A7">
      <w:pPr>
        <w:spacing w:before="156" w:beforeLines="50" w:line="360" w:lineRule="auto"/>
        <w:ind w:firstLine="420" w:firstLineChars="200"/>
        <w:rPr>
          <w:rFonts w:hint="eastAsia" w:ascii="楷体" w:hAnsi="楷体" w:eastAsia="楷体"/>
          <w:color w:val="auto"/>
          <w:highlight w:val="none"/>
        </w:rPr>
      </w:pPr>
      <w:bookmarkStart w:id="440" w:name="_Toc6003"/>
      <w:r>
        <w:rPr>
          <w:rFonts w:hint="eastAsia" w:ascii="楷体" w:hAnsi="楷体" w:eastAsia="楷体"/>
          <w:color w:val="auto"/>
          <w:highlight w:val="none"/>
        </w:rPr>
        <w:t>3.项目比选申请书</w:t>
      </w:r>
      <w:bookmarkEnd w:id="440"/>
    </w:p>
    <w:p w14:paraId="783801F8">
      <w:pPr>
        <w:spacing w:before="156" w:beforeLines="50" w:line="360" w:lineRule="auto"/>
        <w:ind w:firstLine="420" w:firstLineChars="200"/>
        <w:rPr>
          <w:rFonts w:hint="eastAsia" w:ascii="楷体" w:hAnsi="楷体" w:eastAsia="楷体"/>
          <w:color w:val="auto"/>
          <w:highlight w:val="none"/>
        </w:rPr>
      </w:pPr>
      <w:bookmarkStart w:id="441" w:name="_Toc11660"/>
      <w:r>
        <w:rPr>
          <w:rFonts w:hint="eastAsia" w:ascii="楷体" w:hAnsi="楷体" w:eastAsia="楷体"/>
          <w:color w:val="auto"/>
          <w:highlight w:val="none"/>
        </w:rPr>
        <w:t>4.中选通知书</w:t>
      </w:r>
      <w:bookmarkEnd w:id="441"/>
    </w:p>
    <w:p w14:paraId="7F96412C">
      <w:pPr>
        <w:spacing w:before="156" w:beforeLines="50" w:line="360" w:lineRule="auto"/>
        <w:ind w:firstLine="420" w:firstLineChars="200"/>
        <w:rPr>
          <w:rFonts w:hint="eastAsia" w:ascii="楷体" w:hAnsi="楷体" w:eastAsia="楷体"/>
          <w:color w:val="auto"/>
          <w:highlight w:val="none"/>
        </w:rPr>
      </w:pPr>
      <w:bookmarkStart w:id="442" w:name="_Toc10357"/>
      <w:r>
        <w:rPr>
          <w:rFonts w:hint="eastAsia" w:ascii="楷体" w:hAnsi="楷体" w:eastAsia="楷体"/>
          <w:color w:val="auto"/>
          <w:highlight w:val="none"/>
        </w:rPr>
        <w:t>5.本合同的其他附件</w:t>
      </w:r>
      <w:bookmarkEnd w:id="442"/>
    </w:p>
    <w:p w14:paraId="1BD4CE94">
      <w:pPr>
        <w:spacing w:before="156" w:beforeLines="50" w:line="360" w:lineRule="auto"/>
        <w:ind w:firstLine="420" w:firstLineChars="200"/>
        <w:rPr>
          <w:rFonts w:hint="eastAsia" w:ascii="楷体" w:hAnsi="楷体" w:eastAsia="楷体"/>
          <w:color w:val="auto"/>
          <w:highlight w:val="none"/>
        </w:rPr>
      </w:pPr>
    </w:p>
    <w:p w14:paraId="513A9C35">
      <w:pPr>
        <w:spacing w:before="156" w:beforeLines="50" w:line="360" w:lineRule="auto"/>
        <w:ind w:firstLine="420" w:firstLineChars="200"/>
        <w:jc w:val="center"/>
        <w:rPr>
          <w:rFonts w:hint="eastAsia" w:ascii="楷体" w:hAnsi="楷体" w:eastAsia="楷体"/>
          <w:color w:val="auto"/>
          <w:highlight w:val="none"/>
        </w:rPr>
      </w:pPr>
      <w:r>
        <w:rPr>
          <w:rFonts w:hint="eastAsia" w:ascii="楷体" w:hAnsi="楷体" w:eastAsia="楷体"/>
          <w:color w:val="auto"/>
          <w:highlight w:val="none"/>
        </w:rPr>
        <w:t>——以下无正文——</w:t>
      </w:r>
      <w:bookmarkEnd w:id="426"/>
      <w:bookmarkEnd w:id="427"/>
      <w:bookmarkEnd w:id="428"/>
    </w:p>
    <w:p w14:paraId="7FAE6C48">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甲方：   （单位公章）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 xml:space="preserve">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乙方：   （单位公章）</w:t>
      </w:r>
    </w:p>
    <w:p w14:paraId="08877CFC">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法定代表人（授权代表）：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法定代表人（授权代表）：</w:t>
      </w:r>
    </w:p>
    <w:p w14:paraId="39DDC6FF">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地    址：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地    址：</w:t>
      </w:r>
    </w:p>
    <w:p w14:paraId="4EB8FB07">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开户银行：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开户银行：</w:t>
      </w:r>
    </w:p>
    <w:p w14:paraId="3F18EB6C">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账号：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账号：</w:t>
      </w:r>
    </w:p>
    <w:p w14:paraId="4D3A97CE">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电    话：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电    话：</w:t>
      </w:r>
    </w:p>
    <w:p w14:paraId="71E1CB14">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传    真：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传    真：</w:t>
      </w:r>
    </w:p>
    <w:p w14:paraId="0B611C81">
      <w:pPr>
        <w:spacing w:before="156" w:beforeLines="50" w:line="360" w:lineRule="auto"/>
        <w:ind w:firstLine="420" w:firstLineChars="200"/>
        <w:rPr>
          <w:rFonts w:hint="eastAsia" w:ascii="楷体" w:hAnsi="楷体" w:eastAsia="楷体"/>
          <w:color w:val="auto"/>
          <w:highlight w:val="none"/>
          <w:lang w:val="en-US" w:eastAsia="zh-CN"/>
        </w:rPr>
      </w:pPr>
      <w:r>
        <w:rPr>
          <w:rFonts w:hint="eastAsia" w:ascii="楷体" w:hAnsi="楷体" w:eastAsia="楷体"/>
          <w:color w:val="auto"/>
          <w:highlight w:val="none"/>
        </w:rPr>
        <w:t xml:space="preserve">签约日期：XX年XX月XX日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签约日期：XX年XX月XX</w:t>
      </w:r>
      <w:r>
        <w:rPr>
          <w:rFonts w:hint="eastAsia" w:ascii="楷体" w:hAnsi="楷体" w:eastAsia="楷体"/>
          <w:color w:val="auto"/>
          <w:highlight w:val="none"/>
          <w:lang w:val="en-US" w:eastAsia="zh-CN"/>
        </w:rPr>
        <w:t>日</w:t>
      </w:r>
    </w:p>
    <w:p w14:paraId="646FB4C0">
      <w:pPr>
        <w:pStyle w:val="2"/>
        <w:rPr>
          <w:rFonts w:hint="eastAsia" w:ascii="楷体" w:hAnsi="楷体" w:eastAsia="楷体"/>
          <w:color w:val="auto"/>
          <w:highlight w:val="none"/>
          <w:lang w:val="en-US" w:eastAsia="zh-CN"/>
        </w:rPr>
      </w:pPr>
    </w:p>
    <w:p w14:paraId="551ECAC1">
      <w:pPr>
        <w:rPr>
          <w:rFonts w:hint="eastAsia" w:ascii="楷体" w:hAnsi="楷体" w:eastAsia="楷体"/>
          <w:color w:val="auto"/>
          <w:highlight w:val="none"/>
          <w:lang w:val="en-US" w:eastAsia="zh-CN"/>
        </w:rPr>
      </w:pPr>
    </w:p>
    <w:p w14:paraId="2C6E04BE">
      <w:pPr>
        <w:pStyle w:val="2"/>
        <w:rPr>
          <w:rFonts w:hint="eastAsia" w:ascii="楷体" w:hAnsi="楷体" w:eastAsia="楷体"/>
          <w:color w:val="auto"/>
          <w:highlight w:val="none"/>
          <w:lang w:val="en-US" w:eastAsia="zh-CN"/>
        </w:rPr>
      </w:pPr>
    </w:p>
    <w:p w14:paraId="3C3FEADC">
      <w:pPr>
        <w:rPr>
          <w:rFonts w:hint="eastAsia" w:ascii="楷体" w:hAnsi="楷体" w:eastAsia="楷体"/>
          <w:color w:val="auto"/>
          <w:highlight w:val="none"/>
          <w:lang w:val="en-US" w:eastAsia="zh-CN"/>
        </w:rPr>
      </w:pPr>
    </w:p>
    <w:p w14:paraId="1B2212AA">
      <w:pPr>
        <w:pStyle w:val="2"/>
        <w:rPr>
          <w:rFonts w:hint="eastAsia" w:ascii="楷体" w:hAnsi="楷体" w:eastAsia="楷体"/>
          <w:color w:val="auto"/>
          <w:highlight w:val="none"/>
          <w:lang w:val="en-US" w:eastAsia="zh-CN"/>
        </w:rPr>
      </w:pPr>
    </w:p>
    <w:p w14:paraId="68CEE453">
      <w:pPr>
        <w:rPr>
          <w:rFonts w:hint="eastAsia" w:ascii="楷体" w:hAnsi="楷体" w:eastAsia="楷体"/>
          <w:color w:val="auto"/>
          <w:highlight w:val="none"/>
          <w:lang w:val="en-US" w:eastAsia="zh-CN"/>
        </w:rPr>
      </w:pPr>
    </w:p>
    <w:p w14:paraId="68FC196C">
      <w:pPr>
        <w:pStyle w:val="2"/>
        <w:rPr>
          <w:rFonts w:hint="eastAsia" w:ascii="楷体" w:hAnsi="楷体" w:eastAsia="楷体"/>
          <w:color w:val="auto"/>
          <w:highlight w:val="none"/>
          <w:lang w:val="en-US" w:eastAsia="zh-CN"/>
        </w:rPr>
      </w:pPr>
    </w:p>
    <w:p w14:paraId="5264DEAF">
      <w:pPr>
        <w:rPr>
          <w:rFonts w:hint="eastAsia" w:ascii="楷体" w:hAnsi="楷体" w:eastAsia="楷体"/>
          <w:color w:val="auto"/>
          <w:highlight w:val="none"/>
          <w:lang w:val="en-US" w:eastAsia="zh-CN"/>
        </w:rPr>
      </w:pPr>
    </w:p>
    <w:p w14:paraId="256AD940">
      <w:pPr>
        <w:pStyle w:val="2"/>
        <w:rPr>
          <w:rFonts w:hint="eastAsia"/>
          <w:color w:val="auto"/>
          <w:highlight w:val="none"/>
          <w:lang w:val="en-US" w:eastAsia="zh-CN"/>
        </w:rPr>
      </w:pPr>
    </w:p>
    <w:p w14:paraId="3DBB9A8F">
      <w:pPr>
        <w:pStyle w:val="2"/>
        <w:rPr>
          <w:rFonts w:hint="eastAsia"/>
          <w:color w:val="auto"/>
          <w:highlight w:val="none"/>
          <w:lang w:val="en-US" w:eastAsia="zh-CN"/>
        </w:rPr>
      </w:pPr>
    </w:p>
    <w:bookmarkEnd w:id="443"/>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Kaiti SC">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4"/>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A0664E0"/>
    <w:multiLevelType w:val="singleLevel"/>
    <w:tmpl w:val="6A0664E0"/>
    <w:lvl w:ilvl="0" w:tentative="0">
      <w:start w:val="8"/>
      <w:numFmt w:val="chineseCounting"/>
      <w:suff w:val="nothing"/>
      <w:lvlText w:val="%1、"/>
      <w:lvlJc w:val="left"/>
      <w:rPr>
        <w:rFonts w:hint="eastAsia"/>
      </w:rPr>
    </w:lvl>
  </w:abstractNum>
  <w:abstractNum w:abstractNumId="7">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4"/>
  </w:num>
  <w:num w:numId="8">
    <w:abstractNumId w:val="2"/>
  </w:num>
  <w:num w:numId="9">
    <w:abstractNumId w:val="2"/>
    <w:lvlOverride w:ilvl="0">
      <w:lvl w:ilvl="0" w:tentative="1">
        <w:start w:val="1"/>
        <w:numFmt w:val="decimal"/>
        <w:lvlText w:val="%1."/>
        <w:lvlJc w:val="left"/>
        <w:pPr>
          <w:ind w:left="900" w:hanging="420"/>
        </w:pPr>
        <w:rPr>
          <w:rFonts w:hint="eastAsia"/>
        </w:rPr>
      </w:lvl>
    </w:lvlOverride>
    <w:lvlOverride w:ilvl="1">
      <w:lvl w:ilvl="1" w:tentative="1">
        <w:start w:val="1"/>
        <w:numFmt w:val="decimal"/>
        <w:isLgl/>
        <w:suff w:val="space"/>
        <w:lvlText w:val="%1.%2."/>
        <w:lvlJc w:val="left"/>
        <w:pPr>
          <w:ind w:left="840" w:hanging="360"/>
        </w:pPr>
        <w:rPr>
          <w:rFonts w:hint="default"/>
        </w:rPr>
      </w:lvl>
    </w:lvlOverride>
    <w:lvlOverride w:ilvl="2">
      <w:lvl w:ilvl="2" w:tentative="1">
        <w:start w:val="1"/>
        <w:numFmt w:val="decimal"/>
        <w:isLgl/>
        <w:lvlText w:val="%1.%2.%3."/>
        <w:lvlJc w:val="left"/>
        <w:pPr>
          <w:ind w:left="1200" w:hanging="720"/>
        </w:pPr>
        <w:rPr>
          <w:rFonts w:hint="default"/>
        </w:rPr>
      </w:lvl>
    </w:lvlOverride>
    <w:lvlOverride w:ilvl="3">
      <w:lvl w:ilvl="3" w:tentative="1">
        <w:start w:val="1"/>
        <w:numFmt w:val="decimal"/>
        <w:isLgl/>
        <w:lvlText w:val="%1.%2.%3.%4."/>
        <w:lvlJc w:val="left"/>
        <w:pPr>
          <w:ind w:left="1200" w:hanging="720"/>
        </w:pPr>
        <w:rPr>
          <w:rFonts w:hint="default"/>
        </w:rPr>
      </w:lvl>
    </w:lvlOverride>
    <w:lvlOverride w:ilvl="4">
      <w:lvl w:ilvl="4" w:tentative="1">
        <w:start w:val="1"/>
        <w:numFmt w:val="decimal"/>
        <w:isLgl/>
        <w:lvlText w:val="%1.%2.%3.%4.%5."/>
        <w:lvlJc w:val="left"/>
        <w:pPr>
          <w:ind w:left="1560" w:hanging="1080"/>
        </w:pPr>
        <w:rPr>
          <w:rFonts w:hint="default"/>
        </w:rPr>
      </w:lvl>
    </w:lvlOverride>
    <w:lvlOverride w:ilvl="5">
      <w:lvl w:ilvl="5" w:tentative="1">
        <w:start w:val="1"/>
        <w:numFmt w:val="decimal"/>
        <w:isLgl/>
        <w:lvlText w:val="%1.%2.%3.%4.%5.%6."/>
        <w:lvlJc w:val="left"/>
        <w:pPr>
          <w:ind w:left="1560" w:hanging="1080"/>
        </w:pPr>
        <w:rPr>
          <w:rFonts w:hint="default"/>
        </w:rPr>
      </w:lvl>
    </w:lvlOverride>
    <w:lvlOverride w:ilvl="6">
      <w:lvl w:ilvl="6" w:tentative="1">
        <w:start w:val="1"/>
        <w:numFmt w:val="decimal"/>
        <w:isLgl/>
        <w:lvlText w:val="%1.%2.%3.%4.%5.%6.%7."/>
        <w:lvlJc w:val="left"/>
        <w:pPr>
          <w:ind w:left="1920" w:hanging="1440"/>
        </w:pPr>
        <w:rPr>
          <w:rFonts w:hint="default"/>
        </w:rPr>
      </w:lvl>
    </w:lvlOverride>
    <w:lvlOverride w:ilvl="7">
      <w:lvl w:ilvl="7" w:tentative="1">
        <w:start w:val="1"/>
        <w:numFmt w:val="decimal"/>
        <w:isLgl/>
        <w:lvlText w:val="%1.%2.%3.%4.%5.%6.%7.%8."/>
        <w:lvlJc w:val="left"/>
        <w:pPr>
          <w:ind w:left="1920" w:hanging="1440"/>
        </w:pPr>
        <w:rPr>
          <w:rFonts w:hint="default"/>
        </w:rPr>
      </w:lvl>
    </w:lvlOverride>
    <w:lvlOverride w:ilvl="8">
      <w:lvl w:ilvl="8" w:tentative="1">
        <w:start w:val="1"/>
        <w:numFmt w:val="decimal"/>
        <w:isLgl/>
        <w:lvlText w:val="%1.%2.%3.%4.%5.%6.%7.%8.%9."/>
        <w:lvlJc w:val="left"/>
        <w:pPr>
          <w:ind w:left="2280" w:hanging="1800"/>
        </w:pPr>
        <w:rPr>
          <w:rFonts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3C341DC"/>
    <w:rsid w:val="03FC42A4"/>
    <w:rsid w:val="0456002C"/>
    <w:rsid w:val="049D5915"/>
    <w:rsid w:val="06024BFC"/>
    <w:rsid w:val="075524D7"/>
    <w:rsid w:val="07870B30"/>
    <w:rsid w:val="0CCA10AF"/>
    <w:rsid w:val="0D200F3F"/>
    <w:rsid w:val="0EDE1004"/>
    <w:rsid w:val="118C18B9"/>
    <w:rsid w:val="14182013"/>
    <w:rsid w:val="179F5363"/>
    <w:rsid w:val="1A0A55F4"/>
    <w:rsid w:val="1AA84175"/>
    <w:rsid w:val="1C890DFD"/>
    <w:rsid w:val="1C9553F8"/>
    <w:rsid w:val="1D085BCA"/>
    <w:rsid w:val="1E1E3077"/>
    <w:rsid w:val="1ED81F2B"/>
    <w:rsid w:val="20427E9A"/>
    <w:rsid w:val="22AA7723"/>
    <w:rsid w:val="26376D35"/>
    <w:rsid w:val="2A4D7312"/>
    <w:rsid w:val="2A952A67"/>
    <w:rsid w:val="2B5335E7"/>
    <w:rsid w:val="2C7873E0"/>
    <w:rsid w:val="2E150147"/>
    <w:rsid w:val="2FE14599"/>
    <w:rsid w:val="30556337"/>
    <w:rsid w:val="317452BC"/>
    <w:rsid w:val="33BC18BA"/>
    <w:rsid w:val="34634EE0"/>
    <w:rsid w:val="35696FCA"/>
    <w:rsid w:val="3A50745A"/>
    <w:rsid w:val="3B0F1F28"/>
    <w:rsid w:val="3B2F036E"/>
    <w:rsid w:val="3B535099"/>
    <w:rsid w:val="3FEA043A"/>
    <w:rsid w:val="457817B6"/>
    <w:rsid w:val="46C25B9D"/>
    <w:rsid w:val="47763048"/>
    <w:rsid w:val="49CA40B9"/>
    <w:rsid w:val="4E671CA0"/>
    <w:rsid w:val="51F660CD"/>
    <w:rsid w:val="53910557"/>
    <w:rsid w:val="539620A7"/>
    <w:rsid w:val="56DC71A4"/>
    <w:rsid w:val="594E3CA4"/>
    <w:rsid w:val="5C0C22DA"/>
    <w:rsid w:val="5CFD79BA"/>
    <w:rsid w:val="5DCC1F1C"/>
    <w:rsid w:val="5E0D2339"/>
    <w:rsid w:val="5F6D7B45"/>
    <w:rsid w:val="5FBB4071"/>
    <w:rsid w:val="633839B4"/>
    <w:rsid w:val="643B127A"/>
    <w:rsid w:val="647E189B"/>
    <w:rsid w:val="67BC7BE0"/>
    <w:rsid w:val="67C27211"/>
    <w:rsid w:val="68E902C9"/>
    <w:rsid w:val="6AAA5ADF"/>
    <w:rsid w:val="6C0B1393"/>
    <w:rsid w:val="6C2D44BC"/>
    <w:rsid w:val="6D453B1E"/>
    <w:rsid w:val="6F0A08FB"/>
    <w:rsid w:val="70E341B7"/>
    <w:rsid w:val="73F43927"/>
    <w:rsid w:val="74954461"/>
    <w:rsid w:val="784F55D0"/>
    <w:rsid w:val="794D765F"/>
    <w:rsid w:val="7B8B4B71"/>
    <w:rsid w:val="7DE14F1D"/>
    <w:rsid w:val="7F0013D2"/>
    <w:rsid w:val="7F47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11097</Words>
  <Characters>11497</Characters>
  <Lines>0</Lines>
  <Paragraphs>0</Paragraphs>
  <TotalTime>15</TotalTime>
  <ScaleCrop>false</ScaleCrop>
  <LinksUpToDate>false</LinksUpToDate>
  <CharactersWithSpaces>12374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2023-10-25T09:12:00Z</dcterms:created>
  <dc:creator>倾拥</dc:creator>
  <cp:lastModifiedBy>晶晶</cp:lastModifiedBy>
  <cp:lastPrinted>2025-01-21T07:10:00Z</cp:lastPrinted>
  <dcterms:modified xsi:type="dcterms:W3CDTF">2025-01-21T09:21:40Z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05EE8091B3134BE7BD126B2FDCBA9AAC_13</vt:lpwstr>
  </property>
  <property fmtid="{D5CDD505-2E9C-101B-9397-08002B2CF9AE}" pid="4" name="KSOTemplateDocerSaveRecord">
    <vt:lpwstr>eyJoZGlkIjoiODBhOGI5OGI1ZTY2NjBiYWQyZDc1MzEyZmZlNjc4OGIiLCJ1c2VySWQiOiIzODEzODY5OTEifQ==</vt:lpwstr>
  </property>
</Properties>
</file>