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bookmarkStart w:id="0" w:name="_Toc23535"/>
      <w:bookmarkStart w:id="1" w:name="_Toc16098"/>
      <w:bookmarkStart w:id="2" w:name="_Toc663"/>
      <w:bookmarkStart w:id="3" w:name="_Toc4830"/>
      <w:bookmarkStart w:id="4" w:name="_Toc23663"/>
      <w:bookmarkStart w:id="5" w:name="_Toc9903"/>
      <w:bookmarkStart w:id="6" w:name="_Toc12242"/>
      <w:bookmarkStart w:id="7" w:name="_Toc17499"/>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项目编号：JTWZ20250101-1</w:t>
      </w:r>
    </w:p>
    <w:p w14:paraId="63C34150">
      <w:pPr>
        <w:pStyle w:val="3"/>
        <w:rPr>
          <w:rFonts w:hint="eastAsia"/>
          <w:color w:val="000000" w:themeColor="text1"/>
          <w:highlight w:val="none"/>
          <w:lang w:val="en-US" w:eastAsia="zh-CN"/>
          <w14:textFill>
            <w14:solidFill>
              <w14:schemeClr w14:val="tx1"/>
            </w14:solidFill>
          </w14:textFill>
        </w:rPr>
      </w:pPr>
    </w:p>
    <w:p w14:paraId="41DBCC2C">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四川省交通物资有限责任公司</w:t>
      </w:r>
    </w:p>
    <w:p w14:paraId="702EDA3F">
      <w:pPr>
        <w:jc w:val="center"/>
        <w:rPr>
          <w:rFonts w:hint="default" w:ascii="方正小标宋简体" w:hAnsi="方正小标宋简体" w:eastAsia="方正小标宋简体" w:cs="方正小标宋简体"/>
          <w:b w:val="0"/>
          <w:bCs w:val="0"/>
          <w:color w:val="000000" w:themeColor="text1"/>
          <w:sz w:val="24"/>
          <w:szCs w:val="2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专项律师事务所</w:t>
      </w:r>
    </w:p>
    <w:p w14:paraId="1ECADA0F">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0C216AEB">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4BA6DA0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p>
    <w:p w14:paraId="0E574342">
      <w:pPr>
        <w:tabs>
          <w:tab w:val="left" w:pos="6972"/>
        </w:tabs>
        <w:jc w:val="left"/>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ab/>
      </w:r>
    </w:p>
    <w:p w14:paraId="43CCBE9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比</w:t>
      </w:r>
    </w:p>
    <w:p w14:paraId="41677FC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选</w:t>
      </w:r>
    </w:p>
    <w:p w14:paraId="5621BBBA">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文</w:t>
      </w:r>
    </w:p>
    <w:p w14:paraId="68401D1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件</w:t>
      </w:r>
    </w:p>
    <w:p w14:paraId="1E4F2135">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404D531A">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7A35E059">
      <w:pPr>
        <w:jc w:val="both"/>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56F2BFD0">
      <w:pPr>
        <w:jc w:val="center"/>
        <w:rPr>
          <w:rFonts w:hint="default"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比选人：四川省交通物资有限责任公司</w:t>
      </w:r>
    </w:p>
    <w:p w14:paraId="71AE76B2">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二0二五年二月</w:t>
      </w:r>
    </w:p>
    <w:p w14:paraId="50B4CF34">
      <w:pPr>
        <w:jc w:val="center"/>
        <w:rPr>
          <w:rFonts w:hint="eastAsia" w:ascii="仿宋" w:hAnsi="仿宋" w:eastAsia="仿宋" w:cs="仿宋"/>
          <w:b/>
          <w:bCs/>
          <w:color w:val="000000" w:themeColor="text1"/>
          <w:sz w:val="36"/>
          <w:szCs w:val="36"/>
          <w:highlight w:val="none"/>
          <w14:textFill>
            <w14:solidFill>
              <w14:schemeClr w14:val="tx1"/>
            </w14:solidFill>
          </w14:textFill>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目  录</w:t>
      </w:r>
    </w:p>
    <w:p w14:paraId="15150002">
      <w:pPr>
        <w:rPr>
          <w:rFonts w:ascii="仿宋" w:hAnsi="仿宋" w:eastAsia="仿宋" w:cs="仿宋"/>
          <w:b/>
          <w:bCs/>
          <w:color w:val="000000" w:themeColor="text1"/>
          <w:sz w:val="32"/>
          <w:szCs w:val="32"/>
          <w:highlight w:val="none"/>
          <w14:textFill>
            <w14:solidFill>
              <w14:schemeClr w14:val="tx1"/>
            </w14:solidFill>
          </w14:textFill>
        </w:rPr>
      </w:pPr>
    </w:p>
    <w:p w14:paraId="365A4C85">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"_Toc2468"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第一章 比选公告</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37D2550E">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"_Toc8513"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第二章 比选申请人须知</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4465951D">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"_Toc19085"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第三章 比选申请人的资格要求证明材料</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8</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5046DDD7">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"_Toc302"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第四章 比选申请书格式</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09823CEE">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"_Toc31984"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第五章 项目需求及服务、团队等相关要求</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7</w:t>
      </w:r>
    </w:p>
    <w:p w14:paraId="06D62F28">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"_Toc17709"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第六章 评审方法</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p>
    <w:p w14:paraId="3E39986F">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"_Toc10904"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第七章 主要合同条款（草案）</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p>
    <w:p w14:paraId="7950402D">
      <w:pPr>
        <w:jc w:val="center"/>
        <w:rPr>
          <w:rFonts w:ascii="仿宋_GB2312" w:hAnsi="仿宋_GB2312" w:eastAsia="仿宋_GB2312" w:cs="仿宋_GB2312"/>
          <w:b/>
          <w:bCs/>
          <w:color w:val="000000" w:themeColor="text1"/>
          <w:sz w:val="36"/>
          <w:szCs w:val="36"/>
          <w:highlight w:val="none"/>
          <w14:textFill>
            <w14:solidFill>
              <w14:schemeClr w14:val="tx1"/>
            </w14:solidFill>
          </w14:textFill>
        </w:rPr>
      </w:pPr>
    </w:p>
    <w:p w14:paraId="73E1CB79">
      <w:pPr>
        <w:rPr>
          <w:rFonts w:ascii="仿宋_GB2312" w:hAnsi="仿宋_GB2312" w:eastAsia="仿宋_GB2312" w:cs="仿宋_GB2312"/>
          <w:b/>
          <w:bCs/>
          <w:color w:val="000000" w:themeColor="text1"/>
          <w:sz w:val="32"/>
          <w:szCs w:val="32"/>
          <w:highlight w:val="none"/>
          <w14:textFill>
            <w14:solidFill>
              <w14:schemeClr w14:val="tx1"/>
            </w14:solidFill>
          </w14:textFill>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036230F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13C93B9A">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2997537D">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6D305770">
      <w:pPr>
        <w:keepNext/>
        <w:keepLines/>
        <w:widowControl w:val="0"/>
        <w:spacing w:before="340" w:after="330" w:line="460" w:lineRule="exact"/>
        <w:jc w:val="both"/>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237581C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0B77E3C3">
      <w:pPr>
        <w:spacing w:line="460" w:lineRule="exact"/>
        <w:rPr>
          <w:rFonts w:ascii="仿宋_GB2312" w:hAnsi="仿宋_GB2312" w:eastAsia="仿宋_GB2312" w:cs="仿宋_GB2312"/>
          <w:color w:val="000000" w:themeColor="text1"/>
          <w:sz w:val="24"/>
          <w:highlight w:val="none"/>
          <w14:textFill>
            <w14:solidFill>
              <w14:schemeClr w14:val="tx1"/>
            </w14:solidFill>
          </w14:textFill>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8" w:name="_Toc24957"/>
      <w:bookmarkStart w:id="9" w:name="_Toc31088"/>
      <w:bookmarkStart w:id="10" w:name="_Toc25176"/>
      <w:bookmarkStart w:id="11" w:name="_Toc2468"/>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公告</w:t>
      </w:r>
    </w:p>
    <w:p w14:paraId="3F57C5E2">
      <w:pPr>
        <w:rPr>
          <w:rFonts w:ascii="仿宋_GB2312" w:hAnsi="仿宋_GB2312" w:eastAsia="仿宋_GB2312" w:cs="仿宋_GB2312"/>
          <w:color w:val="000000" w:themeColor="text1"/>
          <w:highlight w:val="none"/>
          <w14:textFill>
            <w14:solidFill>
              <w14:schemeClr w14:val="tx1"/>
            </w14:solidFill>
          </w14:textFill>
        </w:rPr>
      </w:pPr>
    </w:p>
    <w:p w14:paraId="6CBCDC6C">
      <w:pPr>
        <w:widowControl w:val="0"/>
        <w:spacing w:after="156" w:afterLines="50" w:line="460" w:lineRule="exact"/>
        <w:ind w:firstLine="482" w:firstLineChars="200"/>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四川省交通物资有限责任公司（以下简称：“比选人”“交通物资公司”或“公司”）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 xml:space="preserve">公开比选德达合同纠纷案专项律所。根据四川省国资委相关规定、《蜀道投资集团法律事务管理暂行办法》等有关规定，现将公开比选有关事项公告如下： </w:t>
      </w:r>
    </w:p>
    <w:p w14:paraId="14D646E6">
      <w:pPr>
        <w:numPr>
          <w:ilvl w:val="0"/>
          <w:numId w:val="0"/>
        </w:num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12" w:name="_Toc26286"/>
      <w:bookmarkStart w:id="13" w:name="_Toc22141"/>
      <w:bookmarkStart w:id="14" w:name="_Toc1353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一、</w:t>
      </w:r>
      <w:r>
        <w:rPr>
          <w:rFonts w:hint="eastAsia" w:ascii="仿宋_GB2312" w:hAnsi="仿宋_GB2312" w:eastAsia="仿宋_GB2312" w:cs="仿宋_GB2312"/>
          <w:b/>
          <w:bCs/>
          <w:color w:val="000000" w:themeColor="text1"/>
          <w:sz w:val="24"/>
          <w:highlight w:val="none"/>
          <w14:textFill>
            <w14:solidFill>
              <w14:schemeClr w14:val="tx1"/>
            </w14:solidFill>
          </w14:textFill>
        </w:rPr>
        <w:t>项目名称：</w:t>
      </w:r>
      <w:bookmarkEnd w:id="12"/>
      <w:bookmarkEnd w:id="13"/>
      <w:bookmarkEnd w:id="14"/>
    </w:p>
    <w:p w14:paraId="60D56BE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德达合同纠纷案专项律所公开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p w14:paraId="6EB61215">
      <w:pPr>
        <w:numPr>
          <w:ilvl w:val="0"/>
          <w:numId w:val="0"/>
        </w:num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bookmarkStart w:id="15" w:name="_Toc22566"/>
      <w:bookmarkStart w:id="16" w:name="_Toc31392"/>
      <w:bookmarkStart w:id="17" w:name="_Toc25535"/>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二、</w:t>
      </w:r>
      <w:r>
        <w:rPr>
          <w:rFonts w:hint="eastAsia" w:ascii="仿宋_GB2312" w:hAnsi="仿宋_GB2312" w:eastAsia="仿宋_GB2312" w:cs="仿宋_GB2312"/>
          <w:b/>
          <w:color w:val="000000" w:themeColor="text1"/>
          <w:sz w:val="24"/>
          <w:highlight w:val="none"/>
          <w14:textFill>
            <w14:solidFill>
              <w14:schemeClr w14:val="tx1"/>
            </w14:solidFill>
          </w14:textFill>
        </w:rPr>
        <w:t>资金来源：</w:t>
      </w:r>
      <w:bookmarkEnd w:id="15"/>
      <w:bookmarkEnd w:id="16"/>
      <w:bookmarkEnd w:id="17"/>
    </w:p>
    <w:p w14:paraId="209C62E2">
      <w:pPr>
        <w:spacing w:line="460" w:lineRule="exact"/>
        <w:ind w:firstLine="480" w:firstLineChars="20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自筹资金。</w:t>
      </w:r>
    </w:p>
    <w:p w14:paraId="04C7FAC4">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18" w:name="_Toc6088"/>
      <w:bookmarkStart w:id="19" w:name="_Toc4797"/>
      <w:bookmarkStart w:id="20" w:name="_Toc30655"/>
      <w:r>
        <w:rPr>
          <w:rFonts w:hint="eastAsia" w:ascii="仿宋_GB2312" w:hAnsi="仿宋_GB2312" w:eastAsia="仿宋_GB2312" w:cs="仿宋_GB2312"/>
          <w:b/>
          <w:bCs/>
          <w:color w:val="000000" w:themeColor="text1"/>
          <w:sz w:val="24"/>
          <w:highlight w:val="none"/>
          <w14:textFill>
            <w14:solidFill>
              <w14:schemeClr w14:val="tx1"/>
            </w14:solidFill>
          </w14:textFill>
        </w:rPr>
        <w:t>三、比选项目简介：</w:t>
      </w:r>
      <w:bookmarkEnd w:id="18"/>
      <w:bookmarkEnd w:id="19"/>
      <w:bookmarkEnd w:id="20"/>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10"/>
        <w:gridCol w:w="2610"/>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vAlign w:val="center"/>
          </w:tcPr>
          <w:p w14:paraId="3D25B48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2610" w:type="dxa"/>
            <w:vAlign w:val="center"/>
          </w:tcPr>
          <w:p w14:paraId="77514ED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tc>
        <w:tc>
          <w:tcPr>
            <w:tcW w:w="2610" w:type="dxa"/>
            <w:vAlign w:val="center"/>
          </w:tcPr>
          <w:p w14:paraId="29B46FB6">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66" w:type="dxa"/>
            <w:vAlign w:val="center"/>
          </w:tcPr>
          <w:p w14:paraId="77C4F688">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235DE789">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德达合同纠纷案专项律所公开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tc>
        <w:tc>
          <w:tcPr>
            <w:tcW w:w="2610" w:type="dxa"/>
            <w:vAlign w:val="center"/>
          </w:tcPr>
          <w:p w14:paraId="37195F98">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20万元</w:t>
            </w:r>
          </w:p>
        </w:tc>
        <w:tc>
          <w:tcPr>
            <w:tcW w:w="2610" w:type="dxa"/>
            <w:vAlign w:val="center"/>
          </w:tcPr>
          <w:p w14:paraId="3317AFE2">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JTWZ20250101-1</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具体内容详见本比选文件第五章。</w:t>
            </w:r>
          </w:p>
        </w:tc>
      </w:tr>
    </w:tbl>
    <w:p w14:paraId="0AE516E1">
      <w:pPr>
        <w:numPr>
          <w:ilvl w:val="0"/>
          <w:numId w:val="0"/>
        </w:num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1" w:name="_Toc28898"/>
      <w:bookmarkStart w:id="22" w:name="_Toc8827"/>
      <w:bookmarkStart w:id="23" w:name="_Toc9252"/>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w:t>
      </w:r>
      <w:r>
        <w:rPr>
          <w:rFonts w:hint="eastAsia" w:ascii="仿宋_GB2312" w:hAnsi="仿宋_GB2312" w:eastAsia="仿宋_GB2312" w:cs="仿宋_GB2312"/>
          <w:b/>
          <w:bCs/>
          <w:color w:val="000000" w:themeColor="text1"/>
          <w:sz w:val="24"/>
          <w:highlight w:val="none"/>
          <w14:textFill>
            <w14:solidFill>
              <w14:schemeClr w14:val="tx1"/>
            </w14:solidFill>
          </w14:textFill>
        </w:rPr>
        <w:t>对比选申请人的资格要求：</w:t>
      </w:r>
      <w:bookmarkEnd w:id="21"/>
      <w:bookmarkEnd w:id="22"/>
      <w:bookmarkEnd w:id="23"/>
    </w:p>
    <w:p w14:paraId="116D425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（二）人员要求：在四川省内具有常设机构，能够组建相对固定且不少于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人的律师团队（不含实习律师、律师助理），律师应具有司法行政主管部门颁发的《律师执业证》，执业时间3年以上，合法有效且年检合格</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500B07E2">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（三）信誉要求：信誉良好，比选申请人及其执业律师最近3年内未受到司法行政部门的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r>
        <w:rPr>
          <w:rFonts w:hint="eastAsia" w:ascii="仿宋_GB2312" w:hAnsi="仿宋_GB2312" w:eastAsia="仿宋_GB2312" w:cs="仿宋_GB2312"/>
          <w:color w:val="000000" w:themeColor="text1"/>
          <w:sz w:val="24"/>
          <w:highlight w:val="none"/>
          <w14:textFill>
            <w14:solidFill>
              <w14:schemeClr w14:val="tx1"/>
            </w14:solidFill>
          </w14:textFill>
        </w:rPr>
        <w:t>和律师协会的行业处分，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最近3年内</w:t>
      </w:r>
      <w:r>
        <w:rPr>
          <w:rFonts w:hint="eastAsia" w:ascii="仿宋_GB2312" w:hAnsi="仿宋_GB2312" w:eastAsia="仿宋_GB2312" w:cs="仿宋_GB2312"/>
          <w:color w:val="000000" w:themeColor="text1"/>
          <w:sz w:val="24"/>
          <w:highlight w:val="none"/>
          <w14:textFill>
            <w14:solidFill>
              <w14:schemeClr w14:val="tx1"/>
            </w14:solidFill>
          </w14:textFill>
        </w:rPr>
        <w:t>法律服务未因重大执业质量等问题受到省国资委的通报（提供网页查询截图）；</w:t>
      </w:r>
    </w:p>
    <w:p w14:paraId="4F4EE9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（四）财务要求：财务状况良好，近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3年无亏损</w:t>
      </w:r>
      <w:r>
        <w:rPr>
          <w:rFonts w:hint="eastAsia" w:ascii="仿宋_GB2312" w:hAnsi="仿宋_GB2312" w:eastAsia="仿宋_GB2312" w:cs="仿宋_GB2312"/>
          <w:color w:val="000000" w:themeColor="text1"/>
          <w:sz w:val="24"/>
          <w:highlight w:val="none"/>
          <w14:textFill>
            <w14:solidFill>
              <w14:schemeClr w14:val="tx1"/>
            </w14:solidFill>
          </w14:textFill>
        </w:rPr>
        <w:t>（提供最近年度经审计后年度财务审计报告）；</w:t>
      </w:r>
    </w:p>
    <w:p w14:paraId="23A8E9D1">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）本项目不接受联合体投标</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6E391505">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4" w:name="_Toc8698"/>
      <w:bookmarkStart w:id="25" w:name="_Toc24559"/>
      <w:bookmarkStart w:id="26" w:name="_Toc8257"/>
      <w:r>
        <w:rPr>
          <w:rFonts w:hint="eastAsia" w:ascii="仿宋_GB2312" w:hAnsi="仿宋_GB2312" w:eastAsia="仿宋_GB2312" w:cs="仿宋_GB2312"/>
          <w:b/>
          <w:bCs/>
          <w:color w:val="000000" w:themeColor="text1"/>
          <w:sz w:val="24"/>
          <w:highlight w:val="none"/>
          <w14:textFill>
            <w14:solidFill>
              <w14:schemeClr w14:val="tx1"/>
            </w14:solidFill>
          </w14:textFill>
        </w:rPr>
        <w:t>五、比选文件获取时间及地点</w:t>
      </w:r>
      <w:bookmarkEnd w:id="24"/>
      <w:bookmarkEnd w:id="25"/>
      <w:bookmarkEnd w:id="26"/>
    </w:p>
    <w:p w14:paraId="178680E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1.获取比选文件</w:t>
      </w:r>
      <w:r>
        <w:rPr>
          <w:rFonts w:hint="eastAsia" w:ascii="仿宋_GB2312" w:hAnsi="仿宋_GB2312" w:eastAsia="仿宋_GB2312" w:cs="仿宋_GB2312"/>
          <w:color w:val="000000" w:themeColor="text1"/>
          <w:sz w:val="24"/>
          <w:highlight w:val="none"/>
          <w14:textFill>
            <w14:solidFill>
              <w14:schemeClr w14:val="tx1"/>
            </w14:solidFill>
          </w14:textFill>
        </w:rPr>
        <w:t>时间：自</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2025年2月17日</w:t>
      </w:r>
      <w:r>
        <w:rPr>
          <w:rFonts w:hint="eastAsia" w:ascii="仿宋_GB2312" w:hAnsi="仿宋_GB2312" w:eastAsia="仿宋_GB2312" w:cs="仿宋_GB2312"/>
          <w:color w:val="000000" w:themeColor="text1"/>
          <w:sz w:val="24"/>
          <w:highlight w:val="none"/>
          <w14:textFill>
            <w14:solidFill>
              <w14:schemeClr w14:val="tx1"/>
            </w14:solidFill>
          </w14:textFill>
        </w:rPr>
        <w:t>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24日9:00前</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2DA49C0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2.比选文件获取方式：本次比选公告在四川蜀道物流集团有限公司网站（https://www.shudaowl.com/xwzx/jtyw/index.shtml）和四川蜀物智采平台（https://scjt.tabe.cn/）发布。比选申请人通过指定网站自行下载。</w:t>
      </w:r>
    </w:p>
    <w:p w14:paraId="57EEC916">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7" w:name="_Toc10949"/>
      <w:bookmarkStart w:id="28" w:name="_Toc17101"/>
      <w:bookmarkStart w:id="29" w:name="_Toc6668"/>
      <w:r>
        <w:rPr>
          <w:rFonts w:hint="eastAsia" w:ascii="仿宋_GB2312" w:hAnsi="仿宋_GB2312" w:eastAsia="仿宋_GB2312" w:cs="仿宋_GB2312"/>
          <w:b/>
          <w:bCs/>
          <w:color w:val="000000" w:themeColor="text1"/>
          <w:sz w:val="24"/>
          <w:highlight w:val="none"/>
          <w14:textFill>
            <w14:solidFill>
              <w14:schemeClr w14:val="tx1"/>
            </w14:solidFill>
          </w14:textFill>
        </w:rPr>
        <w:t>六、比选申请书的递交：</w:t>
      </w:r>
      <w:bookmarkEnd w:id="27"/>
      <w:bookmarkEnd w:id="28"/>
      <w:bookmarkEnd w:id="29"/>
    </w:p>
    <w:p w14:paraId="24E344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1.递交比选申请书</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递交</w:t>
      </w:r>
      <w:r>
        <w:rPr>
          <w:rFonts w:hint="eastAsia" w:ascii="仿宋_GB2312" w:hAnsi="仿宋_GB2312" w:eastAsia="仿宋_GB2312" w:cs="仿宋_GB2312"/>
          <w:color w:val="000000" w:themeColor="text1"/>
          <w:sz w:val="24"/>
          <w:highlight w:val="none"/>
          <w14:textFill>
            <w14:solidFill>
              <w14:schemeClr w14:val="tx1"/>
            </w14:solidFill>
          </w14:textFill>
        </w:rPr>
        <w:t>时间</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2月24日9：30至9</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4"/>
          <w:highlight w:val="none"/>
          <w14:textFill>
            <w14:solidFill>
              <w14:schemeClr w14:val="tx1"/>
            </w14:solidFill>
          </w14:textFill>
        </w:rPr>
        <w:t>（北京时间）。</w:t>
      </w:r>
    </w:p>
    <w:p w14:paraId="437A65B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2.递交比选申请书地点：四川省成都市青羊区光华北五路266号青羊总部经济基地2号楼A座6楼。</w:t>
      </w:r>
    </w:p>
    <w:p w14:paraId="5660DA5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3.逾期送达或者未送达指定地点的比选申请书，比选人将不予接收。</w:t>
      </w:r>
    </w:p>
    <w:p w14:paraId="1DA9A30D">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30" w:name="_Toc11556"/>
      <w:bookmarkStart w:id="31" w:name="_Toc3060"/>
      <w:bookmarkStart w:id="32" w:name="_Toc44"/>
      <w:r>
        <w:rPr>
          <w:rFonts w:hint="eastAsia" w:ascii="仿宋_GB2312" w:hAnsi="仿宋_GB2312" w:eastAsia="仿宋_GB2312" w:cs="仿宋_GB2312"/>
          <w:b/>
          <w:bCs/>
          <w:color w:val="000000" w:themeColor="text1"/>
          <w:sz w:val="24"/>
          <w:highlight w:val="none"/>
          <w14:textFill>
            <w14:solidFill>
              <w14:schemeClr w14:val="tx1"/>
            </w14:solidFill>
          </w14:textFill>
        </w:rPr>
        <w:t>七、比选结果</w:t>
      </w:r>
      <w:bookmarkEnd w:id="30"/>
      <w:bookmarkEnd w:id="31"/>
      <w:bookmarkEnd w:id="32"/>
      <w:r>
        <w:rPr>
          <w:rFonts w:hint="eastAsia" w:ascii="仿宋_GB2312" w:hAnsi="仿宋_GB2312" w:eastAsia="仿宋_GB2312" w:cs="仿宋_GB2312"/>
          <w:b/>
          <w:bCs/>
          <w:color w:val="000000" w:themeColor="text1"/>
          <w:sz w:val="24"/>
          <w:highlight w:val="none"/>
          <w14:textFill>
            <w14:solidFill>
              <w14:schemeClr w14:val="tx1"/>
            </w14:solidFill>
          </w14:textFill>
        </w:rPr>
        <w:t>公示</w:t>
      </w:r>
    </w:p>
    <w:p w14:paraId="036326A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33" w:name="_Toc27109"/>
      <w:bookmarkStart w:id="34" w:name="_Toc20715"/>
      <w:bookmarkStart w:id="35" w:name="_Toc3220"/>
      <w:r>
        <w:rPr>
          <w:rFonts w:hint="eastAsia" w:ascii="仿宋_GB2312" w:hAnsi="仿宋_GB2312" w:eastAsia="仿宋_GB2312" w:cs="仿宋_GB2312"/>
          <w:color w:val="000000" w:themeColor="text1"/>
          <w:sz w:val="24"/>
          <w:highlight w:val="none"/>
          <w14:textFill>
            <w14:solidFill>
              <w14:schemeClr w14:val="tx1"/>
            </w14:solidFill>
          </w14:textFill>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3BD4A4FF">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八、联系方式</w:t>
      </w:r>
      <w:bookmarkEnd w:id="33"/>
      <w:bookmarkEnd w:id="34"/>
      <w:bookmarkEnd w:id="35"/>
    </w:p>
    <w:p w14:paraId="6E25387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602286FE">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地址：四川省成都市青羊区光华北五路266号青羊总部经济基地2号楼A座6楼</w:t>
      </w:r>
    </w:p>
    <w:p w14:paraId="33086FAE">
      <w:pPr>
        <w:spacing w:line="4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练先生</w:t>
      </w:r>
    </w:p>
    <w:p w14:paraId="66CDC47A">
      <w:pPr>
        <w:spacing w:line="460" w:lineRule="exact"/>
        <w:ind w:firstLine="480" w:firstLineChars="200"/>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15928350882  </w:t>
      </w:r>
    </w:p>
    <w:p w14:paraId="46AF576A">
      <w:pPr>
        <w:spacing w:line="460" w:lineRule="exact"/>
        <w:jc w:val="righ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69F457">
      <w:pPr>
        <w:wordWrap w:val="0"/>
        <w:spacing w:line="460" w:lineRule="exact"/>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4"/>
          <w:highlight w:val="none"/>
          <w14:textFill>
            <w14:solidFill>
              <w14:schemeClr w14:val="tx1"/>
            </w14:solidFill>
          </w14:textFill>
        </w:rPr>
        <w:t xml:space="preserve">日       </w:t>
      </w:r>
    </w:p>
    <w:p w14:paraId="4712F7AC">
      <w:pPr>
        <w:spacing w:line="46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sectPr>
          <w:footerReference r:id="rId5" w:type="default"/>
          <w:pgSz w:w="11906" w:h="16838"/>
          <w:pgMar w:top="1134" w:right="1134" w:bottom="1134" w:left="1418" w:header="851" w:footer="992" w:gutter="0"/>
          <w:pgNumType w:fmt="numberInDash" w:start="1"/>
          <w:cols w:space="720" w:num="1"/>
          <w:docGrid w:type="lines" w:linePitch="312" w:charSpace="0"/>
        </w:sectPr>
      </w:pPr>
      <w:bookmarkStart w:id="36" w:name="_Toc15543"/>
      <w:bookmarkStart w:id="37" w:name="_Toc10831"/>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38" w:name="_Toc32694"/>
      <w:bookmarkStart w:id="39" w:name="_Toc28084"/>
      <w:bookmarkStart w:id="40" w:name="_Toc8513"/>
      <w:bookmarkStart w:id="41" w:name="_Toc11789"/>
      <w:bookmarkStart w:id="42" w:name="_Toc11060"/>
      <w:bookmarkStart w:id="43" w:name="_Toc2958"/>
      <w:bookmarkStart w:id="44" w:name="_Toc12159"/>
      <w:bookmarkStart w:id="45" w:name="_Toc29401"/>
      <w:bookmarkStart w:id="46" w:name="_Toc18098"/>
      <w:bookmarkStart w:id="47" w:name="_Toc28121"/>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bookmarkStart w:id="48" w:name="_Toc7543"/>
      <w:bookmarkStart w:id="49" w:name="_Toc29372"/>
      <w:bookmarkStart w:id="50" w:name="_Toc28840"/>
      <w:bookmarkStart w:id="51" w:name="_Toc20515"/>
      <w:bookmarkStart w:id="52" w:name="_Toc13191"/>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t>一、比选申请人须知前附表</w:t>
      </w:r>
      <w:bookmarkEnd w:id="48"/>
      <w:bookmarkEnd w:id="49"/>
      <w:bookmarkEnd w:id="50"/>
      <w:bookmarkEnd w:id="51"/>
      <w:bookmarkEnd w:id="52"/>
    </w:p>
    <w:tbl>
      <w:tblPr>
        <w:tblStyle w:val="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2392" w:type="dxa"/>
            <w:vAlign w:val="center"/>
          </w:tcPr>
          <w:p w14:paraId="3149A01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    容</w:t>
            </w:r>
          </w:p>
        </w:tc>
        <w:tc>
          <w:tcPr>
            <w:tcW w:w="6662" w:type="dxa"/>
            <w:vAlign w:val="center"/>
          </w:tcPr>
          <w:p w14:paraId="379BADE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2392" w:type="dxa"/>
            <w:vAlign w:val="center"/>
          </w:tcPr>
          <w:p w14:paraId="258DB5C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p>
        </w:tc>
        <w:tc>
          <w:tcPr>
            <w:tcW w:w="6662" w:type="dxa"/>
            <w:vAlign w:val="center"/>
          </w:tcPr>
          <w:p w14:paraId="65A64BE9">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454FF376">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楼</w:t>
            </w:r>
          </w:p>
          <w:p w14:paraId="11125D04">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练先生  </w:t>
            </w:r>
          </w:p>
          <w:p w14:paraId="1199C943">
            <w:pPr>
              <w:spacing w:line="460" w:lineRule="exact"/>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15928350882</w:t>
            </w:r>
          </w:p>
          <w:p w14:paraId="28DACB98">
            <w:pPr>
              <w:pStyle w:val="2"/>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电子邮箱：</w:t>
            </w:r>
            <w:r>
              <w:rPr>
                <w:rFonts w:hint="eastAsia" w:ascii="仿宋_GB2312" w:hAnsi="仿宋_GB2312" w:eastAsia="仿宋_GB2312" w:cs="仿宋_GB2312"/>
                <w:color w:val="000000" w:themeColor="text1"/>
                <w:sz w:val="24"/>
                <w:highlight w:val="none"/>
                <w14:textFill>
                  <w14:solidFill>
                    <w14:schemeClr w14:val="tx1"/>
                  </w14:solidFill>
                </w14:textFill>
              </w:rPr>
              <w:t>jiaotongwuzi</w:t>
            </w:r>
            <w:r>
              <w:rPr>
                <w:rFonts w:hint="eastAsia" w:ascii="方正小标宋简体" w:hAnsi="方正小标宋简体" w:eastAsia="方正小标宋简体" w:cs="方正小标宋简体"/>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126.com</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2392" w:type="dxa"/>
            <w:vAlign w:val="center"/>
          </w:tcPr>
          <w:p w14:paraId="13E9E14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6662" w:type="dxa"/>
            <w:vAlign w:val="center"/>
          </w:tcPr>
          <w:p w14:paraId="29C337B1">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德达合同纠纷案专项律所公开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2392" w:type="dxa"/>
            <w:vAlign w:val="center"/>
          </w:tcPr>
          <w:p w14:paraId="47988A3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比选申请书的</w:t>
            </w:r>
          </w:p>
          <w:p w14:paraId="375A7EE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印制和签署</w:t>
            </w:r>
          </w:p>
          <w:p w14:paraId="0CC97044">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42CBEE5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比选申请书数量：</w:t>
            </w:r>
            <w:r>
              <w:rPr>
                <w:rFonts w:hint="eastAsia" w:ascii="仿宋_GB2312" w:hAnsi="仿宋_GB2312" w:eastAsia="仿宋_GB2312" w:cs="仿宋_GB2312"/>
                <w:color w:val="000000" w:themeColor="text1"/>
                <w:sz w:val="24"/>
                <w:highlight w:val="none"/>
                <w14:textFill>
                  <w14:solidFill>
                    <w14:schemeClr w14:val="tx1"/>
                  </w14:solidFill>
                </w14:textFill>
              </w:rPr>
              <w:t>正本壹份，副本壹份</w:t>
            </w:r>
          </w:p>
          <w:p w14:paraId="2C113E55">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制作要求：</w:t>
            </w:r>
            <w:r>
              <w:rPr>
                <w:rFonts w:hint="eastAsia" w:ascii="仿宋_GB2312" w:hAnsi="仿宋_GB2312" w:eastAsia="仿宋_GB2312" w:cs="仿宋_GB2312"/>
                <w:color w:val="000000" w:themeColor="text1"/>
                <w:sz w:val="24"/>
                <w:highlight w:val="none"/>
                <w14:textFill>
                  <w14:solidFill>
                    <w14:schemeClr w14:val="tx1"/>
                  </w14:solidFill>
                </w14:textFill>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589752D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p>
        </w:tc>
        <w:tc>
          <w:tcPr>
            <w:tcW w:w="2392" w:type="dxa"/>
            <w:vAlign w:val="center"/>
          </w:tcPr>
          <w:p w14:paraId="48383B86">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14:paraId="65D718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p w14:paraId="39B9676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362A3127">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基础代理费：不超过5万（含本数）</w:t>
            </w:r>
          </w:p>
          <w:p w14:paraId="7C8280FB">
            <w:pPr>
              <w:pStyle w:val="2"/>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风险代理费：不超过15万（含本数）</w:t>
            </w:r>
          </w:p>
          <w:p w14:paraId="1AB1128D">
            <w:pPr>
              <w:pStyle w:val="2"/>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72B24C10">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5688EA2B">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报价方式</w:t>
            </w:r>
          </w:p>
        </w:tc>
        <w:tc>
          <w:tcPr>
            <w:tcW w:w="6662" w:type="dxa"/>
            <w:vAlign w:val="center"/>
          </w:tcPr>
          <w:p w14:paraId="57A84538">
            <w:pPr>
              <w:spacing w:line="460" w:lineRule="exact"/>
              <w:jc w:val="lef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按照“基础代理费+风险代理费”方式进行报价，基础代理费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和</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风险代理费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均以“元”为单位。其中，风险代理费仅按照收回利息、违约金部分进行计价。</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报价费用包括但不限于诉讼阶段仲裁/诉讼一审、二审（若有）、再审（若有）代理费用和执行阶段（若有）代理费用，差旅费（如有）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不包含案件办理过程中涉及的诉讼费、保全费、鉴定费、公告费等第三方收取的相关费用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459A1919">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考察现场、标前</w:t>
            </w:r>
          </w:p>
          <w:p w14:paraId="215E516F">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答疑会</w:t>
            </w:r>
          </w:p>
        </w:tc>
        <w:tc>
          <w:tcPr>
            <w:tcW w:w="6662" w:type="dxa"/>
            <w:vAlign w:val="center"/>
          </w:tcPr>
          <w:p w14:paraId="1A5FCE7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本项目不组织现场考察、标前答疑会</w:t>
            </w:r>
          </w:p>
        </w:tc>
      </w:tr>
      <w:tr w14:paraId="252B9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73CB437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6324D6E0">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p>
        </w:tc>
        <w:tc>
          <w:tcPr>
            <w:tcW w:w="6662" w:type="dxa"/>
            <w:vAlign w:val="center"/>
          </w:tcPr>
          <w:p w14:paraId="5A2F28D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本项目不组织现场陈述</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47B9228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评审方法</w:t>
            </w:r>
          </w:p>
        </w:tc>
        <w:tc>
          <w:tcPr>
            <w:tcW w:w="6662" w:type="dxa"/>
            <w:vAlign w:val="center"/>
          </w:tcPr>
          <w:p w14:paraId="6716CDB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392" w:type="dxa"/>
            <w:vAlign w:val="center"/>
          </w:tcPr>
          <w:p w14:paraId="3EEEC7D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关于比选文件规定的时间释义</w:t>
            </w:r>
          </w:p>
        </w:tc>
        <w:tc>
          <w:tcPr>
            <w:tcW w:w="6662" w:type="dxa"/>
            <w:vAlign w:val="center"/>
          </w:tcPr>
          <w:p w14:paraId="08B6B9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10</w:t>
            </w:r>
          </w:p>
        </w:tc>
        <w:tc>
          <w:tcPr>
            <w:tcW w:w="2392" w:type="dxa"/>
            <w:vAlign w:val="center"/>
          </w:tcPr>
          <w:p w14:paraId="73627980">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参与比选活动保证金</w:t>
            </w:r>
          </w:p>
        </w:tc>
        <w:tc>
          <w:tcPr>
            <w:tcW w:w="6662" w:type="dxa"/>
            <w:vAlign w:val="center"/>
          </w:tcPr>
          <w:p w14:paraId="2ABF5B6C">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本项目不作要求。</w:t>
            </w:r>
          </w:p>
        </w:tc>
      </w:tr>
      <w:tr w14:paraId="7C50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08FD3E2">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11</w:t>
            </w:r>
          </w:p>
        </w:tc>
        <w:tc>
          <w:tcPr>
            <w:tcW w:w="2392" w:type="dxa"/>
            <w:vAlign w:val="center"/>
          </w:tcPr>
          <w:p w14:paraId="480C15E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案件情况</w:t>
            </w:r>
          </w:p>
        </w:tc>
        <w:tc>
          <w:tcPr>
            <w:tcW w:w="6662" w:type="dxa"/>
            <w:vAlign w:val="center"/>
          </w:tcPr>
          <w:p w14:paraId="4747BDC8">
            <w:pPr>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鉴于本案性质为买卖合同纠纷，涉案金额较大，情况复杂，请在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24"/>
                <w:highlight w:val="none"/>
                <w14:textFill>
                  <w14:solidFill>
                    <w14:schemeClr w14:val="tx1"/>
                  </w14:solidFill>
                </w14:textFill>
              </w:rPr>
              <w:t>日</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9：00</w:t>
            </w:r>
            <w:r>
              <w:rPr>
                <w:rFonts w:hint="eastAsia" w:ascii="仿宋_GB2312" w:hAnsi="仿宋_GB2312" w:eastAsia="仿宋_GB2312" w:cs="仿宋_GB2312"/>
                <w:color w:val="000000" w:themeColor="text1"/>
                <w:sz w:val="24"/>
                <w:highlight w:val="none"/>
                <w14:textFill>
                  <w14:solidFill>
                    <w14:schemeClr w14:val="tx1"/>
                  </w14:solidFill>
                </w14:textFill>
              </w:rPr>
              <w:t>前，将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第四章四点“比选申请人的资格要求证明材料承诺函</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反馈至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。该承诺函需加盖</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公章，并由法定代表人或授权代表签字，</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以邮件的形式将扫描件发送至邮箱</w:t>
            </w:r>
            <w:r>
              <w:rPr>
                <w:rFonts w:hint="eastAsia" w:ascii="仿宋_GB2312" w:hAnsi="仿宋_GB2312" w:eastAsia="仿宋_GB2312" w:cs="仿宋_GB2312"/>
                <w:color w:val="000000" w:themeColor="text1"/>
                <w:sz w:val="24"/>
                <w:highlight w:val="none"/>
                <w14:textFill>
                  <w14:solidFill>
                    <w14:schemeClr w14:val="tx1"/>
                  </w14:solidFill>
                </w14:textFill>
              </w:rPr>
              <w:t>jiaotongwuzi</w:t>
            </w:r>
            <w:r>
              <w:rPr>
                <w:rFonts w:hint="eastAsia" w:ascii="方正小标宋简体" w:hAnsi="方正小标宋简体" w:eastAsia="方正小标宋简体" w:cs="方正小标宋简体"/>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126.com</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并将原件附在响应文件中，</w:t>
            </w:r>
            <w:r>
              <w:rPr>
                <w:rFonts w:hint="eastAsia" w:ascii="仿宋_GB2312" w:hAnsi="仿宋_GB2312" w:eastAsia="仿宋_GB2312" w:cs="仿宋_GB2312"/>
                <w:color w:val="000000" w:themeColor="text1"/>
                <w:sz w:val="24"/>
                <w:highlight w:val="none"/>
                <w14:textFill>
                  <w14:solidFill>
                    <w14:schemeClr w14:val="tx1"/>
                  </w14:solidFill>
                </w14:textFill>
              </w:rPr>
              <w:t>以确保案件信息的保密性和安全性。</w:t>
            </w:r>
          </w:p>
          <w:p w14:paraId="7D576E29">
            <w:pPr>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在收到</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签署的承诺函后，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将向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提供详细的案件材料，以便</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深入研究分析。同时，为方便</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进一步了解案件情况，也可</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与比选人联系，</w:t>
            </w:r>
            <w:r>
              <w:rPr>
                <w:rFonts w:hint="eastAsia" w:ascii="仿宋_GB2312" w:hAnsi="仿宋_GB2312" w:eastAsia="仿宋_GB2312" w:cs="仿宋_GB2312"/>
                <w:color w:val="000000" w:themeColor="text1"/>
                <w:sz w:val="24"/>
                <w:highlight w:val="none"/>
                <w14:textFill>
                  <w14:solidFill>
                    <w14:schemeClr w14:val="tx1"/>
                  </w14:solidFill>
                </w14:textFill>
              </w:rPr>
              <w:t>安排相关律师前往</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比选人公司</w:t>
            </w:r>
            <w:r>
              <w:rPr>
                <w:rFonts w:hint="eastAsia" w:ascii="仿宋_GB2312" w:hAnsi="仿宋_GB2312" w:eastAsia="仿宋_GB2312" w:cs="仿宋_GB2312"/>
                <w:color w:val="000000" w:themeColor="text1"/>
                <w:sz w:val="24"/>
                <w:highlight w:val="none"/>
                <w14:textFill>
                  <w14:solidFill>
                    <w14:schemeClr w14:val="tx1"/>
                  </w14:solidFill>
                </w14:textFill>
              </w:rPr>
              <w:t>现场查阅案件材料。</w:t>
            </w:r>
          </w:p>
          <w:p w14:paraId="6981E0B5">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bookmarkStart w:id="53" w:name="_Toc26013"/>
            <w:bookmarkStart w:id="54" w:name="_Toc10423"/>
            <w:bookmarkStart w:id="55" w:name="_Toc29260"/>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12</w:t>
            </w:r>
          </w:p>
        </w:tc>
        <w:tc>
          <w:tcPr>
            <w:tcW w:w="2392" w:type="dxa"/>
            <w:vAlign w:val="center"/>
          </w:tcPr>
          <w:p w14:paraId="0586380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报价有效期</w:t>
            </w:r>
          </w:p>
        </w:tc>
        <w:tc>
          <w:tcPr>
            <w:tcW w:w="6662" w:type="dxa"/>
            <w:vAlign w:val="center"/>
          </w:tcPr>
          <w:p w14:paraId="5DFAF8EF">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报价截止之日起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w:t>
            </w:r>
          </w:p>
        </w:tc>
        <w:tc>
          <w:tcPr>
            <w:tcW w:w="2392" w:type="dxa"/>
            <w:vAlign w:val="center"/>
          </w:tcPr>
          <w:p w14:paraId="3664E4F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签字盖章</w:t>
            </w:r>
          </w:p>
        </w:tc>
        <w:tc>
          <w:tcPr>
            <w:tcW w:w="6662" w:type="dxa"/>
            <w:vAlign w:val="center"/>
          </w:tcPr>
          <w:p w14:paraId="214A7B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14</w:t>
            </w:r>
          </w:p>
        </w:tc>
        <w:tc>
          <w:tcPr>
            <w:tcW w:w="2392" w:type="dxa"/>
            <w:vAlign w:val="center"/>
          </w:tcPr>
          <w:p w14:paraId="39E0409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响应文件的装订</w:t>
            </w:r>
          </w:p>
        </w:tc>
        <w:tc>
          <w:tcPr>
            <w:tcW w:w="6662" w:type="dxa"/>
            <w:vAlign w:val="center"/>
          </w:tcPr>
          <w:p w14:paraId="074BCC6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61FF465">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439A602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响应文件封面的标注</w:t>
            </w:r>
          </w:p>
        </w:tc>
        <w:tc>
          <w:tcPr>
            <w:tcW w:w="6662" w:type="dxa"/>
            <w:vAlign w:val="center"/>
          </w:tcPr>
          <w:p w14:paraId="1C9C26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响应文件正本和副本的封面上均应标明：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r>
              <w:rPr>
                <w:rFonts w:hint="eastAsia" w:ascii="仿宋_GB2312" w:hAnsi="仿宋_GB2312" w:eastAsia="仿宋_GB2312" w:cs="仿宋_GB2312"/>
                <w:color w:val="000000" w:themeColor="text1"/>
                <w:sz w:val="24"/>
                <w:highlight w:val="none"/>
                <w14:textFill>
                  <w14:solidFill>
                    <w14:schemeClr w14:val="tx1"/>
                  </w14:solidFill>
                </w14:textFill>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03CC331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响应文件外层密封袋的标注</w:t>
            </w:r>
          </w:p>
        </w:tc>
        <w:tc>
          <w:tcPr>
            <w:tcW w:w="6662" w:type="dxa"/>
            <w:vAlign w:val="center"/>
          </w:tcPr>
          <w:p w14:paraId="24E06567">
            <w:pPr>
              <w:widowControl w:val="0"/>
              <w:spacing w:line="4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3449013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递交报价文件地点</w:t>
            </w:r>
          </w:p>
        </w:tc>
        <w:tc>
          <w:tcPr>
            <w:tcW w:w="6662" w:type="dxa"/>
            <w:vAlign w:val="center"/>
          </w:tcPr>
          <w:p w14:paraId="5761A27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default" w:ascii="仿宋_GB2312" w:hAnsi="仿宋_GB2312" w:eastAsia="仿宋_GB2312" w:cs="仿宋_GB2312"/>
                <w:color w:val="000000" w:themeColor="text1"/>
                <w:sz w:val="24"/>
                <w:highlight w:val="none"/>
                <w14:textFill>
                  <w14:solidFill>
                    <w14:schemeClr w14:val="tx1"/>
                  </w14:solidFill>
                </w14:textFill>
              </w:rPr>
              <w:t>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sz w:val="24"/>
                <w:highlight w:val="none"/>
                <w14:textFill>
                  <w14:solidFill>
                    <w14:schemeClr w14:val="tx1"/>
                  </w14:solidFill>
                </w14:textFill>
              </w:rPr>
              <w:t>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9324FAA">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4DAAA6F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评审时间和地点</w:t>
            </w:r>
          </w:p>
        </w:tc>
        <w:tc>
          <w:tcPr>
            <w:tcW w:w="6662" w:type="dxa"/>
            <w:vAlign w:val="center"/>
          </w:tcPr>
          <w:p w14:paraId="11EF25A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评审时间：同报价截止时间；</w:t>
            </w:r>
          </w:p>
          <w:p w14:paraId="4AD34E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评审地点：同递交响应文件地点。</w:t>
            </w:r>
          </w:p>
        </w:tc>
      </w:tr>
      <w:tr w14:paraId="3D3C6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7AE85B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392" w:type="dxa"/>
            <w:vAlign w:val="center"/>
          </w:tcPr>
          <w:p w14:paraId="2F25CC6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付款方式</w:t>
            </w:r>
          </w:p>
        </w:tc>
        <w:tc>
          <w:tcPr>
            <w:tcW w:w="6662" w:type="dxa"/>
            <w:vAlign w:val="center"/>
          </w:tcPr>
          <w:p w14:paraId="247171B4">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风险代理费按照比选人收到案件利息、违约金（不含本金）部分等比例支付。比选人收到的案件回款均认定为“先本后息”，详见合同。</w:t>
            </w:r>
          </w:p>
        </w:tc>
      </w:tr>
    </w:tbl>
    <w:p w14:paraId="79DC3BDF">
      <w:pPr>
        <w:spacing w:before="240" w:after="60" w:line="460" w:lineRule="exact"/>
        <w:outlineLvl w:val="1"/>
        <w:rPr>
          <w:rFonts w:hint="eastAsia" w:ascii="仿宋_GB2312" w:hAnsi="仿宋_GB2312" w:eastAsia="仿宋_GB2312" w:cs="仿宋_GB2312"/>
          <w:b/>
          <w:color w:val="000000" w:themeColor="text1"/>
          <w:sz w:val="24"/>
          <w:highlight w:val="none"/>
          <w14:textFill>
            <w14:solidFill>
              <w14:schemeClr w14:val="tx1"/>
            </w14:solidFill>
          </w14:textFill>
        </w:rPr>
      </w:pPr>
      <w:bookmarkStart w:id="56" w:name="_Toc23806"/>
      <w:bookmarkStart w:id="57" w:name="_Toc30748"/>
      <w:bookmarkStart w:id="58" w:name="_Toc7226"/>
    </w:p>
    <w:p w14:paraId="2CDEE32F">
      <w:pPr>
        <w:spacing w:before="240" w:after="60" w:line="460" w:lineRule="exact"/>
        <w:outlineLvl w:val="1"/>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59" w:name="_Toc183582205"/>
      <w:bookmarkStart w:id="60" w:name="_Toc183682342"/>
      <w:bookmarkStart w:id="61" w:name="_Toc15283"/>
      <w:bookmarkStart w:id="62" w:name="_Toc22245"/>
      <w:bookmarkStart w:id="63" w:name="_Toc474326973"/>
      <w:bookmarkStart w:id="64" w:name="_Toc513468977"/>
      <w:bookmarkStart w:id="65" w:name="_Toc444620282"/>
      <w:bookmarkStart w:id="66" w:name="_Toc361325741"/>
      <w:bookmarkStart w:id="67" w:name="_Toc474502513"/>
      <w:bookmarkStart w:id="68" w:name="_Toc13301"/>
      <w:bookmarkStart w:id="69" w:name="_Toc465149293"/>
      <w:bookmarkStart w:id="70" w:name="_Toc480453647"/>
      <w:bookmarkStart w:id="71" w:name="_Toc466391880"/>
      <w:bookmarkStart w:id="72" w:name="_Toc23579"/>
      <w:bookmarkStart w:id="73" w:name="_Toc25528"/>
      <w:bookmarkStart w:id="74" w:name="_Toc362988437"/>
      <w:bookmarkStart w:id="75" w:name="_Toc505261839"/>
      <w:bookmarkStart w:id="76" w:name="_Toc217446034"/>
      <w:bookmarkStart w:id="77" w:name="_Toc14336241"/>
      <w:bookmarkStart w:id="78" w:name="_Toc14948"/>
      <w:bookmarkStart w:id="79" w:name="_Toc361388549"/>
      <w:bookmarkStart w:id="80" w:name="_Toc1430161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w:t>
      </w:r>
      <w:bookmarkEnd w:id="59"/>
      <w:bookmarkEnd w:id="6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本比选文件仅适用于本次比选项目。</w:t>
      </w:r>
    </w:p>
    <w:p w14:paraId="511ECB3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81" w:name="_Toc9946"/>
      <w:bookmarkStart w:id="82" w:name="_Toc7966"/>
      <w:bookmarkStart w:id="83" w:name="_Toc513468978"/>
      <w:bookmarkStart w:id="84" w:name="_Toc14301617"/>
      <w:bookmarkStart w:id="85" w:name="_Toc24301"/>
      <w:bookmarkStart w:id="86" w:name="_Toc16870"/>
      <w:bookmarkStart w:id="87" w:name="_Toc444620283"/>
      <w:bookmarkStart w:id="88" w:name="_Toc474326974"/>
      <w:bookmarkStart w:id="89" w:name="_Toc361325742"/>
      <w:bookmarkStart w:id="90" w:name="_Toc14336242"/>
      <w:bookmarkStart w:id="91" w:name="_Toc361388550"/>
      <w:bookmarkStart w:id="92" w:name="_Toc29183"/>
      <w:bookmarkStart w:id="93" w:name="_Toc13250"/>
      <w:bookmarkStart w:id="94" w:name="_Toc217446035"/>
      <w:bookmarkStart w:id="95" w:name="_Toc474502514"/>
      <w:bookmarkStart w:id="96" w:name="_Toc465149294"/>
      <w:bookmarkStart w:id="97" w:name="_Toc466391881"/>
      <w:bookmarkStart w:id="98" w:name="_Toc480453648"/>
      <w:bookmarkStart w:id="99" w:name="_Toc362988438"/>
      <w:bookmarkStart w:id="100" w:name="_Toc50526184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2.1“比选人”系指本次比选活动的采购方。</w:t>
      </w:r>
    </w:p>
    <w:p w14:paraId="2598F70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01" w:name="_Toc217446036"/>
      <w:bookmarkStart w:id="102" w:name="_Toc217390843"/>
      <w:bookmarkStart w:id="103" w:name="_Toc183682344"/>
      <w:bookmarkStart w:id="104" w:name="_Toc183582207"/>
      <w:bookmarkStart w:id="105" w:name="_Toc474326975"/>
      <w:bookmarkStart w:id="106" w:name="_Toc480453649"/>
      <w:bookmarkStart w:id="107" w:name="_Toc14336243"/>
      <w:bookmarkStart w:id="108" w:name="_Toc14301618"/>
      <w:bookmarkStart w:id="109" w:name="_Toc23605"/>
      <w:bookmarkStart w:id="110" w:name="_Toc469403730"/>
      <w:bookmarkStart w:id="111" w:name="_Toc2091"/>
      <w:bookmarkStart w:id="112" w:name="_Toc32609"/>
      <w:bookmarkStart w:id="113" w:name="_Toc505261841"/>
      <w:bookmarkStart w:id="114" w:name="_Toc30072"/>
      <w:bookmarkStart w:id="115" w:name="_Toc11316"/>
      <w:bookmarkStart w:id="116" w:name="_Toc513468979"/>
      <w:bookmarkStart w:id="117" w:name="_Toc20749"/>
      <w:bookmarkStart w:id="118" w:name="_Toc47450251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3.合格的</w:t>
      </w:r>
      <w:bookmarkEnd w:id="101"/>
      <w:bookmarkEnd w:id="102"/>
      <w:bookmarkEnd w:id="103"/>
      <w:bookmarkEnd w:id="1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ascii="仿宋_GB2312" w:hAnsi="仿宋_GB2312" w:eastAsia="仿宋_GB2312" w:cs="仿宋_GB2312"/>
          <w:color w:val="000000" w:themeColor="text1"/>
          <w:spacing w:val="-4"/>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6.1 本比选文件规定的比选申请人的资格要求</w:t>
      </w:r>
      <w:r>
        <w:rPr>
          <w:rFonts w:hint="eastAsia" w:ascii="仿宋_GB2312" w:hAnsi="仿宋_GB2312" w:eastAsia="仿宋_GB2312" w:cs="仿宋_GB2312"/>
          <w:color w:val="000000" w:themeColor="text1"/>
          <w:spacing w:val="-4"/>
          <w:sz w:val="24"/>
          <w:highlight w:val="none"/>
          <w14:textFill>
            <w14:solidFill>
              <w14:schemeClr w14:val="tx1"/>
            </w14:solidFill>
          </w14:textFill>
        </w:rPr>
        <w:t>。</w:t>
      </w:r>
    </w:p>
    <w:p w14:paraId="155E01A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6.2 遵守国家有关的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、规章和其他政策制度。</w:t>
      </w:r>
    </w:p>
    <w:p w14:paraId="372DAF6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19" w:name="_Toc26743"/>
      <w:bookmarkStart w:id="120" w:name="_Toc14336244"/>
      <w:bookmarkStart w:id="121" w:name="_Toc6617"/>
      <w:bookmarkStart w:id="122" w:name="_Toc217446037"/>
      <w:bookmarkStart w:id="123" w:name="_Toc460"/>
      <w:bookmarkStart w:id="124" w:name="_Toc183582208"/>
      <w:bookmarkStart w:id="125" w:name="_Toc10177"/>
      <w:bookmarkStart w:id="126" w:name="_Toc474326976"/>
      <w:bookmarkStart w:id="127" w:name="_Toc513468980"/>
      <w:bookmarkStart w:id="128" w:name="_Toc14301619"/>
      <w:bookmarkStart w:id="129" w:name="_Toc469403731"/>
      <w:bookmarkStart w:id="130" w:name="_Toc183682345"/>
      <w:bookmarkStart w:id="131" w:name="_Toc31967"/>
      <w:bookmarkStart w:id="132" w:name="_Toc505261842"/>
      <w:bookmarkStart w:id="133" w:name="_Toc474502516"/>
      <w:bookmarkStart w:id="134" w:name="_Toc19314"/>
      <w:bookmarkStart w:id="135" w:name="_Toc48045365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比选申请人参加比选的有关费用由比选申请人自行承担。本次比选不组织</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33C88F2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36" w:name="_Toc11322"/>
      <w:bookmarkStart w:id="137" w:name="_Toc2744"/>
      <w:bookmarkStart w:id="138" w:name="_Toc17385"/>
      <w:bookmarkStart w:id="139" w:name="_Toc5426"/>
      <w:bookmarkStart w:id="140" w:name="_Toc504054389"/>
      <w:bookmarkStart w:id="141" w:name="_Toc29910"/>
      <w:bookmarkStart w:id="142" w:name="_Toc26717"/>
      <w:bookmarkStart w:id="143" w:name="_Toc14336245"/>
      <w:bookmarkStart w:id="144" w:name="_Toc504035834"/>
      <w:bookmarkStart w:id="145" w:name="_Toc22778"/>
      <w:bookmarkStart w:id="146" w:name="_Toc504051941"/>
      <w:bookmarkStart w:id="147" w:name="_Toc14301620"/>
      <w:bookmarkStart w:id="148" w:name="_Toc4788"/>
      <w:bookmarkStart w:id="149" w:name="_Toc32101"/>
      <w:bookmarkStart w:id="150" w:name="_Toc5040545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通过报名邮箱以</w:t>
      </w:r>
      <w:r>
        <w:rPr>
          <w:rFonts w:hint="eastAsia" w:ascii="仿宋_GB2312" w:hAnsi="仿宋_GB2312" w:eastAsia="仿宋_GB2312" w:cs="仿宋_GB2312"/>
          <w:color w:val="000000" w:themeColor="text1"/>
          <w:sz w:val="24"/>
          <w:highlight w:val="none"/>
          <w14:textFill>
            <w14:solidFill>
              <w14:schemeClr w14:val="tx1"/>
            </w14:solidFill>
          </w14:textFill>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51" w:name="_Toc6269"/>
      <w:bookmarkStart w:id="152" w:name="_Toc504054393"/>
      <w:bookmarkStart w:id="153" w:name="_Toc25286"/>
      <w:bookmarkStart w:id="154" w:name="_Toc18304"/>
      <w:bookmarkStart w:id="155" w:name="_Toc14543"/>
      <w:bookmarkStart w:id="156" w:name="_Toc14301622"/>
      <w:bookmarkStart w:id="157" w:name="_Toc504035838"/>
      <w:bookmarkStart w:id="158" w:name="_Toc27212"/>
      <w:bookmarkStart w:id="159" w:name="_Toc504054569"/>
      <w:bookmarkStart w:id="160" w:name="_Toc1599"/>
      <w:bookmarkStart w:id="161" w:name="_Toc30557"/>
      <w:bookmarkStart w:id="162" w:name="_Toc504051945"/>
      <w:bookmarkStart w:id="163" w:name="_Toc27771"/>
      <w:bookmarkStart w:id="164" w:name="_Toc2025"/>
      <w:bookmarkStart w:id="165" w:name="_Toc1433624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63C6698">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66" w:name="_Toc14336248"/>
      <w:bookmarkStart w:id="167" w:name="_Toc14301623"/>
      <w:r>
        <w:rPr>
          <w:rFonts w:hint="eastAsia" w:ascii="仿宋_GB2312" w:hAnsi="仿宋_GB2312" w:eastAsia="仿宋_GB2312" w:cs="仿宋_GB2312"/>
          <w:color w:val="000000" w:themeColor="text1"/>
          <w:sz w:val="24"/>
          <w:highlight w:val="none"/>
          <w14:textFill>
            <w14:solidFill>
              <w14:schemeClr w14:val="tx1"/>
            </w14:solidFill>
          </w14:textFill>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4.2 翻译的简体中文资料与外文资料如果出现差异和矛盾，以简体中文版本为准。</w:t>
      </w:r>
    </w:p>
    <w:p w14:paraId="3DC8FBB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68" w:name="_Toc12988"/>
      <w:bookmarkStart w:id="169" w:name="_Toc17939"/>
      <w:bookmarkStart w:id="170" w:name="_Toc5449"/>
      <w:bookmarkStart w:id="171" w:name="_Toc2039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18F62E5">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72" w:name="_Toc19337"/>
      <w:bookmarkStart w:id="173" w:name="_Toc11001"/>
      <w:bookmarkStart w:id="174" w:name="_Toc14336249"/>
      <w:bookmarkStart w:id="175" w:name="_Toc14301624"/>
      <w:bookmarkStart w:id="176" w:name="_Toc14205"/>
      <w:bookmarkStart w:id="177" w:name="_Toc1582"/>
      <w:r>
        <w:rPr>
          <w:rFonts w:hint="eastAsia" w:ascii="仿宋_GB2312" w:hAnsi="仿宋_GB2312" w:eastAsia="仿宋_GB2312" w:cs="仿宋_GB2312"/>
          <w:color w:val="000000" w:themeColor="text1"/>
          <w:sz w:val="24"/>
          <w:highlight w:val="none"/>
          <w14:textFill>
            <w14:solidFill>
              <w14:schemeClr w14:val="tx1"/>
            </w14:solidFill>
          </w14:textFill>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3D9BC58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6.</w:t>
      </w:r>
      <w:bookmarkStart w:id="178" w:name="_Toc217446049"/>
      <w:bookmarkStart w:id="179" w:name="_Toc183682355"/>
      <w:bookmarkStart w:id="180" w:name="_Toc474326989"/>
      <w:bookmarkStart w:id="181" w:name="_Toc474502529"/>
      <w:bookmarkStart w:id="182" w:name="_Toc444620298"/>
      <w:bookmarkStart w:id="183" w:name="_Toc465149309"/>
      <w:bookmarkStart w:id="184" w:name="_Toc9395"/>
      <w:bookmarkStart w:id="185" w:name="_Toc466391896"/>
      <w:bookmarkStart w:id="186" w:name="_Toc480453663"/>
      <w:bookmarkStart w:id="187" w:name="_Toc505261855"/>
      <w:bookmarkStart w:id="188" w:name="_Toc362988453"/>
      <w:bookmarkStart w:id="189" w:name="_Toc361388565"/>
      <w:bookmarkStart w:id="190" w:name="_Toc183582218"/>
      <w:bookmarkStart w:id="191" w:name="_Toc24845"/>
      <w:bookmarkStart w:id="192" w:name="_Toc513468993"/>
      <w:bookmarkStart w:id="193" w:name="_Toc36132575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ab/>
      </w:r>
    </w:p>
    <w:p w14:paraId="10217A1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94" w:name="_Toc183582224"/>
      <w:bookmarkStart w:id="195" w:name="_Toc513468995"/>
      <w:bookmarkStart w:id="196" w:name="_Toc18346"/>
      <w:bookmarkStart w:id="197" w:name="_Toc217446051"/>
      <w:bookmarkStart w:id="198" w:name="_Toc474326991"/>
      <w:bookmarkStart w:id="199" w:name="_Toc183682361"/>
      <w:bookmarkStart w:id="200" w:name="_Toc6382"/>
      <w:bookmarkStart w:id="201" w:name="_Toc505261857"/>
      <w:bookmarkStart w:id="202" w:name="_Toc26194"/>
      <w:bookmarkStart w:id="203" w:name="_Toc474502531"/>
      <w:bookmarkStart w:id="204" w:name="_Toc308164801"/>
      <w:bookmarkStart w:id="205" w:name="_Toc14336250"/>
      <w:bookmarkStart w:id="206" w:name="_Toc25148"/>
      <w:bookmarkStart w:id="207" w:name="_Toc480453665"/>
      <w:bookmarkStart w:id="208" w:name="_Toc14301625"/>
      <w:bookmarkStart w:id="209" w:name="_Toc29834"/>
      <w:bookmarkStart w:id="210" w:name="_Toc469403746"/>
      <w:bookmarkStart w:id="211" w:name="_Toc1770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1CA4D40">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本项目比选有效期为比选申请书递交截止时间届满后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12" w:name="_Toc183682364"/>
      <w:bookmarkStart w:id="213" w:name="_Toc183582227"/>
      <w:bookmarkStart w:id="214" w:name="_Toc11118"/>
      <w:bookmarkStart w:id="215" w:name="_Toc308164804"/>
      <w:bookmarkStart w:id="216" w:name="_Toc31719"/>
      <w:bookmarkStart w:id="217" w:name="_Toc11976"/>
      <w:bookmarkStart w:id="218" w:name="_Toc513468998"/>
      <w:bookmarkStart w:id="219" w:name="_Toc14301626"/>
      <w:bookmarkStart w:id="220" w:name="_Toc474326994"/>
      <w:bookmarkStart w:id="221" w:name="_Toc18366"/>
      <w:bookmarkStart w:id="222" w:name="_Toc14336251"/>
      <w:bookmarkStart w:id="223" w:name="_Toc480453668"/>
      <w:bookmarkStart w:id="224" w:name="_Toc505261860"/>
      <w:bookmarkStart w:id="225" w:name="_Toc469403749"/>
      <w:bookmarkStart w:id="226" w:name="_Toc4735"/>
      <w:bookmarkStart w:id="227" w:name="_Toc217446054"/>
      <w:bookmarkStart w:id="228" w:name="_Toc474502534"/>
      <w:bookmarkStart w:id="229" w:name="_Toc2831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8.比选申请书的</w:t>
      </w:r>
      <w:bookmarkEnd w:id="212"/>
      <w:bookmarkEnd w:id="21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30" w:name="_Toc183582228"/>
      <w:bookmarkStart w:id="231" w:name="_Toc183682365"/>
      <w:bookmarkStart w:id="232" w:name="_Toc480453669"/>
      <w:bookmarkStart w:id="233" w:name="_Toc474502535"/>
      <w:bookmarkStart w:id="234" w:name="_Toc505261861"/>
      <w:bookmarkStart w:id="235" w:name="_Toc7462"/>
      <w:bookmarkStart w:id="236" w:name="_Toc14336252"/>
      <w:bookmarkStart w:id="237" w:name="_Toc14301627"/>
      <w:bookmarkStart w:id="238" w:name="_Toc9560"/>
      <w:bookmarkStart w:id="239" w:name="_Toc3621"/>
      <w:bookmarkStart w:id="240" w:name="_Toc469403750"/>
      <w:bookmarkStart w:id="241" w:name="_Toc1663"/>
      <w:bookmarkStart w:id="242" w:name="_Toc513468999"/>
      <w:bookmarkStart w:id="243" w:name="_Toc3240"/>
      <w:bookmarkStart w:id="244" w:name="_Toc217446055"/>
      <w:bookmarkStart w:id="245" w:name="_Toc32552"/>
      <w:bookmarkStart w:id="246" w:name="_Toc47432699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9.比选申请书的修改和撤</w:t>
      </w:r>
      <w:bookmarkEnd w:id="230"/>
      <w:bookmarkEnd w:id="23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47" w:name="_Toc480453675"/>
      <w:bookmarkStart w:id="248" w:name="_Toc474502541"/>
      <w:bookmarkStart w:id="249" w:name="_Toc513469005"/>
      <w:bookmarkStart w:id="250" w:name="_Toc14301628"/>
      <w:bookmarkStart w:id="251" w:name="_Toc27592"/>
      <w:bookmarkStart w:id="252" w:name="_Toc474327001"/>
      <w:bookmarkStart w:id="253" w:name="_Toc8913"/>
      <w:bookmarkStart w:id="254" w:name="_Toc14336253"/>
      <w:bookmarkStart w:id="255" w:name="_Toc505261867"/>
      <w:bookmarkStart w:id="256" w:name="_Toc469403753"/>
      <w:bookmarkStart w:id="257" w:name="_Toc10432"/>
      <w:bookmarkStart w:id="258" w:name="_Toc21815"/>
      <w:bookmarkStart w:id="259" w:name="_Toc25628"/>
      <w:bookmarkStart w:id="260" w:name="_Toc2974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中选通知书</w:t>
      </w:r>
      <w:bookmarkEnd w:id="257"/>
      <w:bookmarkEnd w:id="258"/>
      <w:bookmarkEnd w:id="259"/>
      <w:bookmarkEnd w:id="260"/>
    </w:p>
    <w:p w14:paraId="0FD97249">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比选人对确定的中选人发放中选通知书，未中选人不另发通知</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中选通知书为签订合同的依据之一，是合同的有效组成部分。</w:t>
      </w:r>
    </w:p>
    <w:p w14:paraId="272450F0">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61" w:name="_Toc8200"/>
      <w:bookmarkStart w:id="262" w:name="_Toc469403755"/>
      <w:bookmarkStart w:id="263" w:name="_Toc32005"/>
      <w:bookmarkStart w:id="264" w:name="_Toc16953"/>
      <w:bookmarkStart w:id="265" w:name="_Toc17978"/>
      <w:bookmarkStart w:id="266" w:name="_Toc480453677"/>
      <w:bookmarkStart w:id="267" w:name="_Toc30793"/>
      <w:bookmarkStart w:id="268" w:name="_Toc308164811"/>
      <w:bookmarkStart w:id="269" w:name="_Toc505261869"/>
      <w:bookmarkStart w:id="270" w:name="_Toc513469007"/>
      <w:bookmarkStart w:id="271" w:name="_Toc14301629"/>
      <w:bookmarkStart w:id="272" w:name="_Toc474327003"/>
      <w:bookmarkStart w:id="273" w:name="_Toc22962"/>
      <w:bookmarkStart w:id="274" w:name="_Toc14336254"/>
      <w:bookmarkStart w:id="275" w:name="_Toc474502543"/>
      <w:bookmarkStart w:id="276" w:name="_Toc2174460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中选人应在中选通知书发出之日起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4"/>
          <w:highlight w:val="none"/>
          <w14:textFill>
            <w14:solidFill>
              <w14:schemeClr w14:val="tx1"/>
            </w14:solidFill>
          </w14:textFill>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77" w:name="_Toc505261870"/>
      <w:bookmarkStart w:id="278" w:name="_Toc474502544"/>
      <w:bookmarkStart w:id="279" w:name="_Toc16727"/>
      <w:bookmarkStart w:id="280" w:name="_Toc14301630"/>
      <w:bookmarkStart w:id="281" w:name="_Toc9244"/>
      <w:bookmarkStart w:id="282" w:name="_Toc474327004"/>
      <w:bookmarkStart w:id="283" w:name="_Toc469403756"/>
      <w:bookmarkStart w:id="284" w:name="_Toc14336255"/>
      <w:bookmarkStart w:id="285" w:name="_Toc480453678"/>
      <w:bookmarkStart w:id="286" w:name="_Toc18127"/>
      <w:bookmarkStart w:id="287" w:name="_Toc23832"/>
      <w:bookmarkStart w:id="288" w:name="_Toc513469008"/>
      <w:bookmarkStart w:id="289" w:name="_Toc820"/>
      <w:bookmarkStart w:id="290" w:name="_Toc2831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B3F051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本项目不允许分包。</w:t>
      </w:r>
    </w:p>
    <w:p w14:paraId="49192C62">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91" w:name="_Toc505261871"/>
      <w:bookmarkStart w:id="292" w:name="_Toc11503"/>
      <w:bookmarkStart w:id="293" w:name="_Toc480453679"/>
      <w:bookmarkStart w:id="294" w:name="_Toc474502545"/>
      <w:bookmarkStart w:id="295" w:name="_Toc10843"/>
      <w:bookmarkStart w:id="296" w:name="_Toc26320"/>
      <w:bookmarkStart w:id="297" w:name="_Toc10585"/>
      <w:bookmarkStart w:id="298" w:name="_Toc14336256"/>
      <w:bookmarkStart w:id="299" w:name="_Toc22181"/>
      <w:bookmarkStart w:id="300" w:name="_Toc474327005"/>
      <w:bookmarkStart w:id="301" w:name="_Toc14301631"/>
      <w:bookmarkStart w:id="302" w:name="_Toc14666"/>
      <w:bookmarkStart w:id="303" w:name="_Toc469403757"/>
      <w:bookmarkStart w:id="304" w:name="_Toc51346900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9CEC56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中选人转包的，视同拒绝履行采购合同义务，将依法追究法律责任。</w:t>
      </w:r>
    </w:p>
    <w:p w14:paraId="613780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305" w:name="_Toc22161"/>
      <w:bookmarkStart w:id="306" w:name="_Toc480453680"/>
      <w:bookmarkStart w:id="307" w:name="_Toc2586"/>
      <w:bookmarkStart w:id="308" w:name="_Toc474327006"/>
      <w:bookmarkStart w:id="309" w:name="_Toc14301632"/>
      <w:bookmarkStart w:id="310" w:name="_Toc14336257"/>
      <w:bookmarkStart w:id="311" w:name="_Toc6848"/>
      <w:bookmarkStart w:id="312" w:name="_Toc7747"/>
      <w:bookmarkStart w:id="313" w:name="_Toc469403758"/>
      <w:bookmarkStart w:id="314" w:name="_Toc16676"/>
      <w:bookmarkStart w:id="315" w:name="_Toc474502546"/>
      <w:bookmarkStart w:id="316" w:name="_Toc412"/>
      <w:bookmarkStart w:id="317" w:name="_Toc505261872"/>
      <w:bookmarkStart w:id="318" w:name="_Toc51346901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19" w:name="_Toc12575"/>
      <w:bookmarkStart w:id="320" w:name="_Toc21638"/>
      <w:bookmarkStart w:id="321" w:name="_Toc24237"/>
      <w:bookmarkStart w:id="322" w:name="_Toc31275"/>
      <w:bookmarkStart w:id="323" w:name="_Toc21644"/>
      <w:bookmarkStart w:id="324" w:name="_Toc16770"/>
      <w:bookmarkStart w:id="325" w:name="_Toc3622"/>
      <w:bookmarkStart w:id="326" w:name="_Toc19085"/>
      <w:bookmarkStart w:id="327" w:name="_Toc5478"/>
      <w:bookmarkStart w:id="328" w:name="_Toc17862"/>
      <w:bookmarkStart w:id="329" w:name="_Toc7013"/>
      <w:r>
        <w:rPr>
          <w:rFonts w:hint="eastAsia" w:ascii="仿宋_GB2312" w:hAnsi="仿宋_GB2312" w:eastAsia="仿宋_GB2312" w:cs="仿宋_GB2312"/>
          <w:b/>
          <w:bCs/>
          <w:color w:val="000000" w:themeColor="text1"/>
          <w:sz w:val="32"/>
          <w:szCs w:val="32"/>
          <w:highlight w:val="none"/>
          <w14:textFill>
            <w14:solidFill>
              <w14:schemeClr w14:val="tx1"/>
            </w14:solidFill>
          </w14:textFill>
        </w:rPr>
        <w:br w:type="page"/>
      </w:r>
    </w:p>
    <w:p w14:paraId="72ED1E31">
      <w:pPr>
        <w:spacing w:line="460" w:lineRule="exact"/>
        <w:ind w:firstLine="643"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一、依法在中华人民共和国境内设立的律师事务所，持有合法有效律师事务所执业许可证，以及国家法律法规要求的相关从业资质；如分所或分支机构参加比选的，分所或分支机构须获得总所唯一授权；</w:t>
      </w:r>
    </w:p>
    <w:p w14:paraId="4778E957">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color w:val="000000" w:themeColor="text1"/>
          <w:sz w:val="24"/>
          <w:highlight w:val="none"/>
          <w14:textFill>
            <w14:solidFill>
              <w14:schemeClr w14:val="tx1"/>
            </w14:solidFill>
          </w14:textFill>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证明材料2：</w:t>
      </w:r>
      <w:r>
        <w:rPr>
          <w:rFonts w:hint="eastAsia" w:ascii="仿宋_GB2312" w:hAnsi="仿宋_GB2312" w:eastAsia="仿宋_GB2312" w:cs="仿宋_GB2312"/>
          <w:color w:val="000000" w:themeColor="text1"/>
          <w:sz w:val="24"/>
          <w:highlight w:val="none"/>
          <w14:textFill>
            <w14:solidFill>
              <w14:schemeClr w14:val="tx1"/>
            </w14:solidFill>
          </w14:textFill>
        </w:rPr>
        <w:t>提供总所的业务许可证复印件，可以一次授权或总体授权，同一个事务所的多家分支机构不可同时参加比选。</w:t>
      </w:r>
    </w:p>
    <w:p w14:paraId="3CEDF735">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二、人员要求：比选申请人需在四川省内具有常设机构</w: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24"/>
          <w:highlight w:val="none"/>
          <w14:textFill>
            <w14:solidFill>
              <w14:schemeClr w14:val="tx1"/>
            </w14:solidFill>
          </w14:textFill>
        </w:rPr>
        <w:t>能够组建相对固定且不少于3人的律师团队（不含实习律师、律师助理），</w:t>
      </w:r>
      <w:r>
        <w:rPr>
          <w:rFonts w:hint="eastAsia" w:ascii="仿宋_GB2312" w:hAnsi="仿宋_GB2312" w:eastAsia="仿宋_GB2312" w:cs="仿宋_GB2312"/>
          <w:color w:val="000000" w:themeColor="text1"/>
          <w:sz w:val="24"/>
          <w:highlight w:val="none"/>
          <w14:textFill>
            <w14:solidFill>
              <w14:schemeClr w14:val="tx1"/>
            </w14:solidFill>
          </w14:textFill>
        </w:rPr>
        <w:t>律师应具有司法行政主管部门颁发的《律师执业证》，执业时间3年以上，合法有效且年检合格。</w:t>
      </w:r>
    </w:p>
    <w:p w14:paraId="26C68096">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bCs/>
          <w:color w:val="000000" w:themeColor="text1"/>
          <w:sz w:val="24"/>
          <w:highlight w:val="none"/>
          <w14:textFill>
            <w14:solidFill>
              <w14:schemeClr w14:val="tx1"/>
            </w14:solidFill>
          </w14:textFill>
        </w:rPr>
        <w:t>提供证明文件。</w:t>
      </w:r>
    </w:p>
    <w:p w14:paraId="4FA6CC1D">
      <w:pPr>
        <w:spacing w:line="460" w:lineRule="exact"/>
        <w:ind w:firstLine="482" w:firstLineChars="200"/>
        <w:rPr>
          <w:rFonts w:ascii="Calibri" w:hAnsi="Calibri"/>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证明材料2：</w:t>
      </w:r>
      <w:r>
        <w:rPr>
          <w:rFonts w:hint="eastAsia" w:ascii="仿宋_GB2312" w:hAnsi="仿宋_GB2312" w:eastAsia="仿宋_GB2312" w:cs="仿宋_GB2312"/>
          <w:b w:val="0"/>
          <w:bCs/>
          <w:color w:val="000000" w:themeColor="text1"/>
          <w:sz w:val="24"/>
          <w:highlight w:val="none"/>
          <w14:textFill>
            <w14:solidFill>
              <w14:schemeClr w14:val="tx1"/>
            </w14:solidFill>
          </w14:textFill>
        </w:rPr>
        <w:t>提供</w:t>
      </w:r>
      <w:r>
        <w:rPr>
          <w:rFonts w:hint="eastAsia" w:ascii="仿宋_GB2312" w:hAnsi="仿宋_GB2312" w:eastAsia="仿宋_GB2312" w:cs="仿宋_GB2312"/>
          <w:bCs/>
          <w:color w:val="000000" w:themeColor="text1"/>
          <w:sz w:val="24"/>
          <w:highlight w:val="none"/>
          <w14:textFill>
            <w14:solidFill>
              <w14:schemeClr w14:val="tx1"/>
            </w14:solidFill>
          </w14:textFill>
        </w:rPr>
        <w:t>法律顾问团队的具体情况，包含团队负责人及主要成员的基本信息等。</w:t>
      </w:r>
    </w:p>
    <w:p w14:paraId="1BA50E8A">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三、信誉要求：</w:t>
      </w:r>
      <w:r>
        <w:rPr>
          <w:rFonts w:hint="eastAsia" w:ascii="仿宋_GB2312" w:hAnsi="仿宋_GB2312" w:eastAsia="仿宋_GB2312" w:cs="仿宋_GB2312"/>
          <w:color w:val="000000" w:themeColor="text1"/>
          <w:sz w:val="24"/>
          <w:highlight w:val="none"/>
          <w14:textFill>
            <w14:solidFill>
              <w14:schemeClr w14:val="tx1"/>
            </w14:solidFill>
          </w14:textFill>
        </w:rPr>
        <w:t>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r>
        <w:rPr>
          <w:rFonts w:hint="eastAsia" w:ascii="仿宋_GB2312" w:hAnsi="仿宋_GB2312" w:eastAsia="仿宋_GB2312" w:cs="仿宋_GB2312"/>
          <w:color w:val="000000" w:themeColor="text1"/>
          <w:sz w:val="24"/>
          <w:highlight w:val="none"/>
          <w14:textFill>
            <w14:solidFill>
              <w14:schemeClr w14:val="tx1"/>
            </w14:solidFill>
          </w14:textFill>
        </w:rPr>
        <w:t>和律师协会的行业处分，最近3年内提供的法律服务未因重大执业质量等问题受到省国资委的通报</w:t>
      </w:r>
      <w:r>
        <w:rPr>
          <w:rFonts w:hint="eastAsia" w:ascii="仿宋_GB2312" w:hAnsi="仿宋_GB2312" w:eastAsia="仿宋_GB2312" w:cs="仿宋_GB2312"/>
          <w:bCs/>
          <w:color w:val="000000" w:themeColor="text1"/>
          <w:sz w:val="24"/>
          <w:highlight w:val="none"/>
          <w14:textFill>
            <w14:solidFill>
              <w14:schemeClr w14:val="tx1"/>
            </w14:solidFill>
          </w14:textFill>
        </w:rPr>
        <w:t>；</w:t>
      </w:r>
    </w:p>
    <w:p w14:paraId="5CC3B7BA">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bCs/>
          <w:color w:val="000000" w:themeColor="text1"/>
          <w:sz w:val="24"/>
          <w:highlight w:val="none"/>
          <w14:textFill>
            <w14:solidFill>
              <w14:schemeClr w14:val="tx1"/>
            </w14:solidFill>
          </w14:textFill>
        </w:rPr>
        <w:t>相关网站查询截图。</w:t>
      </w:r>
    </w:p>
    <w:p w14:paraId="2F673C0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四、财务要求：</w:t>
      </w:r>
      <w:r>
        <w:rPr>
          <w:rFonts w:hint="eastAsia" w:ascii="仿宋_GB2312" w:hAnsi="仿宋_GB2312" w:eastAsia="仿宋_GB2312" w:cs="仿宋_GB2312"/>
          <w:color w:val="000000" w:themeColor="text1"/>
          <w:sz w:val="24"/>
          <w:highlight w:val="none"/>
          <w14:textFill>
            <w14:solidFill>
              <w14:schemeClr w14:val="tx1"/>
            </w14:solidFill>
          </w14:textFill>
        </w:rPr>
        <w:t>财务状况良好，近年财务报表无亏损；</w:t>
      </w:r>
    </w:p>
    <w:p w14:paraId="08BDAEBE">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提供最近年度经审计的年度财务审计报告。</w:t>
      </w:r>
    </w:p>
    <w:p w14:paraId="0B5D7F2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提供承诺函。</w:t>
      </w:r>
    </w:p>
    <w:p w14:paraId="63DAD55B">
      <w:pPr>
        <w:rPr>
          <w:rFonts w:ascii="仿宋_GB2312" w:hAnsi="仿宋_GB2312" w:eastAsia="仿宋_GB2312" w:cs="仿宋_GB2312"/>
          <w:color w:val="000000" w:themeColor="text1"/>
          <w:sz w:val="24"/>
          <w:highlight w:val="none"/>
          <w14:textFill>
            <w14:solidFill>
              <w14:schemeClr w14:val="tx1"/>
            </w14:solidFill>
          </w14:textFill>
        </w:rPr>
        <w:sectPr>
          <w:footerReference r:id="rId6" w:type="default"/>
          <w:pgSz w:w="11906" w:h="16838"/>
          <w:pgMar w:top="1440" w:right="1800" w:bottom="1440" w:left="1800" w:header="851" w:footer="992" w:gutter="0"/>
          <w:pgNumType w:fmt="numberInDash"/>
          <w:cols w:space="720" w:num="1"/>
          <w:docGrid w:type="lines" w:linePitch="312" w:charSpace="0"/>
        </w:sectPr>
      </w:pPr>
      <w:bookmarkStart w:id="330" w:name="_Toc25368"/>
      <w:bookmarkStart w:id="331" w:name="_Toc31452"/>
    </w:p>
    <w:p w14:paraId="201DB634">
      <w:pPr>
        <w:spacing w:after="156" w:afterLines="50" w:line="46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32" w:name="_Toc11356"/>
      <w:bookmarkStart w:id="333" w:name="_Toc302"/>
      <w:bookmarkStart w:id="334" w:name="_Toc2113"/>
      <w:bookmarkStart w:id="335" w:name="_Toc26622"/>
      <w:bookmarkStart w:id="336" w:name="_Toc27539"/>
      <w:bookmarkStart w:id="337" w:name="_Toc21489"/>
      <w:bookmarkStart w:id="338" w:name="_Toc6072"/>
      <w:bookmarkStart w:id="339" w:name="_Toc2868"/>
      <w:bookmarkStart w:id="340" w:name="_Toc22600"/>
      <w:bookmarkStart w:id="341" w:name="_Toc9510"/>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说明：</w:t>
      </w:r>
    </w:p>
    <w:p w14:paraId="78E04C53">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比选申请书应按规定签署、盖章。</w:t>
      </w:r>
    </w:p>
    <w:p w14:paraId="4F77DE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本章所附格式大小只是范例，比选申请人可根据自己的实际情况进行调整。</w:t>
      </w:r>
    </w:p>
    <w:p w14:paraId="580CD8A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br w:type="page"/>
      </w:r>
      <w:bookmarkStart w:id="342" w:name="_Toc5206"/>
      <w:bookmarkStart w:id="343" w:name="_Toc22771"/>
      <w:bookmarkStart w:id="344" w:name="_Toc11259"/>
      <w:bookmarkStart w:id="345" w:name="_Toc24031"/>
      <w:bookmarkStart w:id="346" w:name="_Toc7986"/>
      <w:r>
        <w:rPr>
          <w:rFonts w:hint="eastAsia" w:ascii="仿宋_GB2312" w:hAnsi="仿宋_GB2312" w:eastAsia="仿宋_GB2312" w:cs="仿宋_GB2312"/>
          <w:b/>
          <w:bCs/>
          <w:color w:val="000000" w:themeColor="text1"/>
          <w:sz w:val="30"/>
          <w:szCs w:val="30"/>
          <w:highlight w:val="none"/>
          <w14:textFill>
            <w14:solidFill>
              <w14:schemeClr w14:val="tx1"/>
            </w14:solidFill>
          </w14:textFill>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7E96169F">
      <w:pPr>
        <w:spacing w:line="460" w:lineRule="exact"/>
        <w:jc w:val="center"/>
        <w:rPr>
          <w:rFonts w:hint="default" w:ascii="仿宋_GB2312" w:hAnsi="仿宋_GB2312" w:eastAsia="仿宋_GB2312" w:cs="仿宋_GB2312"/>
          <w:b/>
          <w:color w:val="000000" w:themeColor="text1"/>
          <w:sz w:val="30"/>
          <w:szCs w:val="30"/>
          <w:highlight w:val="none"/>
          <w:u w:val="single"/>
          <w:lang w:val="en-US"/>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四川省交通物资有限责任公司</w:t>
      </w:r>
    </w:p>
    <w:p w14:paraId="067DAB47">
      <w:pPr>
        <w:spacing w:line="460" w:lineRule="exact"/>
        <w:jc w:val="cente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公开</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选聘项目</w:t>
      </w:r>
    </w:p>
    <w:p w14:paraId="0DB0AC06">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39C56EA">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154D4B2">
      <w:pPr>
        <w:pStyle w:val="2"/>
        <w:rPr>
          <w:color w:val="000000" w:themeColor="text1"/>
          <w14:textFill>
            <w14:solidFill>
              <w14:schemeClr w14:val="tx1"/>
            </w14:solidFill>
          </w14:textFill>
        </w:rPr>
      </w:pPr>
    </w:p>
    <w:p w14:paraId="679D8C17">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B0C3D94">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5E070E8">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7" w:name="_Toc29810"/>
      <w:r>
        <w:rPr>
          <w:rFonts w:hint="eastAsia" w:ascii="仿宋_GB2312" w:hAnsi="仿宋_GB2312" w:eastAsia="仿宋_GB2312" w:cs="仿宋_GB2312"/>
          <w:b/>
          <w:color w:val="000000" w:themeColor="text1"/>
          <w:sz w:val="30"/>
          <w:szCs w:val="30"/>
          <w:highlight w:val="none"/>
          <w14:textFill>
            <w14:solidFill>
              <w14:schemeClr w14:val="tx1"/>
            </w14:solidFill>
          </w14:textFill>
        </w:rPr>
        <w:t>比选申请书</w:t>
      </w:r>
      <w:bookmarkEnd w:id="347"/>
    </w:p>
    <w:p w14:paraId="1CE25EDF">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0485A2C7">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4A502A84">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项目编号：）</w:t>
      </w:r>
    </w:p>
    <w:p w14:paraId="484A86ED">
      <w:pPr>
        <w:spacing w:line="460" w:lineRule="exact"/>
        <w:rPr>
          <w:rFonts w:ascii="仿宋_GB2312" w:hAnsi="仿宋_GB2312" w:eastAsia="仿宋_GB2312" w:cs="仿宋_GB2312"/>
          <w:color w:val="000000" w:themeColor="text1"/>
          <w:sz w:val="30"/>
          <w:szCs w:val="30"/>
          <w:highlight w:val="none"/>
          <w14:textFill>
            <w14:solidFill>
              <w14:schemeClr w14:val="tx1"/>
            </w14:solidFill>
          </w14:textFill>
        </w:rPr>
      </w:pPr>
    </w:p>
    <w:p w14:paraId="52D0E0FD">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2581958D">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 xml:space="preserve">比选申请人：    </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全称并加盖公章</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p>
    <w:p w14:paraId="46675148">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联系人：</w:t>
      </w:r>
    </w:p>
    <w:p w14:paraId="6EDB3D41">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联系电话：</w:t>
      </w:r>
    </w:p>
    <w:p w14:paraId="333B7E6B">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40F22D13">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7D3C5020">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17881B81">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8" w:name="_Toc7456"/>
      <w:r>
        <w:rPr>
          <w:rFonts w:hint="eastAsia" w:ascii="仿宋_GB2312" w:hAnsi="仿宋_GB2312" w:eastAsia="仿宋_GB2312" w:cs="仿宋_GB2312"/>
          <w:b/>
          <w:color w:val="000000" w:themeColor="text1"/>
          <w:sz w:val="30"/>
          <w:szCs w:val="30"/>
          <w:highlight w:val="none"/>
          <w14:textFill>
            <w14:solidFill>
              <w14:schemeClr w14:val="tx1"/>
            </w14:solidFill>
          </w14:textFill>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br w:type="page"/>
      </w:r>
      <w:bookmarkStart w:id="349" w:name="_Toc9662"/>
      <w:bookmarkStart w:id="350" w:name="_Toc10022"/>
      <w:bookmarkStart w:id="351" w:name="_Toc16887"/>
      <w:bookmarkStart w:id="352" w:name="_Toc12107"/>
      <w:bookmarkStart w:id="353" w:name="_Toc4068"/>
      <w:bookmarkStart w:id="354" w:name="_Toc2677"/>
      <w:bookmarkStart w:id="355" w:name="_Toc30337"/>
      <w:bookmarkStart w:id="356" w:name="_Toc10661"/>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二、比选申请函</w:t>
      </w:r>
      <w:bookmarkEnd w:id="349"/>
      <w:bookmarkEnd w:id="350"/>
      <w:bookmarkEnd w:id="351"/>
    </w:p>
    <w:p w14:paraId="6E8CBB07">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0AEB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我方全面研究了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选聘项目”比选文件，决定参加贵单位组织的本项目比选活动。我方授权（姓名、职务）代表我方</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（比选申请人单位的名称）全权处理本项目比选活动的有关事宜。在此提交的比选申请文件，正本一份，副本一份。包括如下内容：</w:t>
      </w:r>
    </w:p>
    <w:p w14:paraId="647CD2AE">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（一）比选申请书；负责人本人身份证复印件。如果有委托代理人的，应同时附负责人授权书、负责人身份复印件、委托代理人身份证复印件；</w:t>
      </w:r>
    </w:p>
    <w:p w14:paraId="61E796F4">
      <w:pPr>
        <w:spacing w:line="4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（二）团队构成，团队负责人及成员简介及其相关资格证书的复印件； </w:t>
      </w:r>
    </w:p>
    <w:p w14:paraId="6F18D8FC">
      <w:pPr>
        <w:spacing w:line="460" w:lineRule="exact"/>
        <w:ind w:firstLine="48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三）服务方案；</w:t>
      </w:r>
    </w:p>
    <w:p w14:paraId="383AC78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）比选报价；</w:t>
      </w:r>
    </w:p>
    <w:p w14:paraId="50A158C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）律师事务所执业许可证副本、相关资质复印件；</w:t>
      </w:r>
    </w:p>
    <w:p w14:paraId="3CC33F2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）本文件第三章提到的相关证明文件；</w:t>
      </w:r>
    </w:p>
    <w:p w14:paraId="13AF2A7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24"/>
          <w:highlight w:val="none"/>
          <w14:textFill>
            <w14:solidFill>
              <w14:schemeClr w14:val="tx1"/>
            </w14:solidFill>
          </w14:textFill>
        </w:rPr>
        <w:t>）承诺函；</w:t>
      </w:r>
    </w:p>
    <w:p w14:paraId="3575D56D">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24"/>
          <w:highlight w:val="none"/>
          <w14:textFill>
            <w14:solidFill>
              <w14:schemeClr w14:val="tx1"/>
            </w14:solidFill>
          </w14:textFill>
        </w:rPr>
        <w:t>）202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年度审计报告；</w:t>
      </w:r>
    </w:p>
    <w:p w14:paraId="65FF862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已完全</w:t>
      </w:r>
      <w:r>
        <w:rPr>
          <w:rFonts w:hint="eastAsia" w:ascii="仿宋_GB2312" w:hAnsi="仿宋_GB2312" w:eastAsia="仿宋_GB2312" w:cs="仿宋_GB2312"/>
          <w:color w:val="000000" w:themeColor="text1"/>
          <w:sz w:val="24"/>
          <w:highlight w:val="none"/>
          <w14:textFill>
            <w14:solidFill>
              <w14:schemeClr w14:val="tx1"/>
            </w14:solidFill>
          </w14:textFill>
        </w:rPr>
        <w:t>明白比选文件的所有条款要求，并重申以下几点：</w:t>
      </w:r>
    </w:p>
    <w:p w14:paraId="3324DD8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我方决定参加此次比选项目的法律服务工作并已经实施全部有关服务的比选报价及详细预算。</w:t>
      </w:r>
    </w:p>
    <w:p w14:paraId="03D243F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（二）我方了解并知悉比选文件第五章“项目需求及服务、团队等相关要求”所列明的内容并进行</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完全/部分 </w:t>
      </w:r>
      <w:r>
        <w:rPr>
          <w:rFonts w:hint="eastAsia" w:ascii="仿宋_GB2312" w:hAnsi="仿宋_GB2312" w:eastAsia="仿宋_GB2312" w:cs="仿宋_GB2312"/>
          <w:color w:val="000000" w:themeColor="text1"/>
          <w:sz w:val="24"/>
          <w:highlight w:val="none"/>
          <w14:textFill>
            <w14:solidFill>
              <w14:schemeClr w14:val="tx1"/>
            </w14:solidFill>
          </w14:textFill>
        </w:rPr>
        <w:t>响应，其中</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项我单位无法响应（如有请列明序号）。</w:t>
      </w:r>
    </w:p>
    <w:p w14:paraId="7B21194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本比选申请文件的有效期至比选截止日后</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天有效，如中选，有效期将延至合同终止日止。</w:t>
      </w:r>
    </w:p>
    <w:p w14:paraId="2CF1F9C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四</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我方已详细研究了比选文件的所有内容包括修正文件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和所有已提供的参考资料以及有关附件并完全明白。我方放弃在此方面提出含糊意见或误解的一切权力。</w:t>
      </w:r>
    </w:p>
    <w:p w14:paraId="7FAB8E2F">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五</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我方同意按照贵方可能提出的要求而提供与比选有关的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任何其他</w:t>
      </w:r>
      <w:r>
        <w:rPr>
          <w:rFonts w:hint="eastAsia" w:ascii="仿宋_GB2312" w:hAnsi="仿宋_GB2312" w:eastAsia="仿宋_GB2312" w:cs="仿宋_GB2312"/>
          <w:color w:val="000000" w:themeColor="text1"/>
          <w:sz w:val="24"/>
          <w:highlight w:val="none"/>
          <w14:textFill>
            <w14:solidFill>
              <w14:schemeClr w14:val="tx1"/>
            </w14:solidFill>
          </w14:textFill>
        </w:rPr>
        <w:t>数据或信息。</w:t>
      </w:r>
    </w:p>
    <w:p w14:paraId="29183DF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我方理解贵方不一定接受最低比选报价或任何贵方可能收到的比选申请。</w:t>
      </w:r>
    </w:p>
    <w:p w14:paraId="73EFF88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七</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我方如果中选，将保证履行比选文件以及比选文件修改书</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中全部责任和义务，按质、按量、按期完成任务。</w:t>
      </w:r>
    </w:p>
    <w:p w14:paraId="4B301C6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八</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所有与本次比选有关的函件请发往下列地址：</w:t>
      </w:r>
    </w:p>
    <w:p w14:paraId="1BF9E833">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地    址：  </w:t>
      </w:r>
    </w:p>
    <w:p w14:paraId="6CCDBBA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邮政编码：          电话：         传真：  </w:t>
      </w:r>
    </w:p>
    <w:p w14:paraId="6D470D04">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F86EF74">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参选机构（律所公章）</w:t>
      </w:r>
    </w:p>
    <w:p w14:paraId="26EA5952">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法定代表姓名：             </w:t>
      </w:r>
    </w:p>
    <w:p w14:paraId="4CDB832D">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        务：</w:t>
      </w:r>
    </w:p>
    <w:p w14:paraId="0FC5D754">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授权代表姓名（签名或盖章）</w:t>
      </w:r>
    </w:p>
    <w:p w14:paraId="2D4BE74B">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参选机构地址：</w:t>
      </w:r>
    </w:p>
    <w:p w14:paraId="47F248E1">
      <w:pPr>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p>
    <w:p w14:paraId="0612D5B8">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w:t>
      </w:r>
    </w:p>
    <w:p w14:paraId="671B9045">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D77FDD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2642DF5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D2A862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14DD0FB">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0E35218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863187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93DD04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1B0E37A">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3C3614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31CABC4A">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比选申请人根据自身情况在比选申请书中提供（1）或（2）。</w:t>
      </w:r>
    </w:p>
    <w:p w14:paraId="7F5DA6D1">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p>
    <w:p w14:paraId="4296A9F7">
      <w:pPr>
        <w:spacing w:line="460" w:lineRule="exact"/>
        <w:ind w:firstLine="602"/>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7" w:name="_Toc24911"/>
      <w:r>
        <w:rPr>
          <w:rFonts w:hint="eastAsia" w:ascii="仿宋_GB2312" w:hAnsi="仿宋_GB2312" w:eastAsia="仿宋_GB2312" w:cs="仿宋_GB2312"/>
          <w:b/>
          <w:color w:val="000000" w:themeColor="text1"/>
          <w:sz w:val="24"/>
          <w:highlight w:val="none"/>
          <w14:textFill>
            <w14:solidFill>
              <w14:schemeClr w14:val="tx1"/>
            </w14:solidFill>
          </w14:textFill>
        </w:rPr>
        <w:t>（1）法定代表人证明</w:t>
      </w:r>
      <w:bookmarkEnd w:id="357"/>
    </w:p>
    <w:p w14:paraId="2E86FB4B">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（仅在法定代表人参加比选时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60CDDED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律师事务所名称：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2110E9D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单位性质：</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CD33DB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A2AEE3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成立时间：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240129E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经营期限：</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3CFB13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性别：</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年龄：</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职务：</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E16F026">
      <w:pPr>
        <w:spacing w:line="460" w:lineRule="exact"/>
        <w:ind w:firstLine="48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8731A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（比选申请人）的法定代表人。</w:t>
      </w:r>
    </w:p>
    <w:p w14:paraId="397B0A15">
      <w:pPr>
        <w:spacing w:line="460" w:lineRule="exact"/>
        <w:ind w:firstLine="960" w:firstLineChars="4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特此证明。</w:t>
      </w:r>
    </w:p>
    <w:p w14:paraId="179662B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047B2765">
      <w:pPr>
        <w:wordWrap w:val="0"/>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（盖单位公章）</w:t>
      </w:r>
    </w:p>
    <w:p w14:paraId="572E21F5">
      <w:pPr>
        <w:spacing w:line="460" w:lineRule="exact"/>
        <w:ind w:firstLine="5160" w:firstLineChars="2150"/>
        <w:rPr>
          <w:rFonts w:ascii="仿宋_GB2312" w:hAnsi="仿宋_GB2312" w:eastAsia="仿宋_GB2312" w:cs="仿宋_GB2312"/>
          <w:color w:val="000000" w:themeColor="text1"/>
          <w:sz w:val="24"/>
          <w:highlight w:val="none"/>
          <w:u w:val="single"/>
          <w14:textFill>
            <w14:solidFill>
              <w14:schemeClr w14:val="tx1"/>
            </w14:solidFill>
          </w14:textFill>
        </w:rPr>
      </w:pPr>
    </w:p>
    <w:p w14:paraId="453C705C">
      <w:pPr>
        <w:spacing w:line="460" w:lineRule="exact"/>
        <w:ind w:firstLine="4200" w:firstLineChars="175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648CB047">
      <w:pPr>
        <w:tabs>
          <w:tab w:val="left" w:pos="8280"/>
        </w:tabs>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附法定代表人身份证复印件。</w:t>
      </w:r>
    </w:p>
    <w:p w14:paraId="231A970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CDE90AA">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5A998211">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354F3CC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094D04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01880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1433650D">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98F6EA3">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0DD06F9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878C7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D531EA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210D8A97">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8" w:name="_Toc10373"/>
      <w:r>
        <w:rPr>
          <w:rFonts w:hint="eastAsia" w:ascii="仿宋_GB2312" w:hAnsi="仿宋_GB2312" w:eastAsia="仿宋_GB2312" w:cs="仿宋_GB2312"/>
          <w:b/>
          <w:color w:val="000000" w:themeColor="text1"/>
          <w:sz w:val="24"/>
          <w:highlight w:val="none"/>
          <w14:textFill>
            <w14:solidFill>
              <w14:schemeClr w14:val="tx1"/>
            </w14:solidFill>
          </w14:textFill>
        </w:rPr>
        <w:t>（2）法定代表人委托书</w:t>
      </w:r>
      <w:bookmarkEnd w:id="358"/>
    </w:p>
    <w:p w14:paraId="0FAA07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75B99E09">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45529C6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本授权委托书声明：我</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的法定代表人，现授权</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为我公司</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委托代理人，以本所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的名义参加“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委托代理人无转委托权。特此委托。</w:t>
      </w:r>
    </w:p>
    <w:p w14:paraId="63D1D10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委托权限：特别授权</w:t>
      </w:r>
    </w:p>
    <w:p w14:paraId="38C55E58">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4EAB1F3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E1FC703">
      <w:pPr>
        <w:spacing w:line="460" w:lineRule="exact"/>
        <w:jc w:val="center"/>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被授权人（签字）：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673FDA6">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F2C589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后附法定代表人和被授权人的身份证复印件。</w:t>
      </w:r>
    </w:p>
    <w:p w14:paraId="6233D62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5F69765">
      <w:pPr>
        <w:spacing w:line="460" w:lineRule="exact"/>
        <w:ind w:firstLine="3720" w:firstLineChars="155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2B22773">
      <w:pPr>
        <w:spacing w:line="460" w:lineRule="exact"/>
        <w:ind w:firstLine="3120" w:firstLineChars="13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   年   月    日</w:t>
      </w:r>
    </w:p>
    <w:p w14:paraId="4BDFD27F">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59" w:name="_Toc9094"/>
      <w:bookmarkStart w:id="360" w:name="_Toc15612"/>
      <w:bookmarkStart w:id="361" w:name="_Toc14006"/>
      <w:bookmarkStart w:id="362" w:name="_Toc6335"/>
      <w:bookmarkStart w:id="363" w:name="_Toc21876"/>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函</w:t>
      </w:r>
    </w:p>
    <w:p w14:paraId="4DF54F89">
      <w:pPr>
        <w:spacing w:line="460" w:lineRule="exact"/>
        <w:rPr>
          <w:rFonts w:hint="eastAsia" w:ascii="仿宋_GB2312" w:hAnsi="仿宋_GB2312" w:eastAsia="仿宋_GB2312" w:cs="仿宋_GB2312"/>
          <w:b/>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3D04FC04">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本单位自愿参加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1.同意比选文件中的有关规定，并按照贵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要求的与比选有关的一切数据、情况和资料等。</w:t>
      </w:r>
    </w:p>
    <w:p w14:paraId="4180B14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3.本单位如中选，保证按照比选文件的承诺与贵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签订服务合同。</w:t>
      </w:r>
    </w:p>
    <w:p w14:paraId="54C34A05">
      <w:pPr>
        <w:spacing w:line="4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4.无论本</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次选聘</w:t>
      </w:r>
      <w:r>
        <w:rPr>
          <w:rFonts w:hint="eastAsia" w:ascii="仿宋_GB2312" w:hAnsi="仿宋_GB2312" w:eastAsia="仿宋_GB2312" w:cs="仿宋_GB2312"/>
          <w:color w:val="000000" w:themeColor="text1"/>
          <w:sz w:val="24"/>
          <w:highlight w:val="none"/>
          <w14:textFill>
            <w14:solidFill>
              <w14:schemeClr w14:val="tx1"/>
            </w14:solidFill>
          </w14:textFill>
        </w:rPr>
        <w:t>中选或者落选，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贵司发送至本单位邮箱：</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中的</w:t>
      </w:r>
      <w:r>
        <w:rPr>
          <w:rFonts w:hint="eastAsia" w:ascii="仿宋_GB2312" w:hAnsi="仿宋_GB2312" w:eastAsia="仿宋_GB2312" w:cs="仿宋_GB2312"/>
          <w:color w:val="000000" w:themeColor="text1"/>
          <w:sz w:val="24"/>
          <w:highlight w:val="none"/>
          <w14:textFill>
            <w14:solidFill>
              <w14:schemeClr w14:val="tx1"/>
            </w14:solidFill>
          </w14:textFill>
        </w:rPr>
        <w:t>贵司与</w:t>
      </w:r>
      <w:bookmarkStart w:id="443" w:name="_GoBack"/>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德达交通建设发展集团有限公司</w:t>
      </w:r>
      <w:bookmarkEnd w:id="443"/>
      <w:r>
        <w:rPr>
          <w:rFonts w:hint="eastAsia" w:ascii="仿宋_GB2312" w:hAnsi="仿宋_GB2312" w:eastAsia="仿宋_GB2312" w:cs="仿宋_GB2312"/>
          <w:color w:val="000000" w:themeColor="text1"/>
          <w:sz w:val="24"/>
          <w:highlight w:val="none"/>
          <w14:textFill>
            <w14:solidFill>
              <w14:schemeClr w14:val="tx1"/>
            </w14:solidFill>
          </w14:textFill>
        </w:rPr>
        <w:t>所有涉案材料，将秉承诚实信用原则，充分保护贵公司利益，承诺严格对涉案材料进行保密，未经贵司</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24"/>
          <w:highlight w:val="none"/>
          <w14:textFill>
            <w14:solidFill>
              <w14:schemeClr w14:val="tx1"/>
            </w14:solidFill>
          </w14:textFill>
        </w:rPr>
        <w:t>同意</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与其他选聘</w:t>
      </w:r>
      <w:r>
        <w:rPr>
          <w:rFonts w:hint="eastAsia" w:ascii="仿宋_GB2312" w:hAnsi="仿宋_GB2312" w:eastAsia="仿宋_GB2312" w:cs="仿宋_GB2312"/>
          <w:color w:val="000000" w:themeColor="text1"/>
          <w:sz w:val="24"/>
          <w:highlight w:val="none"/>
          <w14:textFill>
            <w14:solidFill>
              <w14:schemeClr w14:val="tx1"/>
            </w14:solidFill>
          </w14:textFill>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（单位公章）</w:t>
      </w:r>
    </w:p>
    <w:p w14:paraId="25AB38E8">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4" w:name="_Toc12441"/>
      <w:r>
        <w:rPr>
          <w:rFonts w:hint="eastAsia" w:ascii="仿宋_GB2312" w:hAnsi="仿宋_GB2312" w:eastAsia="仿宋_GB2312" w:cs="仿宋_GB2312"/>
          <w:color w:val="000000" w:themeColor="text1"/>
          <w:sz w:val="24"/>
          <w:highlight w:val="none"/>
          <w14:textFill>
            <w14:solidFill>
              <w14:schemeClr w14:val="tx1"/>
            </w14:solidFill>
          </w14:textFill>
        </w:rPr>
        <w:t>法定代表人或授权代表（签字或加盖个人名章）：</w:t>
      </w:r>
      <w:bookmarkEnd w:id="364"/>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4981B8B">
      <w:pPr>
        <w:keepNext/>
        <w:keepLines/>
        <w:widowControl w:val="0"/>
        <w:spacing w:before="340" w:after="330" w:line="460" w:lineRule="exact"/>
        <w:jc w:val="right"/>
        <w:outlineLvl w:val="0"/>
        <w:rPr>
          <w:rFonts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日    期：   年   月   日</w:t>
      </w:r>
    </w:p>
    <w:p w14:paraId="58B9198A">
      <w:pPr>
        <w:keepNext/>
        <w:keepLines/>
        <w:widowControl w:val="0"/>
        <w:spacing w:before="340" w:after="330" w:line="460" w:lineRule="exact"/>
        <w:jc w:val="left"/>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br w:type="page"/>
      </w: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五、比选报价表格式</w:t>
      </w:r>
    </w:p>
    <w:p w14:paraId="7DFEAE02">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比选报价表</w:t>
      </w:r>
    </w:p>
    <w:p w14:paraId="16C01250">
      <w:pPr>
        <w:spacing w:before="312" w:beforeLines="100" w:line="460" w:lineRule="exact"/>
        <w:rPr>
          <w:rFonts w:ascii="仿宋_GB2312" w:hAnsi="仿宋_GB2312" w:eastAsia="仿宋_GB2312" w:cs="仿宋_GB2312"/>
          <w:color w:val="000000" w:themeColor="text1"/>
          <w:sz w:val="24"/>
          <w:highlight w:val="none"/>
          <w14:textFill>
            <w14:solidFill>
              <w14:schemeClr w14:val="tx1"/>
            </w14:solidFill>
          </w14:textFill>
        </w:rPr>
      </w:pPr>
    </w:p>
    <w:tbl>
      <w:tblPr>
        <w:tblStyle w:val="7"/>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226"/>
        <w:gridCol w:w="3438"/>
      </w:tblGrid>
      <w:tr w14:paraId="12A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tcPr>
          <w:p w14:paraId="1AC1A21F">
            <w:pPr>
              <w:spacing w:before="312" w:beforeLines="100"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基础代理费（单位：元）</w:t>
            </w:r>
          </w:p>
        </w:tc>
        <w:tc>
          <w:tcPr>
            <w:tcW w:w="3226" w:type="dxa"/>
          </w:tcPr>
          <w:p w14:paraId="4D23A2EC">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风险代理费（单位：元）</w:t>
            </w:r>
          </w:p>
        </w:tc>
        <w:tc>
          <w:tcPr>
            <w:tcW w:w="3438" w:type="dxa"/>
          </w:tcPr>
          <w:p w14:paraId="49A87B02">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合计费用（单位：元）</w:t>
            </w:r>
          </w:p>
        </w:tc>
      </w:tr>
      <w:tr w14:paraId="5C2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4" w:type="dxa"/>
            <w:vAlign w:val="center"/>
          </w:tcPr>
          <w:p w14:paraId="379C3624">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226" w:type="dxa"/>
            <w:vAlign w:val="center"/>
          </w:tcPr>
          <w:p w14:paraId="5363DD16">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438" w:type="dxa"/>
            <w:vAlign w:val="center"/>
          </w:tcPr>
          <w:p w14:paraId="50C0BFF5">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r>
    </w:tbl>
    <w:p w14:paraId="4DB693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D492B6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6436A10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52F5973C">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bookmarkStart w:id="365" w:name="_Toc19269"/>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比选申请人（单位公章）：</w:t>
      </w:r>
      <w:bookmarkEnd w:id="365"/>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B8CD542">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6" w:name="_Toc2864"/>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法定代表人/授权代表（签字或盖章）：</w:t>
      </w:r>
      <w:bookmarkEnd w:id="366"/>
      <w:bookmarkStart w:id="367" w:name="_Toc26537"/>
    </w:p>
    <w:p w14:paraId="5959F2D9">
      <w:pPr>
        <w:spacing w:line="460" w:lineRule="exact"/>
        <w:ind w:firstLine="3840" w:firstLineChars="160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w:t>
      </w:r>
      <w:bookmarkEnd w:id="367"/>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E64F100">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24E69254">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68" w:name="_Toc15800"/>
      <w:bookmarkStart w:id="369" w:name="_Toc5495"/>
      <w:bookmarkStart w:id="370" w:name="_Toc25342"/>
      <w:bookmarkStart w:id="371" w:name="_Toc8182"/>
      <w:bookmarkStart w:id="372" w:name="_Toc24016"/>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六、</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比选申请人基本情况表</w:t>
      </w:r>
    </w:p>
    <w:tbl>
      <w:tblPr>
        <w:tblStyle w:val="7"/>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1A21E524">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2297F6E">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4619713">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253D8FD9">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7C4FB18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41F9B16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1925A8B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01D4D313">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1F7E899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0A48ED1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27A5387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0628D75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6C02391">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75F2A448">
            <w:pPr>
              <w:spacing w:before="156" w:beforeLines="50" w:after="156" w:afterLines="50" w:line="3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99B20B">
            <w:pPr>
              <w:widowControl w:val="0"/>
              <w:tabs>
                <w:tab w:val="left" w:pos="241"/>
              </w:tabs>
              <w:spacing w:before="156" w:beforeLines="50" w:after="156" w:afterLines="50" w:line="360" w:lineRule="exact"/>
              <w:jc w:val="both"/>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7EFFCE42">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5303E540">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97B32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8E87F7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011E800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49AE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4D14A97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608EF518">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168B97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30791763">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C1C0C32">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F417DFB">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6479416E">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EC70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57D3792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783B055A">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BE9FA35">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基本银行账</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735EE61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1178B36B">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DD6304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20080396">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bl>
    <w:p w14:paraId="0FD9DC59">
      <w:pPr>
        <w:spacing w:line="600" w:lineRule="exact"/>
        <w:rPr>
          <w:rFonts w:ascii="Times New Roman" w:hAnsi="Times New Roman" w:eastAsia="仿宋" w:cs="Times New Roman"/>
          <w:color w:val="000000" w:themeColor="text1"/>
          <w:sz w:val="28"/>
          <w:szCs w:val="28"/>
          <w:highlight w:val="none"/>
          <w14:textFill>
            <w14:solidFill>
              <w14:schemeClr w14:val="tx1"/>
            </w14:solidFill>
          </w14:textFill>
        </w:rPr>
      </w:pPr>
    </w:p>
    <w:p w14:paraId="1781447F">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 xml:space="preserve">比选申请人（单位公章）： </w:t>
      </w:r>
    </w:p>
    <w:p w14:paraId="7C67F65D">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35F2F5AB">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日 期：</w:t>
      </w:r>
    </w:p>
    <w:p w14:paraId="6CC515C9">
      <w:pPr>
        <w:keepNext/>
        <w:keepLines/>
        <w:widowControl w:val="0"/>
        <w:ind w:firstLine="880"/>
        <w:jc w:val="both"/>
        <w:outlineLvl w:val="3"/>
        <w:rPr>
          <w:rFonts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p>
    <w:p w14:paraId="58973718">
      <w:pPr>
        <w:rPr>
          <w:color w:val="000000" w:themeColor="text1"/>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14:paraId="10BD9062">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七、合法有效律师事务所执业许可证，以及国家法律法规要求的相关从业资质</w:t>
      </w:r>
    </w:p>
    <w:p w14:paraId="202EC2D2">
      <w:pPr>
        <w:rPr>
          <w:rFonts w:ascii="仿宋_GB2312" w:hAnsi="仿宋_GB2312" w:eastAsia="仿宋_GB2312" w:cs="仿宋_GB2312"/>
          <w:color w:val="000000" w:themeColor="text1"/>
          <w:sz w:val="30"/>
          <w:szCs w:val="30"/>
          <w:highlight w:val="none"/>
          <w14:textFill>
            <w14:solidFill>
              <w14:schemeClr w14:val="tx1"/>
            </w14:solidFill>
          </w14:textFill>
        </w:rPr>
      </w:pPr>
    </w:p>
    <w:p w14:paraId="12E88F3C">
      <w:pPr>
        <w:rPr>
          <w:color w:val="000000" w:themeColor="text1"/>
          <w:highlight w:val="none"/>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14:paraId="7C8DD7B7">
      <w:pPr>
        <w:widowControl w:val="0"/>
        <w:numPr>
          <w:ilvl w:val="0"/>
          <w:numId w:val="2"/>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具有四川省内常设机构及注册专职律师相关证明材料</w:t>
      </w:r>
    </w:p>
    <w:p w14:paraId="0CEB7B29">
      <w:pPr>
        <w:rPr>
          <w:rFonts w:ascii="仿宋_GB2312" w:hAnsi="仿宋_GB2312" w:eastAsia="仿宋_GB2312" w:cs="仿宋_GB2312"/>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000000" w:themeColor="text1"/>
          <w:sz w:val="30"/>
          <w:szCs w:val="30"/>
          <w:highlight w:val="none"/>
          <w14:textFill>
            <w14:solidFill>
              <w14:schemeClr w14:val="tx1"/>
            </w14:solidFill>
          </w14:textFill>
        </w:rPr>
        <w:br w:type="page"/>
      </w:r>
    </w:p>
    <w:p w14:paraId="1177C750">
      <w:pPr>
        <w:widowControl w:val="0"/>
        <w:numPr>
          <w:ilvl w:val="0"/>
          <w:numId w:val="2"/>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近三年未受到司法行政部门的行政处罚和律师协会的行业处分，近三年提供的法律服务未因重大执业质量等问题受到省国资委的通报（提供相关网站查询截图）</w:t>
      </w:r>
    </w:p>
    <w:p w14:paraId="6E2AD61D">
      <w:pPr>
        <w:rPr>
          <w:color w:val="000000" w:themeColor="text1"/>
          <w:highlight w:val="none"/>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14:paraId="4CB5BC9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w:t>
      </w:r>
    </w:p>
    <w:p w14:paraId="357319D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叙述</w:t>
      </w:r>
      <w:r>
        <w:rPr>
          <w:rFonts w:hint="eastAsia" w:ascii="仿宋_GB2312" w:hAnsi="仿宋_GB2312" w:eastAsia="仿宋_GB2312" w:cs="仿宋_GB2312"/>
          <w:color w:val="000000" w:themeColor="text1"/>
          <w:sz w:val="24"/>
          <w:highlight w:val="none"/>
          <w14:textFill>
            <w14:solidFill>
              <w14:schemeClr w14:val="tx1"/>
            </w14:solidFill>
          </w14:textFill>
        </w:rPr>
        <w:t>项目服务方案，服务方案应包含以下人员情况介绍。</w:t>
      </w:r>
    </w:p>
    <w:p w14:paraId="628BAD0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一、团队负责人及主要参与人员基本情况</w:t>
      </w:r>
    </w:p>
    <w:tbl>
      <w:tblPr>
        <w:tblStyle w:val="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910" w:type="dxa"/>
            <w:vAlign w:val="center"/>
          </w:tcPr>
          <w:p w14:paraId="1D2C0A86">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519" w:type="dxa"/>
            <w:vAlign w:val="center"/>
          </w:tcPr>
          <w:p w14:paraId="0DEFA065">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类似工作</w:t>
            </w:r>
          </w:p>
          <w:p w14:paraId="189DF7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经验年限</w:t>
            </w:r>
          </w:p>
        </w:tc>
        <w:tc>
          <w:tcPr>
            <w:tcW w:w="1804" w:type="dxa"/>
            <w:vAlign w:val="center"/>
          </w:tcPr>
          <w:p w14:paraId="3F10579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拟任职务</w:t>
            </w:r>
          </w:p>
        </w:tc>
        <w:tc>
          <w:tcPr>
            <w:tcW w:w="1942" w:type="dxa"/>
            <w:vAlign w:val="center"/>
          </w:tcPr>
          <w:p w14:paraId="0863FC6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法律服务</w:t>
            </w:r>
          </w:p>
          <w:p w14:paraId="7ECEC70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71BDAE2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0B3B12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21FAEC1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075DDFA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47701D7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171DABC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79420D4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13465A0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4E652E6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bookmarkStart w:id="373" w:name="_Toc455607508"/>
      <w:r>
        <w:rPr>
          <w:rFonts w:hint="eastAsia" w:ascii="仿宋_GB2312" w:hAnsi="仿宋_GB2312" w:eastAsia="仿宋_GB2312" w:cs="仿宋_GB2312"/>
          <w:color w:val="000000" w:themeColor="text1"/>
          <w:sz w:val="24"/>
          <w:highlight w:val="none"/>
          <w14:textFill>
            <w14:solidFill>
              <w14:schemeClr w14:val="tx1"/>
            </w14:solidFill>
          </w14:textFill>
        </w:rPr>
        <w:t>二、投入本项目的主要负责人资历表</w:t>
      </w:r>
      <w:bookmarkEnd w:id="373"/>
    </w:p>
    <w:tbl>
      <w:tblPr>
        <w:tblStyle w:val="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60" w:type="dxa"/>
          </w:tcPr>
          <w:p w14:paraId="7B63CCD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0F879C0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479" w:type="dxa"/>
          </w:tcPr>
          <w:p w14:paraId="50734C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2EF9D6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264" w:type="dxa"/>
          </w:tcPr>
          <w:p w14:paraId="4A23A17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60" w:type="dxa"/>
          </w:tcPr>
          <w:p w14:paraId="5504C28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6648F8E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479" w:type="dxa"/>
          </w:tcPr>
          <w:p w14:paraId="0201AC6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13F405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264" w:type="dxa"/>
          </w:tcPr>
          <w:p w14:paraId="1380D5C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261" w:type="dxa"/>
            <w:gridSpan w:val="5"/>
          </w:tcPr>
          <w:p w14:paraId="4305C5F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681" w:type="dxa"/>
            <w:gridSpan w:val="4"/>
          </w:tcPr>
          <w:p w14:paraId="3968304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640" w:type="dxa"/>
            <w:gridSpan w:val="2"/>
          </w:tcPr>
          <w:p w14:paraId="2A3ED60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E6F6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057FB6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B24AD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6EFB996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193F158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bookmarkStart w:id="374" w:name="_Toc455607509"/>
    </w:p>
    <w:p w14:paraId="5577E66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三、投入本项目的主要团队人员资历表</w:t>
      </w:r>
      <w:bookmarkEnd w:id="374"/>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38" w:type="dxa"/>
          </w:tcPr>
          <w:p w14:paraId="6217A05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4EFF886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672" w:type="dxa"/>
          </w:tcPr>
          <w:p w14:paraId="3226A24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12961B9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156" w:type="dxa"/>
          </w:tcPr>
          <w:p w14:paraId="3B34EB6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38" w:type="dxa"/>
          </w:tcPr>
          <w:p w14:paraId="541650A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344320C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672" w:type="dxa"/>
          </w:tcPr>
          <w:p w14:paraId="49FE647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3504FA9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156" w:type="dxa"/>
          </w:tcPr>
          <w:p w14:paraId="01A17CE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199" w:type="dxa"/>
            <w:gridSpan w:val="5"/>
          </w:tcPr>
          <w:p w14:paraId="4B7851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732" w:type="dxa"/>
            <w:gridSpan w:val="4"/>
          </w:tcPr>
          <w:p w14:paraId="21FDFBF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505" w:type="dxa"/>
            <w:gridSpan w:val="2"/>
          </w:tcPr>
          <w:p w14:paraId="69897AE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6059941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05FCA82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30BAA3F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224FC59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18A6E21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5C683B10">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2084DDAC">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p>
    <w:p w14:paraId="6F10363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0AF26166">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比选申请人（单位公章）： </w:t>
      </w:r>
    </w:p>
    <w:p w14:paraId="37A70B09">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0615F44C">
      <w:pPr>
        <w:spacing w:line="460" w:lineRule="exact"/>
        <w:ind w:firstLine="480" w:firstLineChars="200"/>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 </w:t>
      </w:r>
    </w:p>
    <w:p w14:paraId="0CE37786">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6702BFFE">
      <w:pPr>
        <w:pStyle w:val="2"/>
        <w:rPr>
          <w:rFonts w:hint="default"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十二、最近三年内，比选申请人为国有企业/政府部门提供诉讼或非诉法律服务的证明材料及经验简介。</w:t>
      </w:r>
    </w:p>
    <w:p w14:paraId="3547AE46">
      <w:pPr>
        <w:rPr>
          <w:rFonts w:ascii="仿宋_GB2312" w:hAnsi="仿宋_GB2312" w:eastAsia="仿宋_GB2312" w:cs="仿宋_GB2312"/>
          <w:b/>
          <w:bCs/>
          <w:color w:val="000000" w:themeColor="text1"/>
          <w:kern w:val="28"/>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p>
    <w:p w14:paraId="605B79C3">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十三、服务团队为国企提供企业/政府部门提供诉讼或非诉法律服务标的金额1000万（含1000万）以上的证明材料及经验简介。</w:t>
      </w:r>
    </w:p>
    <w:p w14:paraId="52E300D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E59906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262560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083D888">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0343E3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DCE63F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F54F09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402EDE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822FEFD">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1B1223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E85E83C">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7B1F61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624BAB9">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C5C929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4263F52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4E4F1D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5DB551B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501BCC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094C4C3">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28F291F">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十四、2023年度财务审计报告</w:t>
      </w:r>
    </w:p>
    <w:p w14:paraId="134F1F44">
      <w:pPr>
        <w:rPr>
          <w:rFonts w:hint="eastAsia" w:ascii="华文仿宋" w:hAnsi="华文仿宋" w:eastAsia="华文仿宋"/>
          <w:color w:val="000000" w:themeColor="text1"/>
          <w:sz w:val="28"/>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bookmarkStart w:id="375" w:name="_Toc29701"/>
      <w:bookmarkStart w:id="376" w:name="_Toc23378"/>
      <w:bookmarkStart w:id="377" w:name="_Toc5469"/>
      <w:bookmarkStart w:id="378" w:name="_Toc7311"/>
      <w:bookmarkStart w:id="379" w:name="_Toc19007"/>
      <w:bookmarkStart w:id="380" w:name="_Toc8050"/>
      <w:bookmarkStart w:id="381" w:name="_Toc5371"/>
      <w:bookmarkStart w:id="382" w:name="_Toc29181"/>
    </w:p>
    <w:p w14:paraId="4F9FA6E5">
      <w:pPr>
        <w:keepNext/>
        <w:keepLines/>
        <w:widowControl w:val="0"/>
        <w:numPr>
          <w:ilvl w:val="255"/>
          <w:numId w:val="0"/>
        </w:numPr>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十五、比选申请人认为需附的</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其他资料（如有）</w:t>
      </w:r>
    </w:p>
    <w:p w14:paraId="75CE4829">
      <w:pPr>
        <w:rPr>
          <w:rFonts w:ascii="仿宋_GB2312" w:hAnsi="仿宋_GB2312" w:eastAsia="仿宋_GB2312" w:cs="仿宋_GB2312"/>
          <w:bCs/>
          <w:color w:val="000000" w:themeColor="text1"/>
          <w:sz w:val="24"/>
          <w:highlight w:val="none"/>
          <w14:textFill>
            <w14:solidFill>
              <w14:schemeClr w14:val="tx1"/>
            </w14:solidFill>
          </w14:textFill>
        </w:rPr>
      </w:pPr>
      <w:r>
        <w:rPr>
          <w:rFonts w:ascii="仿宋_GB2312" w:hAnsi="仿宋_GB2312" w:eastAsia="仿宋_GB2312" w:cs="仿宋_GB2312"/>
          <w:bCs/>
          <w:color w:val="000000" w:themeColor="text1"/>
          <w:sz w:val="24"/>
          <w:highlight w:val="none"/>
          <w14:textFill>
            <w14:solidFill>
              <w14:schemeClr w14:val="tx1"/>
            </w14:solidFill>
          </w14:textFill>
        </w:rPr>
        <w:br w:type="page"/>
      </w:r>
    </w:p>
    <w:p w14:paraId="1EF750BB">
      <w:pPr>
        <w:spacing w:after="156" w:afterLines="50" w:line="460" w:lineRule="exact"/>
        <w:ind w:firstLine="643" w:firstLineChars="200"/>
        <w:jc w:val="center"/>
        <w:outlineLvl w:val="0"/>
        <w:rPr>
          <w:rFonts w:ascii="仿宋_GB2312" w:hAnsi="仿宋_GB2312" w:eastAsia="仿宋_GB2312" w:cs="仿宋_GB2312"/>
          <w:color w:val="000000" w:themeColor="text1"/>
          <w:sz w:val="32"/>
          <w:szCs w:val="32"/>
          <w:highlight w:val="none"/>
          <w14:textFill>
            <w14:solidFill>
              <w14:schemeClr w14:val="tx1"/>
            </w14:solidFill>
          </w14:textFill>
        </w:rPr>
      </w:pPr>
      <w:bookmarkStart w:id="383" w:name="_Toc31984"/>
      <w:bookmarkStart w:id="384" w:name="_Toc939"/>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5" w:name="_Toc2263"/>
      <w:bookmarkStart w:id="386" w:name="_Toc27403"/>
      <w:bookmarkStart w:id="387" w:name="_Toc4032"/>
      <w:r>
        <w:rPr>
          <w:rFonts w:hint="eastAsia" w:ascii="仿宋_GB2312" w:hAnsi="仿宋_GB2312" w:eastAsia="仿宋_GB2312" w:cs="仿宋_GB2312"/>
          <w:color w:val="000000" w:themeColor="text1"/>
          <w:sz w:val="24"/>
          <w:highlight w:val="none"/>
          <w14:textFill>
            <w14:solidFill>
              <w14:schemeClr w14:val="tx1"/>
            </w14:solidFill>
          </w14:textFill>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比选人为维护公司合法权益，</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保障公司资金安全，</w:t>
      </w:r>
      <w:r>
        <w:rPr>
          <w:rFonts w:hint="eastAsia" w:ascii="仿宋_GB2312" w:hAnsi="仿宋_GB2312" w:eastAsia="仿宋_GB2312" w:cs="仿宋_GB2312"/>
          <w:color w:val="000000" w:themeColor="text1"/>
          <w:sz w:val="24"/>
          <w:highlight w:val="none"/>
          <w14:textFill>
            <w14:solidFill>
              <w14:schemeClr w14:val="tx1"/>
            </w14:solidFill>
          </w14:textFill>
        </w:rPr>
        <w:t>为公司正常运营和发展保驾护航，引入法律支撑服务合作单位。</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8" w:name="_Toc15152"/>
      <w:bookmarkStart w:id="389" w:name="_Toc2266"/>
      <w:bookmarkStart w:id="390" w:name="_Toc10913"/>
      <w:r>
        <w:rPr>
          <w:rFonts w:hint="eastAsia" w:ascii="仿宋_GB2312" w:hAnsi="仿宋_GB2312" w:eastAsia="仿宋_GB2312" w:cs="仿宋_GB2312"/>
          <w:color w:val="000000" w:themeColor="text1"/>
          <w:sz w:val="24"/>
          <w:highlight w:val="none"/>
          <w14:textFill>
            <w14:solidFill>
              <w14:schemeClr w14:val="tx1"/>
            </w14:solidFill>
          </w14:textFill>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委托的范围内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开展法律诉讼及后续款项回收工作相关</w:t>
      </w:r>
      <w:r>
        <w:rPr>
          <w:rFonts w:hint="eastAsia" w:ascii="仿宋_GB2312" w:hAnsi="仿宋_GB2312" w:eastAsia="仿宋_GB2312" w:cs="仿宋_GB2312"/>
          <w:color w:val="000000" w:themeColor="text1"/>
          <w:sz w:val="24"/>
          <w:highlight w:val="none"/>
          <w14:textFill>
            <w14:solidFill>
              <w14:schemeClr w14:val="tx1"/>
            </w14:solidFill>
          </w14:textFill>
        </w:rPr>
        <w:t>事宜。主要内容为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仲裁/诉讼一审、二审（若有）、再审（若有）、执行（若有）回收欠款本金及违约金、逾期付款利息等服务内容，必要时需参加比选人及比选人集团要求的关于案件的会议。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1" w:name="_Toc18086"/>
      <w:bookmarkStart w:id="392" w:name="_Toc23471"/>
      <w:bookmarkStart w:id="393" w:name="_Toc12665"/>
      <w:r>
        <w:rPr>
          <w:rFonts w:hint="eastAsia" w:ascii="仿宋_GB2312" w:hAnsi="仿宋_GB2312" w:eastAsia="仿宋_GB2312" w:cs="仿宋_GB2312"/>
          <w:color w:val="000000" w:themeColor="text1"/>
          <w:sz w:val="24"/>
          <w:highlight w:val="none"/>
          <w14:textFill>
            <w14:solidFill>
              <w14:schemeClr w14:val="tx1"/>
            </w14:solidFill>
          </w14:textFill>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1.遵守国家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bookmarkStart w:id="394" w:name="_Hlk129770241"/>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5" w:name="_Toc31114"/>
      <w:bookmarkStart w:id="396" w:name="_Toc30152"/>
      <w:bookmarkStart w:id="397" w:name="_Toc492"/>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3.其他损害比选人合法权益的行为。</w:t>
      </w:r>
      <w:bookmarkStart w:id="398" w:name="_Toc26177"/>
      <w:bookmarkStart w:id="399" w:name="_Toc3519"/>
      <w:bookmarkStart w:id="400" w:name="_Toc5592"/>
      <w:bookmarkStart w:id="401" w:name="_Toc17709"/>
      <w:bookmarkStart w:id="402" w:name="_Toc25653"/>
      <w:bookmarkStart w:id="403" w:name="_Toc27729"/>
      <w:bookmarkStart w:id="404" w:name="_Toc26915"/>
      <w:bookmarkStart w:id="405" w:name="_Toc13978"/>
      <w:bookmarkStart w:id="406" w:name="_Toc5556"/>
      <w:bookmarkStart w:id="407" w:name="_Toc25574"/>
      <w:bookmarkStart w:id="408" w:name="_Toc12823"/>
      <w:bookmarkStart w:id="409" w:name="_Toc30236"/>
    </w:p>
    <w:p w14:paraId="6141B300">
      <w:pPr>
        <w:pStyle w:val="3"/>
        <w:rPr>
          <w:rFonts w:hint="eastAsia" w:ascii="仿宋_GB2312" w:hAnsi="仿宋_GB2312" w:eastAsia="仿宋_GB2312" w:cs="仿宋_GB2312"/>
          <w:color w:val="000000" w:themeColor="text1"/>
          <w:sz w:val="24"/>
          <w:highlight w:val="none"/>
          <w14:textFill>
            <w14:solidFill>
              <w14:schemeClr w14:val="tx1"/>
            </w14:solidFill>
          </w14:textFill>
        </w:rPr>
      </w:pPr>
    </w:p>
    <w:p w14:paraId="66F5AE0D">
      <w:pPr>
        <w:rPr>
          <w:rFonts w:hint="eastAsia" w:ascii="仿宋_GB2312" w:hAnsi="仿宋_GB2312" w:eastAsia="仿宋_GB2312" w:cs="仿宋_GB2312"/>
          <w:color w:val="000000" w:themeColor="text1"/>
          <w:sz w:val="24"/>
          <w:highlight w:val="none"/>
          <w14:textFill>
            <w14:solidFill>
              <w14:schemeClr w14:val="tx1"/>
            </w14:solidFill>
          </w14:textFill>
        </w:rPr>
      </w:pPr>
    </w:p>
    <w:p w14:paraId="5F625DE2">
      <w:pPr>
        <w:pStyle w:val="3"/>
        <w:rPr>
          <w:rFonts w:hint="eastAsia" w:ascii="仿宋_GB2312" w:hAnsi="仿宋_GB2312" w:eastAsia="仿宋_GB2312" w:cs="仿宋_GB2312"/>
          <w:color w:val="000000" w:themeColor="text1"/>
          <w:sz w:val="24"/>
          <w:highlight w:val="none"/>
          <w14:textFill>
            <w14:solidFill>
              <w14:schemeClr w14:val="tx1"/>
            </w14:solidFill>
          </w14:textFill>
        </w:rPr>
      </w:pPr>
    </w:p>
    <w:p w14:paraId="672B49CA">
      <w:pPr>
        <w:rPr>
          <w:rFonts w:hint="eastAsia" w:ascii="仿宋_GB2312" w:hAnsi="仿宋_GB2312" w:eastAsia="仿宋_GB2312" w:cs="仿宋_GB2312"/>
          <w:color w:val="000000" w:themeColor="text1"/>
          <w:sz w:val="24"/>
          <w:highlight w:val="none"/>
          <w14:textFill>
            <w14:solidFill>
              <w14:schemeClr w14:val="tx1"/>
            </w14:solidFill>
          </w14:textFill>
        </w:rPr>
      </w:pPr>
    </w:p>
    <w:p w14:paraId="22A8631C">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691EEC89">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54BAC478">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0E0B7DDA">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3592CD56">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0CF88371">
      <w:pPr>
        <w:adjustRightInd w:val="0"/>
        <w:spacing w:after="156" w:afterLines="50" w:line="460" w:lineRule="exact"/>
        <w:jc w:val="both"/>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0719ACB3">
      <w:pPr>
        <w:adjustRightInd w:val="0"/>
        <w:spacing w:after="156" w:afterLines="50" w:line="460" w:lineRule="exact"/>
        <w:jc w:val="center"/>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 xml:space="preserve">第六章  </w:t>
      </w:r>
      <w:bookmarkEnd w:id="398"/>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000000" w:themeColor="text1"/>
          <w:kern w:val="44"/>
          <w:sz w:val="32"/>
          <w:szCs w:val="32"/>
          <w:highlight w:val="none"/>
          <w:lang w:val="en-US" w:eastAsia="zh-CN"/>
          <w14:textFill>
            <w14:solidFill>
              <w14:schemeClr w14:val="tx1"/>
            </w14:solidFill>
          </w14:textFill>
        </w:rPr>
        <w:t>方法</w:t>
      </w:r>
    </w:p>
    <w:p w14:paraId="59CEEAE5">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一、评审委员会</w:t>
      </w:r>
    </w:p>
    <w:p w14:paraId="3BCFA95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1.评审工作由比选人相关成员组建的评审委员会负责。</w:t>
      </w:r>
    </w:p>
    <w:p w14:paraId="137E6BBE">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2.与本次比选申请人存在经济利益或亲属关系的成员应当自行回避。</w:t>
      </w:r>
    </w:p>
    <w:p w14:paraId="37D2EC42">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二、评审程序</w:t>
      </w:r>
    </w:p>
    <w:p w14:paraId="6AA3DF6D">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根据各比选申请人递交的比选申请书按照以下程序进行评审工作：</w:t>
      </w:r>
    </w:p>
    <w:p w14:paraId="6E87C8B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bookmarkStart w:id="410" w:name="_Toc9298"/>
      <w:bookmarkStart w:id="411" w:name="_Toc4845"/>
      <w:bookmarkStart w:id="412" w:name="_Toc6128"/>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三、评审标准</w:t>
      </w:r>
      <w:bookmarkEnd w:id="410"/>
      <w:bookmarkEnd w:id="411"/>
      <w:bookmarkEnd w:id="412"/>
    </w:p>
    <w:p w14:paraId="55D45ABC">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bookmarkStart w:id="413" w:name="_Ref77046541"/>
      <w:r>
        <w:rPr>
          <w:rFonts w:ascii="Times New Roman" w:hAnsi="Times New Roman" w:eastAsia="仿宋" w:cs="Times New Roman"/>
          <w:b/>
          <w:color w:val="000000" w:themeColor="text1"/>
          <w:kern w:val="0"/>
          <w:sz w:val="24"/>
          <w:highlight w:val="none"/>
          <w14:textFill>
            <w14:solidFill>
              <w14:schemeClr w14:val="tx1"/>
            </w14:solidFill>
          </w14:textFill>
        </w:rPr>
        <w:t>资格评审表</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评审项</w:t>
            </w:r>
          </w:p>
        </w:tc>
        <w:tc>
          <w:tcPr>
            <w:tcW w:w="2752" w:type="dxa"/>
            <w:vAlign w:val="center"/>
          </w:tcPr>
          <w:p w14:paraId="1EAAAE1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评审因素</w:t>
            </w:r>
          </w:p>
        </w:tc>
        <w:tc>
          <w:tcPr>
            <w:tcW w:w="3734" w:type="dxa"/>
            <w:vAlign w:val="center"/>
          </w:tcPr>
          <w:p w14:paraId="040EE34D">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形式评审标准</w:t>
            </w:r>
          </w:p>
        </w:tc>
        <w:tc>
          <w:tcPr>
            <w:tcW w:w="2752" w:type="dxa"/>
            <w:vAlign w:val="center"/>
          </w:tcPr>
          <w:p w14:paraId="0DE15CE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比选申请人名称</w:t>
            </w:r>
          </w:p>
        </w:tc>
        <w:tc>
          <w:tcPr>
            <w:tcW w:w="3734" w:type="dxa"/>
            <w:vAlign w:val="center"/>
          </w:tcPr>
          <w:p w14:paraId="65A50575">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CD4046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签字、盖章</w:t>
            </w:r>
          </w:p>
        </w:tc>
        <w:tc>
          <w:tcPr>
            <w:tcW w:w="3734" w:type="dxa"/>
            <w:vAlign w:val="center"/>
          </w:tcPr>
          <w:p w14:paraId="1888DFB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F5970EE">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副本份数</w:t>
            </w:r>
          </w:p>
        </w:tc>
        <w:tc>
          <w:tcPr>
            <w:tcW w:w="3734" w:type="dxa"/>
            <w:vAlign w:val="center"/>
          </w:tcPr>
          <w:p w14:paraId="125B2EC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0E387600">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报价唯一</w:t>
            </w:r>
          </w:p>
        </w:tc>
        <w:tc>
          <w:tcPr>
            <w:tcW w:w="3734" w:type="dxa"/>
            <w:vAlign w:val="center"/>
          </w:tcPr>
          <w:p w14:paraId="2718EFC3">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7042FE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2D1ED9D2">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资格评审标准</w:t>
            </w:r>
          </w:p>
        </w:tc>
        <w:tc>
          <w:tcPr>
            <w:tcW w:w="2752" w:type="dxa"/>
            <w:vAlign w:val="center"/>
          </w:tcPr>
          <w:p w14:paraId="74FE0CE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律师事务所执业许可证</w:t>
            </w:r>
          </w:p>
        </w:tc>
        <w:tc>
          <w:tcPr>
            <w:tcW w:w="3734" w:type="dxa"/>
            <w:vAlign w:val="center"/>
          </w:tcPr>
          <w:p w14:paraId="489FF399">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4A6A02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信誉要求</w:t>
            </w:r>
          </w:p>
        </w:tc>
        <w:tc>
          <w:tcPr>
            <w:tcW w:w="3734" w:type="dxa"/>
            <w:vAlign w:val="center"/>
          </w:tcPr>
          <w:p w14:paraId="04CED69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人员要求</w:t>
            </w:r>
          </w:p>
        </w:tc>
        <w:tc>
          <w:tcPr>
            <w:tcW w:w="3734" w:type="dxa"/>
            <w:vAlign w:val="center"/>
          </w:tcPr>
          <w:p w14:paraId="1E5CB5D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财务要求</w:t>
            </w:r>
          </w:p>
        </w:tc>
        <w:tc>
          <w:tcPr>
            <w:tcW w:w="3734" w:type="dxa"/>
            <w:vAlign w:val="center"/>
          </w:tcPr>
          <w:p w14:paraId="798D40CA">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37234DA8">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其他要求</w:t>
            </w:r>
          </w:p>
        </w:tc>
        <w:tc>
          <w:tcPr>
            <w:tcW w:w="3734" w:type="dxa"/>
            <w:vAlign w:val="center"/>
          </w:tcPr>
          <w:p w14:paraId="44E1FDB7">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750DB251">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4E4D8F3A">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响应性评审标准</w:t>
            </w:r>
          </w:p>
        </w:tc>
        <w:tc>
          <w:tcPr>
            <w:tcW w:w="2752" w:type="dxa"/>
            <w:vAlign w:val="center"/>
          </w:tcPr>
          <w:p w14:paraId="15EDB445">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最高限价</w:t>
            </w:r>
          </w:p>
        </w:tc>
        <w:tc>
          <w:tcPr>
            <w:tcW w:w="3734" w:type="dxa"/>
            <w:vAlign w:val="center"/>
          </w:tcPr>
          <w:p w14:paraId="4F7D184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BA30ECD">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比选有效期</w:t>
            </w:r>
          </w:p>
        </w:tc>
        <w:tc>
          <w:tcPr>
            <w:tcW w:w="3734" w:type="dxa"/>
            <w:vAlign w:val="center"/>
          </w:tcPr>
          <w:p w14:paraId="211308B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符合第二章第二节总则 第</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7</w:t>
            </w:r>
            <w:r>
              <w:rPr>
                <w:rFonts w:ascii="Times New Roman" w:hAnsi="Times New Roman" w:eastAsia="仿宋" w:cs="Times New Roman"/>
                <w:color w:val="000000" w:themeColor="text1"/>
                <w:sz w:val="22"/>
                <w:szCs w:val="22"/>
                <w:highlight w:val="none"/>
                <w14:textFill>
                  <w14:solidFill>
                    <w14:schemeClr w14:val="tx1"/>
                  </w14:solidFill>
                </w14:textFill>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DCF12C2">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1712A0A0">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bl>
    <w:p w14:paraId="11EBECCA">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r>
        <w:rPr>
          <w:rFonts w:ascii="Times New Roman" w:hAnsi="Times New Roman" w:eastAsia="仿宋" w:cs="Times New Roman"/>
          <w:b/>
          <w:color w:val="000000" w:themeColor="text1"/>
          <w:kern w:val="0"/>
          <w:sz w:val="24"/>
          <w:highlight w:val="none"/>
          <w14:textFill>
            <w14:solidFill>
              <w14:schemeClr w14:val="tx1"/>
            </w14:solidFill>
          </w14:textFill>
        </w:rPr>
        <w:br w:type="page"/>
      </w:r>
    </w:p>
    <w:p w14:paraId="73AB807B">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r>
        <w:rPr>
          <w:rFonts w:ascii="Times New Roman" w:hAnsi="Times New Roman" w:eastAsia="仿宋" w:cs="Times New Roman"/>
          <w:b/>
          <w:color w:val="000000" w:themeColor="text1"/>
          <w:kern w:val="0"/>
          <w:sz w:val="32"/>
          <w:szCs w:val="32"/>
          <w:highlight w:val="none"/>
          <w14:textFill>
            <w14:solidFill>
              <w14:schemeClr w14:val="tx1"/>
            </w14:solidFill>
          </w14:textFill>
        </w:rPr>
        <w:t>详细评审</w:t>
      </w:r>
      <w:r>
        <w:rPr>
          <w:rFonts w:hint="eastAsia" w:ascii="Times New Roman" w:hAnsi="Times New Roman" w:eastAsia="仿宋" w:cs="Times New Roman"/>
          <w:b/>
          <w:color w:val="000000" w:themeColor="text1"/>
          <w:kern w:val="0"/>
          <w:sz w:val="32"/>
          <w:szCs w:val="32"/>
          <w:highlight w:val="none"/>
          <w14:textFill>
            <w14:solidFill>
              <w14:schemeClr w14:val="tx1"/>
            </w14:solidFill>
          </w14:textFill>
        </w:rPr>
        <w:t>表</w:t>
      </w:r>
      <w:bookmarkEnd w:id="413"/>
      <w:bookmarkStart w:id="414" w:name="_Toc8490"/>
      <w:bookmarkStart w:id="415" w:name="_Toc19015"/>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A5D8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2B7E6019">
            <w:pPr>
              <w:jc w:val="center"/>
              <w:rPr>
                <w:rFonts w:hint="eastAsia" w:ascii="楷体" w:hAnsi="楷体" w:eastAsia="楷体" w:cs="楷体"/>
                <w:b/>
                <w:bCs/>
                <w:color w:val="000000" w:themeColor="text1"/>
                <w:kern w:val="1"/>
                <w:szCs w:val="21"/>
                <w:highlight w:val="none"/>
                <w14:textFill>
                  <w14:solidFill>
                    <w14:schemeClr w14:val="tx1"/>
                  </w14:solidFill>
                </w14:textFill>
              </w:rPr>
            </w:pPr>
            <w:r>
              <w:rPr>
                <w:rFonts w:hint="eastAsia" w:ascii="楷体" w:hAnsi="楷体" w:eastAsia="楷体" w:cs="楷体"/>
                <w:b/>
                <w:bCs/>
                <w:color w:val="000000" w:themeColor="text1"/>
                <w:kern w:val="1"/>
                <w:szCs w:val="21"/>
                <w:highlight w:val="none"/>
                <w14:textFill>
                  <w14:solidFill>
                    <w14:schemeClr w14:val="tx1"/>
                  </w14:solidFill>
                </w14:textFill>
              </w:rPr>
              <w:t>序号</w:t>
            </w:r>
          </w:p>
        </w:tc>
        <w:tc>
          <w:tcPr>
            <w:tcW w:w="1061" w:type="dxa"/>
            <w:tcBorders>
              <w:left w:val="single" w:color="auto" w:sz="4" w:space="0"/>
              <w:bottom w:val="single" w:color="auto" w:sz="4" w:space="0"/>
              <w:right w:val="single" w:color="auto" w:sz="4" w:space="0"/>
            </w:tcBorders>
            <w:noWrap w:val="0"/>
            <w:vAlign w:val="center"/>
          </w:tcPr>
          <w:p w14:paraId="46A14B9E">
            <w:pPr>
              <w:jc w:val="center"/>
              <w:rPr>
                <w:rFonts w:hint="eastAsia" w:ascii="楷体" w:hAnsi="楷体" w:eastAsia="楷体" w:cs="楷体"/>
                <w:b/>
                <w:bCs/>
                <w:color w:val="000000" w:themeColor="text1"/>
                <w:kern w:val="1"/>
                <w:szCs w:val="21"/>
                <w:highlight w:val="none"/>
                <w14:textFill>
                  <w14:solidFill>
                    <w14:schemeClr w14:val="tx1"/>
                  </w14:solidFill>
                </w14:textFill>
              </w:rPr>
            </w:pPr>
            <w:r>
              <w:rPr>
                <w:rFonts w:hint="eastAsia" w:ascii="楷体" w:hAnsi="楷体" w:eastAsia="楷体" w:cs="楷体"/>
                <w:b/>
                <w:bCs/>
                <w:color w:val="000000" w:themeColor="text1"/>
                <w:kern w:val="1"/>
                <w:szCs w:val="21"/>
                <w:highlight w:val="none"/>
                <w14:textFill>
                  <w14:solidFill>
                    <w14:schemeClr w14:val="tx1"/>
                  </w14:solidFill>
                </w14:textFill>
              </w:rPr>
              <w:t>评标项目</w:t>
            </w:r>
          </w:p>
        </w:tc>
        <w:tc>
          <w:tcPr>
            <w:tcW w:w="1830" w:type="dxa"/>
            <w:tcBorders>
              <w:left w:val="single" w:color="auto" w:sz="4" w:space="0"/>
              <w:bottom w:val="single" w:color="auto" w:sz="4" w:space="0"/>
              <w:right w:val="single" w:color="auto" w:sz="4" w:space="0"/>
            </w:tcBorders>
            <w:noWrap w:val="0"/>
            <w:vAlign w:val="center"/>
          </w:tcPr>
          <w:p w14:paraId="53DA27DE">
            <w:pPr>
              <w:jc w:val="center"/>
              <w:rPr>
                <w:rFonts w:hint="eastAsia" w:ascii="楷体" w:hAnsi="楷体" w:eastAsia="楷体" w:cs="楷体"/>
                <w:b/>
                <w:bCs/>
                <w:color w:val="000000" w:themeColor="text1"/>
                <w:kern w:val="1"/>
                <w:szCs w:val="21"/>
                <w:highlight w:val="none"/>
                <w14:textFill>
                  <w14:solidFill>
                    <w14:schemeClr w14:val="tx1"/>
                  </w14:solidFill>
                </w14:textFill>
              </w:rPr>
            </w:pPr>
            <w:r>
              <w:rPr>
                <w:rFonts w:hint="eastAsia" w:ascii="楷体" w:hAnsi="楷体" w:eastAsia="楷体" w:cs="楷体"/>
                <w:b/>
                <w:bCs/>
                <w:color w:val="000000" w:themeColor="text1"/>
                <w:kern w:val="1"/>
                <w:szCs w:val="21"/>
                <w:highlight w:val="none"/>
                <w14:textFill>
                  <w14:solidFill>
                    <w14:schemeClr w14:val="tx1"/>
                  </w14:solidFill>
                </w14:textFill>
              </w:rPr>
              <w:t>详细内容</w:t>
            </w:r>
          </w:p>
        </w:tc>
        <w:tc>
          <w:tcPr>
            <w:tcW w:w="680" w:type="dxa"/>
            <w:tcBorders>
              <w:left w:val="single" w:color="auto" w:sz="4" w:space="0"/>
              <w:bottom w:val="single" w:color="auto" w:sz="4" w:space="0"/>
              <w:right w:val="single" w:color="auto" w:sz="4" w:space="0"/>
            </w:tcBorders>
            <w:noWrap w:val="0"/>
            <w:vAlign w:val="center"/>
          </w:tcPr>
          <w:p w14:paraId="1137D9CA">
            <w:pPr>
              <w:jc w:val="center"/>
              <w:rPr>
                <w:rFonts w:hint="eastAsia" w:ascii="楷体" w:hAnsi="楷体" w:eastAsia="楷体" w:cs="楷体"/>
                <w:b/>
                <w:bCs/>
                <w:color w:val="000000" w:themeColor="text1"/>
                <w:kern w:val="1"/>
                <w:szCs w:val="21"/>
                <w:highlight w:val="none"/>
                <w14:textFill>
                  <w14:solidFill>
                    <w14:schemeClr w14:val="tx1"/>
                  </w14:solidFill>
                </w14:textFill>
              </w:rPr>
            </w:pPr>
            <w:r>
              <w:rPr>
                <w:rFonts w:hint="eastAsia" w:ascii="楷体" w:hAnsi="楷体" w:eastAsia="楷体" w:cs="楷体"/>
                <w:b/>
                <w:bCs/>
                <w:color w:val="000000" w:themeColor="text1"/>
                <w:kern w:val="1"/>
                <w:szCs w:val="21"/>
                <w:highlight w:val="none"/>
                <w14:textFill>
                  <w14:solidFill>
                    <w14:schemeClr w14:val="tx1"/>
                  </w14:solidFill>
                </w14:textFill>
              </w:rPr>
              <w:t>评标分值</w:t>
            </w:r>
          </w:p>
        </w:tc>
        <w:tc>
          <w:tcPr>
            <w:tcW w:w="4530" w:type="dxa"/>
            <w:tcBorders>
              <w:left w:val="single" w:color="auto" w:sz="4" w:space="0"/>
              <w:bottom w:val="single" w:color="auto" w:sz="4" w:space="0"/>
            </w:tcBorders>
            <w:noWrap w:val="0"/>
            <w:vAlign w:val="center"/>
          </w:tcPr>
          <w:p w14:paraId="4AF15A11">
            <w:pPr>
              <w:jc w:val="center"/>
              <w:rPr>
                <w:rFonts w:hint="eastAsia" w:ascii="楷体" w:hAnsi="楷体" w:eastAsia="楷体" w:cs="楷体"/>
                <w:b/>
                <w:bCs/>
                <w:color w:val="000000" w:themeColor="text1"/>
                <w:kern w:val="1"/>
                <w:szCs w:val="21"/>
                <w:highlight w:val="none"/>
                <w14:textFill>
                  <w14:solidFill>
                    <w14:schemeClr w14:val="tx1"/>
                  </w14:solidFill>
                </w14:textFill>
              </w:rPr>
            </w:pPr>
            <w:r>
              <w:rPr>
                <w:rFonts w:hint="eastAsia" w:ascii="楷体" w:hAnsi="楷体" w:eastAsia="楷体" w:cs="楷体"/>
                <w:b/>
                <w:bCs/>
                <w:color w:val="000000" w:themeColor="text1"/>
                <w:kern w:val="1"/>
                <w:szCs w:val="21"/>
                <w:highlight w:val="none"/>
                <w14:textFill>
                  <w14:solidFill>
                    <w14:schemeClr w14:val="tx1"/>
                  </w14:solidFill>
                </w14:textFill>
              </w:rPr>
              <w:t>评分标准</w:t>
            </w:r>
          </w:p>
        </w:tc>
      </w:tr>
      <w:tr w14:paraId="72C5D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775A4062">
            <w:pPr>
              <w:jc w:val="center"/>
              <w:rPr>
                <w:rFonts w:hint="eastAsia" w:ascii="楷体" w:hAnsi="楷体" w:eastAsia="楷体" w:cs="楷体"/>
                <w:b w:val="0"/>
                <w:bCs w:val="0"/>
                <w:color w:val="000000" w:themeColor="text1"/>
                <w:kern w:val="1"/>
                <w:szCs w:val="21"/>
                <w:highlight w:val="none"/>
                <w14:textFill>
                  <w14:solidFill>
                    <w14:schemeClr w14:val="tx1"/>
                  </w14:solidFill>
                </w14:textFill>
              </w:rPr>
            </w:pPr>
            <w:r>
              <w:rPr>
                <w:rFonts w:hint="eastAsia" w:ascii="楷体" w:hAnsi="楷体" w:eastAsia="楷体" w:cs="楷体"/>
                <w:b w:val="0"/>
                <w:bCs w:val="0"/>
                <w:color w:val="000000" w:themeColor="text1"/>
                <w:kern w:val="1"/>
                <w:szCs w:val="21"/>
                <w:highlight w:val="none"/>
                <w14:textFill>
                  <w14:solidFill>
                    <w14:schemeClr w14:val="tx1"/>
                  </w14:solidFill>
                </w14:textFill>
              </w:rPr>
              <w:t>1</w:t>
            </w:r>
          </w:p>
        </w:tc>
        <w:tc>
          <w:tcPr>
            <w:tcW w:w="1061" w:type="dxa"/>
            <w:vMerge w:val="restart"/>
            <w:tcBorders>
              <w:top w:val="single" w:color="auto" w:sz="4" w:space="0"/>
              <w:left w:val="single" w:color="auto" w:sz="4" w:space="0"/>
              <w:right w:val="single" w:color="auto" w:sz="4" w:space="0"/>
            </w:tcBorders>
            <w:noWrap w:val="0"/>
            <w:vAlign w:val="center"/>
          </w:tcPr>
          <w:p w14:paraId="31062315">
            <w:pPr>
              <w:jc w:val="both"/>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履约能力（30分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04DF19E">
            <w:pPr>
              <w:jc w:val="both"/>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9B93C44">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5</w:t>
            </w:r>
          </w:p>
        </w:tc>
        <w:tc>
          <w:tcPr>
            <w:tcW w:w="4530" w:type="dxa"/>
            <w:tcBorders>
              <w:top w:val="single" w:color="auto" w:sz="4" w:space="0"/>
              <w:left w:val="single" w:color="auto" w:sz="4" w:space="0"/>
              <w:bottom w:val="single" w:color="auto" w:sz="4" w:space="0"/>
            </w:tcBorders>
            <w:noWrap w:val="0"/>
            <w:vAlign w:val="center"/>
          </w:tcPr>
          <w:p w14:paraId="6826AE3F">
            <w:pPr>
              <w:ind w:firstLine="0" w:firstLineChars="0"/>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成立</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年以上</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含5年</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得5分；</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w:t>
            </w:r>
            <w:r>
              <w:rPr>
                <w:rFonts w:hint="eastAsia" w:ascii="楷体" w:hAnsi="楷体" w:eastAsia="楷体" w:cs="楷体"/>
                <w:b w:val="0"/>
                <w:bCs w:val="0"/>
                <w:color w:val="000000" w:themeColor="text1"/>
                <w:kern w:val="1"/>
                <w:sz w:val="21"/>
                <w:szCs w:val="21"/>
                <w:highlight w:val="none"/>
                <w14:textFill>
                  <w14:solidFill>
                    <w14:schemeClr w14:val="tx1"/>
                  </w14:solidFill>
                </w14:textFill>
              </w:rPr>
              <w:t>至</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含3年</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得3分；</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3年以下得1分。</w:t>
            </w:r>
          </w:p>
        </w:tc>
      </w:tr>
      <w:tr w14:paraId="1EE6E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692CAE80">
            <w:pPr>
              <w:jc w:val="center"/>
              <w:rPr>
                <w:rFonts w:hint="eastAsia" w:ascii="楷体" w:hAnsi="楷体" w:eastAsia="楷体" w:cs="楷体"/>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BFF325F">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E36BCE">
            <w:pPr>
              <w:jc w:val="both"/>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CDA688A">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1CF7542B">
            <w:pPr>
              <w:ind w:firstLine="0" w:firstLineChars="0"/>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专职律师</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50</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含50人</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14:textFill>
                  <w14:solidFill>
                    <w14:schemeClr w14:val="tx1"/>
                  </w14:solidFill>
                </w14:textFill>
              </w:rPr>
              <w:t>人以上得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至</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人得</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含30人</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人</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以下</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得3分。</w:t>
            </w:r>
          </w:p>
        </w:tc>
      </w:tr>
      <w:tr w14:paraId="2ADE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1196C84F">
            <w:pPr>
              <w:jc w:val="center"/>
              <w:rPr>
                <w:rFonts w:hint="eastAsia" w:ascii="楷体" w:hAnsi="楷体" w:eastAsia="楷体" w:cs="楷体"/>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16F3761">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161AE8">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7CF1C46">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5</w:t>
            </w:r>
          </w:p>
        </w:tc>
        <w:tc>
          <w:tcPr>
            <w:tcW w:w="4530" w:type="dxa"/>
            <w:tcBorders>
              <w:top w:val="single" w:color="auto" w:sz="4" w:space="0"/>
              <w:left w:val="single" w:color="auto" w:sz="4" w:space="0"/>
              <w:bottom w:val="single" w:color="auto" w:sz="4" w:space="0"/>
            </w:tcBorders>
            <w:noWrap w:val="0"/>
            <w:vAlign w:val="center"/>
          </w:tcPr>
          <w:p w14:paraId="36086A80">
            <w:pPr>
              <w:ind w:firstLine="0" w:firstLineChars="0"/>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比选申请人获全国级荣誉，每获得一项得2分；获省市级政府部门或行业协会荣誉，每获得一项得1分；获其他政府部门或行业协会荣誉，每获得一项得1分；获奖荣誉累计得分不超过5分。</w:t>
            </w:r>
          </w:p>
        </w:tc>
      </w:tr>
      <w:tr w14:paraId="2996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2B54C833">
            <w:pPr>
              <w:jc w:val="center"/>
              <w:rPr>
                <w:rFonts w:hint="eastAsia" w:ascii="楷体" w:hAnsi="楷体" w:eastAsia="楷体" w:cs="楷体"/>
                <w:b w:val="0"/>
                <w:bCs w:val="0"/>
                <w:color w:val="000000" w:themeColor="text1"/>
                <w:kern w:val="1"/>
                <w:szCs w:val="21"/>
                <w:highlight w:val="none"/>
                <w:lang w:val="en-US" w:eastAsia="zh-CN"/>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64D22A73">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A80816F">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事务所</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7CA78F">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65623EF4">
            <w:pPr>
              <w:ind w:firstLine="0" w:firstLineChars="0"/>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最近三年内，比选申请人为国有企业/政府部门提供诉讼或非诉法律服务，</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每</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服务一家</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2</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分；累计得分不超过</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服务团队中已提交的业绩不计入该项得分）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p w14:paraId="4AA7F012">
            <w:pPr>
              <w:ind w:firstLine="0" w:firstLineChars="0"/>
              <w:rPr>
                <w:rFonts w:hint="eastAsia"/>
                <w:color w:val="000000" w:themeColor="text1"/>
                <w:highlight w:val="none"/>
                <w14:textFill>
                  <w14:solidFill>
                    <w14:schemeClr w14:val="tx1"/>
                  </w14:solidFill>
                </w14:textFill>
              </w:rPr>
            </w:pPr>
          </w:p>
        </w:tc>
      </w:tr>
      <w:tr w14:paraId="6F402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4" w:hRule="atLeast"/>
        </w:trPr>
        <w:tc>
          <w:tcPr>
            <w:tcW w:w="421" w:type="dxa"/>
            <w:tcBorders>
              <w:top w:val="single" w:color="auto" w:sz="4" w:space="0"/>
              <w:right w:val="single" w:color="auto" w:sz="4" w:space="0"/>
            </w:tcBorders>
            <w:noWrap w:val="0"/>
            <w:vAlign w:val="center"/>
          </w:tcPr>
          <w:p w14:paraId="47B8B9F6">
            <w:pPr>
              <w:jc w:val="center"/>
              <w:rPr>
                <w:rFonts w:hint="eastAsia" w:ascii="楷体" w:hAnsi="楷体" w:eastAsia="楷体" w:cs="楷体"/>
                <w:b w:val="0"/>
                <w:bCs w:val="0"/>
                <w:color w:val="000000" w:themeColor="text1"/>
                <w:kern w:val="1"/>
                <w:szCs w:val="21"/>
                <w:highlight w:val="none"/>
                <w14:textFill>
                  <w14:solidFill>
                    <w14:schemeClr w14:val="tx1"/>
                  </w14:solidFill>
                </w14:textFill>
              </w:rPr>
            </w:pPr>
            <w:r>
              <w:rPr>
                <w:rFonts w:hint="eastAsia" w:ascii="楷体" w:hAnsi="楷体" w:eastAsia="楷体" w:cs="楷体"/>
                <w:b w:val="0"/>
                <w:bCs w:val="0"/>
                <w:color w:val="000000" w:themeColor="text1"/>
                <w:kern w:val="1"/>
                <w:szCs w:val="21"/>
                <w:highlight w:val="none"/>
                <w14:textFill>
                  <w14:solidFill>
                    <w14:schemeClr w14:val="tx1"/>
                  </w14:solidFill>
                </w14:textFill>
              </w:rPr>
              <w:t>2</w:t>
            </w:r>
          </w:p>
        </w:tc>
        <w:tc>
          <w:tcPr>
            <w:tcW w:w="1061" w:type="dxa"/>
            <w:tcBorders>
              <w:top w:val="single" w:color="auto" w:sz="4" w:space="0"/>
              <w:left w:val="single" w:color="auto" w:sz="4" w:space="0"/>
              <w:right w:val="single" w:color="auto" w:sz="4" w:space="0"/>
            </w:tcBorders>
            <w:noWrap w:val="0"/>
            <w:vAlign w:val="center"/>
          </w:tcPr>
          <w:p w14:paraId="3B3DD07C">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比选报价</w:t>
            </w:r>
          </w:p>
          <w:p w14:paraId="58FA0896">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（15分）</w:t>
            </w:r>
          </w:p>
        </w:tc>
        <w:tc>
          <w:tcPr>
            <w:tcW w:w="1830" w:type="dxa"/>
            <w:tcBorders>
              <w:top w:val="single" w:color="auto" w:sz="4" w:space="0"/>
              <w:left w:val="single" w:color="auto" w:sz="4" w:space="0"/>
              <w:right w:val="single" w:color="auto" w:sz="4" w:space="0"/>
            </w:tcBorders>
            <w:noWrap w:val="0"/>
            <w:vAlign w:val="center"/>
          </w:tcPr>
          <w:p w14:paraId="3A30FF11">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本次报价</w:t>
            </w:r>
          </w:p>
        </w:tc>
        <w:tc>
          <w:tcPr>
            <w:tcW w:w="680" w:type="dxa"/>
            <w:tcBorders>
              <w:top w:val="single" w:color="auto" w:sz="4" w:space="0"/>
              <w:left w:val="single" w:color="auto" w:sz="4" w:space="0"/>
              <w:right w:val="single" w:color="auto" w:sz="4" w:space="0"/>
            </w:tcBorders>
            <w:noWrap w:val="0"/>
            <w:vAlign w:val="center"/>
          </w:tcPr>
          <w:p w14:paraId="5ADF431E">
            <w:pPr>
              <w:jc w:val="center"/>
              <w:rPr>
                <w:rFonts w:hint="default"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w:t>
            </w:r>
          </w:p>
        </w:tc>
        <w:tc>
          <w:tcPr>
            <w:tcW w:w="4530" w:type="dxa"/>
            <w:tcBorders>
              <w:top w:val="single" w:color="auto" w:sz="4" w:space="0"/>
              <w:left w:val="single" w:color="auto" w:sz="4" w:space="0"/>
              <w:bottom w:val="single" w:color="auto" w:sz="4" w:space="0"/>
            </w:tcBorders>
            <w:noWrap w:val="0"/>
            <w:vAlign w:val="top"/>
          </w:tcPr>
          <w:p w14:paraId="0E45044B">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比选报价得分分为以下两个部分：</w:t>
            </w:r>
          </w:p>
          <w:p w14:paraId="230C116E">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1、总价得分：满分为10分。报价</w:t>
            </w:r>
            <w:r>
              <w:rPr>
                <w:rFonts w:hint="eastAsia" w:ascii="楷体" w:hAnsi="楷体" w:eastAsia="楷体" w:cs="楷体"/>
                <w:color w:val="000000" w:themeColor="text1"/>
                <w:szCs w:val="21"/>
                <w:highlight w:val="none"/>
                <w14:textFill>
                  <w14:solidFill>
                    <w14:schemeClr w14:val="tx1"/>
                  </w14:solidFill>
                </w14:textFill>
              </w:rPr>
              <w:t>为基本代理费和风险代理费（风险代理费以涉案金额为计算基数）之和</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以所有有效比选申请人的</w:t>
            </w:r>
            <w:r>
              <w:rPr>
                <w:rFonts w:hint="eastAsia" w:ascii="楷体" w:hAnsi="楷体" w:eastAsia="楷体" w:cs="楷体"/>
                <w:color w:val="000000" w:themeColor="text1"/>
                <w:szCs w:val="21"/>
                <w:highlight w:val="none"/>
                <w:lang w:val="en-US" w:eastAsia="zh-CN"/>
                <w14:textFill>
                  <w14:solidFill>
                    <w14:schemeClr w14:val="tx1"/>
                  </w14:solidFill>
                </w14:textFill>
              </w:rPr>
              <w:t>算术</w:t>
            </w:r>
            <w:r>
              <w:rPr>
                <w:rFonts w:hint="eastAsia" w:ascii="楷体" w:hAnsi="楷体" w:eastAsia="楷体" w:cs="楷体"/>
                <w:color w:val="000000" w:themeColor="text1"/>
                <w:szCs w:val="21"/>
                <w:highlight w:val="none"/>
                <w14:textFill>
                  <w14:solidFill>
                    <w14:schemeClr w14:val="tx1"/>
                  </w14:solidFill>
                </w14:textFill>
              </w:rPr>
              <w:t>平均比选报价作为基准价。</w:t>
            </w:r>
            <w:r>
              <w:rPr>
                <w:rFonts w:hint="eastAsia" w:ascii="楷体" w:hAnsi="楷体" w:eastAsia="楷体" w:cs="楷体"/>
                <w:color w:val="000000" w:themeColor="text1"/>
                <w:szCs w:val="21"/>
                <w:highlight w:val="none"/>
                <w:lang w:val="en-US" w:eastAsia="zh-CN"/>
                <w14:textFill>
                  <w14:solidFill>
                    <w14:schemeClr w14:val="tx1"/>
                  </w14:solidFill>
                </w14:textFill>
              </w:rPr>
              <w:t>得分</w:t>
            </w:r>
            <w:r>
              <w:rPr>
                <w:rFonts w:hint="eastAsia" w:ascii="楷体" w:hAnsi="楷体" w:eastAsia="楷体" w:cs="楷体"/>
                <w:color w:val="000000" w:themeColor="text1"/>
                <w:szCs w:val="21"/>
                <w:highlight w:val="none"/>
                <w14:textFill>
                  <w14:solidFill>
                    <w14:schemeClr w14:val="tx1"/>
                  </w14:solidFill>
                </w14:textFill>
              </w:rPr>
              <w:t>统一按照下列公式计算：报价得分=1</w:t>
            </w:r>
            <w:r>
              <w:rPr>
                <w:rFonts w:hint="eastAsia" w:ascii="楷体" w:hAnsi="楷体" w:eastAsia="楷体" w:cs="楷体"/>
                <w:color w:val="000000" w:themeColor="text1"/>
                <w:szCs w:val="21"/>
                <w:highlight w:val="none"/>
                <w:lang w:val="en-US" w:eastAsia="zh-CN"/>
                <w14:textFill>
                  <w14:solidFill>
                    <w14:schemeClr w14:val="tx1"/>
                  </w14:solidFill>
                </w14:textFill>
              </w:rPr>
              <w:t>0</w:t>
            </w:r>
            <w:r>
              <w:rPr>
                <w:rFonts w:hint="eastAsia" w:ascii="楷体" w:hAnsi="楷体" w:eastAsia="楷体" w:cs="楷体"/>
                <w:color w:val="000000" w:themeColor="text1"/>
                <w:szCs w:val="21"/>
                <w:highlight w:val="none"/>
                <w14:textFill>
                  <w14:solidFill>
                    <w14:schemeClr w14:val="tx1"/>
                  </w14:solidFill>
                </w14:textFill>
              </w:rPr>
              <w:t>×[1-︱（最终报价-基准价）︱/基准价]</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注：得分精确到小数点后两位。</w:t>
            </w:r>
          </w:p>
          <w:p w14:paraId="4FF238E3">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2、风险代理占比得分：满分5分。报价得分=5</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风险代理费/（基本代理费+风险代理费）</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注：得分精确到小数点后两位。</w:t>
            </w:r>
          </w:p>
          <w:p w14:paraId="71CB61F2">
            <w:pPr>
              <w:jc w:val="left"/>
              <w:outlineLvl w:val="0"/>
              <w:rPr>
                <w:rFonts w:hint="default"/>
                <w:color w:val="000000" w:themeColor="text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总费用（基础代理费+风险代理费）不超过</w:t>
            </w:r>
            <w:r>
              <w:rPr>
                <w:rFonts w:hint="eastAsia" w:ascii="楷体" w:hAnsi="楷体" w:eastAsia="楷体" w:cs="楷体"/>
                <w:color w:val="000000" w:themeColor="text1"/>
                <w:szCs w:val="21"/>
                <w:highlight w:val="none"/>
                <w:u w:val="singl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万（</w:t>
            </w:r>
            <w:r>
              <w:rPr>
                <w:rFonts w:hint="eastAsia" w:ascii="楷体" w:hAnsi="楷体" w:eastAsia="楷体" w:cs="楷体"/>
                <w:color w:val="000000" w:themeColor="text1"/>
                <w:szCs w:val="21"/>
                <w:highlight w:val="none"/>
                <w:lang w:val="en-US" w:eastAsia="zh-CN"/>
                <w14:textFill>
                  <w14:solidFill>
                    <w14:schemeClr w14:val="tx1"/>
                  </w14:solidFill>
                </w14:textFill>
              </w:rPr>
              <w:t>此为限价，</w:t>
            </w:r>
            <w:r>
              <w:rPr>
                <w:rFonts w:hint="eastAsia" w:ascii="楷体" w:hAnsi="楷体" w:eastAsia="楷体" w:cs="楷体"/>
                <w:color w:val="000000" w:themeColor="text1"/>
                <w:szCs w:val="21"/>
                <w:highlight w:val="none"/>
                <w14:textFill>
                  <w14:solidFill>
                    <w14:schemeClr w14:val="tx1"/>
                  </w14:solidFill>
                </w14:textFill>
              </w:rPr>
              <w:t>含本数），超过的本次报价</w:t>
            </w:r>
            <w:r>
              <w:rPr>
                <w:rFonts w:hint="eastAsia" w:ascii="楷体" w:hAnsi="楷体" w:eastAsia="楷体" w:cs="楷体"/>
                <w:color w:val="000000" w:themeColor="text1"/>
                <w:szCs w:val="21"/>
                <w:highlight w:val="none"/>
                <w:lang w:val="en-US" w:eastAsia="zh-CN"/>
                <w14:textFill>
                  <w14:solidFill>
                    <w14:schemeClr w14:val="tx1"/>
                  </w14:solidFill>
                </w14:textFill>
              </w:rPr>
              <w:t>为无效报价。</w:t>
            </w:r>
          </w:p>
        </w:tc>
      </w:tr>
      <w:tr w14:paraId="6AD0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tcBorders>
              <w:bottom w:val="single" w:color="auto" w:sz="4" w:space="0"/>
              <w:right w:val="single" w:color="auto" w:sz="4" w:space="0"/>
            </w:tcBorders>
            <w:noWrap w:val="0"/>
            <w:vAlign w:val="center"/>
          </w:tcPr>
          <w:p w14:paraId="49CCA9BE">
            <w:pPr>
              <w:jc w:val="center"/>
              <w:rPr>
                <w:rFonts w:hint="eastAsia" w:ascii="楷体" w:hAnsi="楷体" w:eastAsia="楷体" w:cs="楷体"/>
                <w:b w:val="0"/>
                <w:bCs w:val="0"/>
                <w:color w:val="000000" w:themeColor="text1"/>
                <w:kern w:val="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Cs w:val="21"/>
                <w:highlight w:val="none"/>
                <w:lang w:val="en-US" w:eastAsia="zh-CN"/>
                <w14:textFill>
                  <w14:solidFill>
                    <w14:schemeClr w14:val="tx1"/>
                  </w14:solidFill>
                </w14:textFill>
              </w:rPr>
              <w:t>3</w:t>
            </w:r>
          </w:p>
        </w:tc>
        <w:tc>
          <w:tcPr>
            <w:tcW w:w="1061" w:type="dxa"/>
            <w:tcBorders>
              <w:left w:val="single" w:color="auto" w:sz="4" w:space="0"/>
              <w:bottom w:val="single" w:color="auto" w:sz="4" w:space="0"/>
              <w:right w:val="single" w:color="auto" w:sz="4" w:space="0"/>
            </w:tcBorders>
            <w:noWrap w:val="0"/>
            <w:vAlign w:val="center"/>
          </w:tcPr>
          <w:p w14:paraId="18C21C4D">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服务方案（30分）</w:t>
            </w:r>
          </w:p>
        </w:tc>
        <w:tc>
          <w:tcPr>
            <w:tcW w:w="1830" w:type="dxa"/>
            <w:tcBorders>
              <w:left w:val="single" w:color="auto" w:sz="4" w:space="0"/>
              <w:bottom w:val="single" w:color="auto" w:sz="4" w:space="0"/>
              <w:right w:val="single" w:color="auto" w:sz="4" w:space="0"/>
            </w:tcBorders>
            <w:noWrap w:val="0"/>
            <w:vAlign w:val="center"/>
          </w:tcPr>
          <w:p w14:paraId="21C297D4">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服务方案认可度</w:t>
            </w:r>
          </w:p>
        </w:tc>
        <w:tc>
          <w:tcPr>
            <w:tcW w:w="680" w:type="dxa"/>
            <w:tcBorders>
              <w:left w:val="single" w:color="auto" w:sz="4" w:space="0"/>
              <w:bottom w:val="single" w:color="auto" w:sz="4" w:space="0"/>
              <w:right w:val="single" w:color="auto" w:sz="4" w:space="0"/>
            </w:tcBorders>
            <w:noWrap w:val="0"/>
            <w:vAlign w:val="center"/>
          </w:tcPr>
          <w:p w14:paraId="1CB1FB55">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30</w:t>
            </w:r>
          </w:p>
        </w:tc>
        <w:tc>
          <w:tcPr>
            <w:tcW w:w="4530" w:type="dxa"/>
            <w:tcBorders>
              <w:top w:val="single" w:color="auto" w:sz="4" w:space="0"/>
              <w:left w:val="single" w:color="auto" w:sz="4" w:space="0"/>
              <w:bottom w:val="single" w:color="auto" w:sz="4" w:space="0"/>
            </w:tcBorders>
            <w:noWrap w:val="0"/>
            <w:vAlign w:val="top"/>
          </w:tcPr>
          <w:p w14:paraId="348D25A1">
            <w:pPr>
              <w:tabs>
                <w:tab w:val="left" w:pos="247"/>
              </w:tabs>
              <w:spacing w:line="360" w:lineRule="auto"/>
              <w:rPr>
                <w:rFonts w:hint="eastAsia" w:ascii="楷体" w:hAnsi="楷体" w:eastAsia="楷体" w:cs="楷体"/>
                <w:b w:val="0"/>
                <w:bCs w:val="0"/>
                <w:color w:val="000000" w:themeColor="text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针对</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比选申请人</w:t>
            </w:r>
            <w:r>
              <w:rPr>
                <w:rFonts w:hint="eastAsia" w:ascii="楷体" w:hAnsi="楷体" w:eastAsia="楷体" w:cs="楷体"/>
                <w:b w:val="0"/>
                <w:bCs w:val="0"/>
                <w:color w:val="000000" w:themeColor="text1"/>
                <w:sz w:val="21"/>
                <w:szCs w:val="21"/>
                <w:highlight w:val="none"/>
                <w14:textFill>
                  <w14:solidFill>
                    <w14:schemeClr w14:val="tx1"/>
                  </w14:solidFill>
                </w14:textFill>
              </w:rPr>
              <w:t>提交的整体</w:t>
            </w:r>
            <w:r>
              <w:rPr>
                <w:rFonts w:hint="eastAsia" w:ascii="楷体" w:hAnsi="楷体" w:eastAsia="楷体" w:cs="楷体"/>
                <w:b w:val="0"/>
                <w:bCs w:val="0"/>
                <w:color w:val="000000" w:themeColor="text1"/>
                <w:sz w:val="21"/>
                <w:szCs w:val="21"/>
                <w:highlight w:val="none"/>
                <w:lang w:eastAsia="zh-Hans"/>
                <w14:textFill>
                  <w14:solidFill>
                    <w14:schemeClr w14:val="tx1"/>
                  </w14:solidFill>
                </w14:textFill>
              </w:rPr>
              <w:t>法律</w:t>
            </w:r>
            <w:r>
              <w:rPr>
                <w:rFonts w:hint="eastAsia" w:ascii="楷体" w:hAnsi="楷体" w:eastAsia="楷体" w:cs="楷体"/>
                <w:b w:val="0"/>
                <w:bCs w:val="0"/>
                <w:color w:val="000000" w:themeColor="text1"/>
                <w:sz w:val="21"/>
                <w:szCs w:val="21"/>
                <w:highlight w:val="none"/>
                <w14:textFill>
                  <w14:solidFill>
                    <w14:schemeClr w14:val="tx1"/>
                  </w14:solidFill>
                </w14:textFill>
              </w:rPr>
              <w:t>服务方案是否完整、科学等进行综合打分。</w:t>
            </w:r>
          </w:p>
          <w:p w14:paraId="4BD47C1B">
            <w:pPr>
              <w:tabs>
                <w:tab w:val="left" w:pos="247"/>
              </w:tabs>
              <w:spacing w:line="360" w:lineRule="auto"/>
              <w:rPr>
                <w:rFonts w:hint="eastAsia" w:ascii="楷体" w:hAnsi="楷体" w:eastAsia="楷体" w:cs="楷体"/>
                <w:b w:val="0"/>
                <w:bCs w:val="0"/>
                <w:color w:val="000000" w:themeColor="text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1.法律分析充分合理，服务方案完整、详尽，服务措施完善、有操作性，得</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20</w:t>
            </w:r>
            <w:r>
              <w:rPr>
                <w:rFonts w:hint="eastAsia" w:ascii="楷体" w:hAnsi="楷体" w:eastAsia="楷体" w:cs="楷体"/>
                <w:b w:val="0"/>
                <w:bCs w:val="0"/>
                <w:color w:val="000000" w:themeColor="text1"/>
                <w:sz w:val="21"/>
                <w:szCs w:val="21"/>
                <w:highlight w:val="none"/>
                <w14:textFill>
                  <w14:solidFill>
                    <w14:schemeClr w14:val="tx1"/>
                  </w14:solidFill>
                </w14:textFill>
              </w:rPr>
              <w:t>-</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30</w:t>
            </w:r>
            <w:r>
              <w:rPr>
                <w:rFonts w:hint="eastAsia" w:ascii="楷体" w:hAnsi="楷体" w:eastAsia="楷体" w:cs="楷体"/>
                <w:b w:val="0"/>
                <w:bCs w:val="0"/>
                <w:color w:val="000000" w:themeColor="text1"/>
                <w:sz w:val="21"/>
                <w:szCs w:val="21"/>
                <w:highlight w:val="none"/>
                <w14:textFill>
                  <w14:solidFill>
                    <w14:schemeClr w14:val="tx1"/>
                  </w14:solidFill>
                </w14:textFill>
              </w:rPr>
              <w:t>分；</w:t>
            </w:r>
          </w:p>
          <w:p w14:paraId="47F774E4">
            <w:pPr>
              <w:tabs>
                <w:tab w:val="left" w:pos="247"/>
              </w:tabs>
              <w:spacing w:line="360" w:lineRule="auto"/>
              <w:rPr>
                <w:rFonts w:hint="eastAsia" w:ascii="楷体" w:hAnsi="楷体" w:eastAsia="楷体" w:cs="楷体"/>
                <w:b w:val="0"/>
                <w:bCs w:val="0"/>
                <w:color w:val="000000" w:themeColor="text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2.有一定法律分析，服务方案较完整，服务措施较完善，有一定操作性，得</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10</w:t>
            </w:r>
            <w:r>
              <w:rPr>
                <w:rFonts w:hint="eastAsia" w:ascii="楷体" w:hAnsi="楷体" w:eastAsia="楷体" w:cs="楷体"/>
                <w:b w:val="0"/>
                <w:bCs w:val="0"/>
                <w:color w:val="000000" w:themeColor="text1"/>
                <w:sz w:val="21"/>
                <w:szCs w:val="21"/>
                <w:highlight w:val="none"/>
                <w14:textFill>
                  <w14:solidFill>
                    <w14:schemeClr w14:val="tx1"/>
                  </w14:solidFill>
                </w14:textFill>
              </w:rPr>
              <w:t>-</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20</w:t>
            </w:r>
            <w:r>
              <w:rPr>
                <w:rFonts w:hint="eastAsia" w:ascii="楷体" w:hAnsi="楷体" w:eastAsia="楷体" w:cs="楷体"/>
                <w:b w:val="0"/>
                <w:bCs w:val="0"/>
                <w:color w:val="000000" w:themeColor="text1"/>
                <w:sz w:val="21"/>
                <w:szCs w:val="21"/>
                <w:highlight w:val="none"/>
                <w14:textFill>
                  <w14:solidFill>
                    <w14:schemeClr w14:val="tx1"/>
                  </w14:solidFill>
                </w14:textFill>
              </w:rPr>
              <w:t>分；</w:t>
            </w:r>
          </w:p>
          <w:p w14:paraId="657B2B74">
            <w:pPr>
              <w:tabs>
                <w:tab w:val="left" w:pos="247"/>
              </w:tabs>
              <w:spacing w:line="360" w:lineRule="auto"/>
              <w:rPr>
                <w:rFonts w:hint="eastAsia" w:ascii="楷体" w:hAnsi="楷体" w:eastAsia="楷体" w:cs="楷体"/>
                <w:b w:val="0"/>
                <w:bCs w:val="0"/>
                <w:color w:val="000000" w:themeColor="text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3.法律分析不充分，服务方案不够详尽，服务措施不够完善，操作性较差，得1-</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10</w:t>
            </w:r>
            <w:r>
              <w:rPr>
                <w:rFonts w:hint="eastAsia" w:ascii="楷体" w:hAnsi="楷体" w:eastAsia="楷体" w:cs="楷体"/>
                <w:b w:val="0"/>
                <w:bCs w:val="0"/>
                <w:color w:val="000000" w:themeColor="text1"/>
                <w:sz w:val="21"/>
                <w:szCs w:val="21"/>
                <w:highlight w:val="none"/>
                <w14:textFill>
                  <w14:solidFill>
                    <w14:schemeClr w14:val="tx1"/>
                  </w14:solidFill>
                </w14:textFill>
              </w:rPr>
              <w:t>分；</w:t>
            </w:r>
          </w:p>
          <w:p w14:paraId="2D474CDC">
            <w:pPr>
              <w:jc w:val="left"/>
              <w:outlineLvl w:val="0"/>
              <w:rPr>
                <w:rFonts w:hint="eastAsia" w:ascii="楷体" w:hAnsi="楷体" w:eastAsia="楷体" w:cs="楷体"/>
                <w:b w:val="0"/>
                <w:bCs w:val="0"/>
                <w:color w:val="000000" w:themeColor="text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4.没有方案不得分。</w:t>
            </w:r>
          </w:p>
        </w:tc>
      </w:tr>
      <w:tr w14:paraId="6B1E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3CB520F9">
            <w:pPr>
              <w:jc w:val="center"/>
              <w:rPr>
                <w:rFonts w:hint="eastAsia" w:ascii="楷体" w:hAnsi="楷体" w:eastAsia="楷体" w:cs="楷体"/>
                <w:b w:val="0"/>
                <w:bCs w:val="0"/>
                <w:color w:val="000000" w:themeColor="text1"/>
                <w:kern w:val="1"/>
                <w:szCs w:val="21"/>
                <w:highlight w:val="none"/>
                <w:lang w:eastAsia="zh-CN"/>
                <w14:textFill>
                  <w14:solidFill>
                    <w14:schemeClr w14:val="tx1"/>
                  </w14:solidFill>
                </w14:textFill>
              </w:rPr>
            </w:pPr>
            <w:r>
              <w:rPr>
                <w:rFonts w:hint="eastAsia" w:ascii="楷体" w:hAnsi="楷体" w:eastAsia="楷体" w:cs="楷体"/>
                <w:b w:val="0"/>
                <w:bCs w:val="0"/>
                <w:color w:val="000000" w:themeColor="text1"/>
                <w:kern w:val="1"/>
                <w:szCs w:val="21"/>
                <w:highlight w:val="none"/>
                <w:lang w:val="en-US" w:eastAsia="zh-CN"/>
                <w14:textFill>
                  <w14:solidFill>
                    <w14:schemeClr w14:val="tx1"/>
                  </w14:solidFill>
                </w14:textFill>
              </w:rPr>
              <w:t>4</w:t>
            </w:r>
          </w:p>
        </w:tc>
        <w:tc>
          <w:tcPr>
            <w:tcW w:w="1061" w:type="dxa"/>
            <w:vMerge w:val="restart"/>
            <w:tcBorders>
              <w:top w:val="single" w:color="auto" w:sz="4" w:space="0"/>
              <w:left w:val="single" w:color="auto" w:sz="4" w:space="0"/>
              <w:right w:val="single" w:color="auto" w:sz="4" w:space="0"/>
            </w:tcBorders>
            <w:noWrap w:val="0"/>
            <w:vAlign w:val="center"/>
          </w:tcPr>
          <w:p w14:paraId="2E746678">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w:t>
            </w:r>
          </w:p>
          <w:p w14:paraId="5EDEAB56">
            <w:pPr>
              <w:jc w:val="cente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25分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26138">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AF7DBAD">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p>
        </w:tc>
        <w:tc>
          <w:tcPr>
            <w:tcW w:w="4530" w:type="dxa"/>
            <w:tcBorders>
              <w:top w:val="single" w:color="auto" w:sz="4" w:space="0"/>
              <w:left w:val="single" w:color="auto" w:sz="4" w:space="0"/>
              <w:bottom w:val="single" w:color="auto" w:sz="4" w:space="0"/>
            </w:tcBorders>
            <w:noWrap w:val="0"/>
            <w:vAlign w:val="center"/>
          </w:tcPr>
          <w:p w14:paraId="7D133DC3">
            <w:pPr>
              <w:numPr>
                <w:ilvl w:val="-1"/>
                <w:numId w:val="0"/>
              </w:numP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服务团队律师执业年限和教育背景：三名及以上律师执业满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8</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Hans"/>
                <w14:textFill>
                  <w14:solidFill>
                    <w14:schemeClr w14:val="tx1"/>
                  </w14:solidFill>
                </w14:textFill>
              </w:rPr>
              <w:t>二名及以上</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分，一名律师执业满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不满足不得分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p w14:paraId="6DC469EB">
            <w:pPr>
              <w:numPr>
                <w:ilvl w:val="-1"/>
                <w:numId w:val="0"/>
              </w:numP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pPr>
            <w:r>
              <w:rPr>
                <w:rFonts w:hint="eastAsia" w:ascii="楷体" w:hAnsi="楷体" w:eastAsia="楷体" w:cs="楷体"/>
                <w:b w:val="0"/>
                <w:bCs w:val="0"/>
                <w:color w:val="000000" w:themeColor="text1"/>
                <w:sz w:val="21"/>
                <w:szCs w:val="21"/>
                <w:highlight w:val="none"/>
                <w:lang w:bidi="zh-TW"/>
                <w14:textFill>
                  <w14:solidFill>
                    <w14:schemeClr w14:val="tx1"/>
                  </w14:solidFill>
                </w14:textFill>
              </w:rPr>
              <w:t>服务团队固定且不少于</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5</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人的律师顾问团队</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的</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（不含实习律师、律师助理）得</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2分</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3至4人</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（不含实习律师、律师助理）</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得1分。</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未达条件</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为无效报价</w:t>
            </w:r>
            <w:r>
              <w:rPr>
                <w:rFonts w:hint="eastAsia" w:ascii="楷体" w:hAnsi="楷体" w:eastAsia="楷体" w:cs="楷体"/>
                <w:b w:val="0"/>
                <w:bCs w:val="0"/>
                <w:color w:val="000000" w:themeColor="text1"/>
                <w:sz w:val="21"/>
                <w:szCs w:val="21"/>
                <w:highlight w:val="none"/>
                <w:lang w:eastAsia="zh-CN" w:bidi="zh-TW"/>
                <w14:textFill>
                  <w14:solidFill>
                    <w14:schemeClr w14:val="tx1"/>
                  </w14:solidFill>
                </w14:textFill>
              </w:rPr>
              <w:t>。</w:t>
            </w:r>
          </w:p>
          <w:p w14:paraId="018F3284">
            <w:pPr>
              <w:pStyle w:val="6"/>
              <w:ind w:left="0" w:leftChars="0" w:firstLine="0" w:firstLineChars="0"/>
              <w:rPr>
                <w:rFonts w:hint="default"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p>
        </w:tc>
      </w:tr>
      <w:tr w14:paraId="508F0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2954F74E">
            <w:pPr>
              <w:jc w:val="center"/>
              <w:rPr>
                <w:rFonts w:hint="eastAsia" w:ascii="楷体" w:hAnsi="楷体" w:eastAsia="楷体" w:cs="楷体"/>
                <w:b w:val="0"/>
                <w:bCs w:val="0"/>
                <w:color w:val="000000" w:themeColor="text1"/>
                <w:kern w:val="1"/>
                <w:szCs w:val="21"/>
                <w:highlight w:val="none"/>
                <w14:textFill>
                  <w14:solidFill>
                    <w14:schemeClr w14:val="tx1"/>
                  </w14:solidFill>
                </w14:textFill>
              </w:rPr>
            </w:pPr>
          </w:p>
        </w:tc>
        <w:tc>
          <w:tcPr>
            <w:tcW w:w="1061" w:type="dxa"/>
            <w:vMerge w:val="continue"/>
            <w:tcBorders>
              <w:left w:val="single" w:color="auto" w:sz="4" w:space="0"/>
              <w:right w:val="single" w:color="auto" w:sz="4" w:space="0"/>
            </w:tcBorders>
            <w:noWrap w:val="0"/>
            <w:vAlign w:val="center"/>
          </w:tcPr>
          <w:p w14:paraId="4B40F664">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69ABAB">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7ABE4A6">
            <w:pPr>
              <w:jc w:val="cente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w:t>
            </w:r>
          </w:p>
        </w:tc>
        <w:tc>
          <w:tcPr>
            <w:tcW w:w="4530" w:type="dxa"/>
            <w:tcBorders>
              <w:top w:val="single" w:color="auto" w:sz="4" w:space="0"/>
              <w:left w:val="single" w:color="auto" w:sz="4" w:space="0"/>
              <w:bottom w:val="single" w:color="auto" w:sz="4" w:space="0"/>
            </w:tcBorders>
            <w:noWrap w:val="0"/>
            <w:vAlign w:val="center"/>
          </w:tcPr>
          <w:p w14:paraId="509A8CDC">
            <w:pPr>
              <w:pStyle w:val="6"/>
              <w:ind w:left="0" w:leftChars="0" w:firstLine="0" w:firstLineChars="0"/>
              <w:rPr>
                <w:rFonts w:hint="default" w:eastAsia="楷体"/>
                <w:color w:val="000000" w:themeColor="text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服务团队有为国企提供企业/政府部门提供诉讼或非诉法律服务标的金额1000万（含1000万）以上的，每增加一例得3分，最高不超过15分。</w:t>
            </w:r>
          </w:p>
        </w:tc>
      </w:tr>
      <w:tr w14:paraId="57CA6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093CA3D">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合计</w:t>
            </w:r>
          </w:p>
        </w:tc>
        <w:tc>
          <w:tcPr>
            <w:tcW w:w="5210" w:type="dxa"/>
            <w:gridSpan w:val="2"/>
            <w:tcBorders>
              <w:top w:val="single" w:color="auto" w:sz="4" w:space="0"/>
              <w:left w:val="single" w:color="auto" w:sz="4" w:space="0"/>
            </w:tcBorders>
            <w:noWrap w:val="0"/>
            <w:vAlign w:val="center"/>
          </w:tcPr>
          <w:p w14:paraId="09BBB160">
            <w:pPr>
              <w:jc w:val="cente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100分</w:t>
            </w:r>
          </w:p>
        </w:tc>
      </w:tr>
    </w:tbl>
    <w:p w14:paraId="52CD92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如总评分相同，</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按</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比选报价评分</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由高到低顺序排列；</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总</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评分相同的，按</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总</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评分均相同的，按</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团队服务</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总</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服务方案、团队服务</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评分均相同的，按</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履约能力</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评分由高到低顺序排列；</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总</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评分相同，且</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比选报价</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服务方案</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团队服务、履约能力</w:t>
      </w:r>
      <w:r>
        <w:rPr>
          <w:rFonts w:hint="eastAsia" w:ascii="楷体" w:hAnsi="楷体" w:eastAsia="楷体" w:cs="楷体"/>
          <w:b w:val="0"/>
          <w:bCs w:val="0"/>
          <w:color w:val="000000" w:themeColor="text1"/>
          <w:kern w:val="1"/>
          <w:sz w:val="21"/>
          <w:szCs w:val="21"/>
          <w:highlight w:val="none"/>
          <w:lang w:val="zh-CN" w:eastAsia="zh-CN" w:bidi="ar-SA"/>
          <w14:textFill>
            <w14:solidFill>
              <w14:schemeClr w14:val="tx1"/>
            </w14:solidFill>
          </w14:textFill>
        </w:rPr>
        <w:t>评分均相同，名次由评审组抽签决定，评审组按上述排列顺序向比选人推荐1-3名中选候选人</w:t>
      </w: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。文件所指近3年为2022年1月1日至比选文件递交截止日。</w:t>
      </w:r>
    </w:p>
    <w:p w14:paraId="36DAEAE4">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707F56B1">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02600C47">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50D7B977">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3058DE26">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3FDCEE51">
      <w:pPr>
        <w:pStyle w:val="2"/>
        <w:rPr>
          <w:color w:val="000000" w:themeColor="text1"/>
          <w:highlight w:val="none"/>
          <w14:textFill>
            <w14:solidFill>
              <w14:schemeClr w14:val="tx1"/>
            </w14:solidFill>
          </w14:textFill>
        </w:rPr>
      </w:pPr>
    </w:p>
    <w:p w14:paraId="2B27AFAC">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5A799173">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4CA474D3">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25FA21B5">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5D03411E">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7814A3C2">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05EAE551">
      <w:pPr>
        <w:keepNext/>
        <w:keepLines/>
        <w:widowControl w:val="0"/>
        <w:spacing w:before="0" w:after="156" w:afterLines="50" w:line="460" w:lineRule="exact"/>
        <w:jc w:val="center"/>
        <w:outlineLvl w:val="0"/>
        <w:rPr>
          <w:rFonts w:ascii="仿宋_GB2312" w:hAnsi="仿宋_GB2312" w:eastAsia="仿宋_GB2312" w:cs="仿宋_GB2312"/>
          <w:b/>
          <w:bCs/>
          <w:color w:val="000000" w:themeColor="text1"/>
          <w:kern w:val="0"/>
          <w:sz w:val="32"/>
          <w:szCs w:val="32"/>
          <w:highlight w:val="none"/>
          <w:lang w:val="zh-CN" w:eastAsia="zh-CN" w:bidi="ar-SA"/>
          <w14:textFill>
            <w14:solidFill>
              <w14:schemeClr w14:val="tx1"/>
            </w14:solidFill>
          </w14:textFill>
        </w:rPr>
      </w:pPr>
      <w:bookmarkStart w:id="416" w:name="_Toc18600"/>
      <w:bookmarkStart w:id="417" w:name="_Toc3249"/>
      <w:bookmarkStart w:id="418" w:name="_Toc10904"/>
      <w:bookmarkStart w:id="419" w:name="_Toc28949"/>
      <w:bookmarkStart w:id="420" w:name="_Toc19065"/>
      <w:bookmarkStart w:id="421" w:name="_Toc12996"/>
      <w:bookmarkStart w:id="422" w:name="_Toc332"/>
      <w:bookmarkStart w:id="423" w:name="_Toc5396"/>
      <w:bookmarkStart w:id="424" w:name="_Toc13785"/>
      <w:bookmarkStart w:id="425" w:name="_Toc23662"/>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 xml:space="preserve">第七章 </w:t>
      </w:r>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主要</w:t>
      </w:r>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1895C74B">
      <w:pPr>
        <w:spacing w:line="460" w:lineRule="exact"/>
        <w:ind w:firstLine="480" w:firstLineChars="20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合同编号：</w:t>
      </w:r>
    </w:p>
    <w:p w14:paraId="5A30A7C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p>
    <w:p w14:paraId="54482E45">
      <w:pPr>
        <w:spacing w:before="156" w:beforeLines="50" w:line="360" w:lineRule="exact"/>
        <w:ind w:left="3036" w:leftChars="230" w:hanging="2553" w:hangingChars="1211"/>
        <w:rPr>
          <w:rFonts w:ascii="Times" w:hAnsi="Times" w:eastAsia="楷体"/>
          <w:color w:val="000000" w:themeColor="text1"/>
          <w:highlight w:val="none"/>
          <w14:textFill>
            <w14:solidFill>
              <w14:schemeClr w14:val="tx1"/>
            </w14:solidFill>
          </w14:textFill>
        </w:rPr>
      </w:pPr>
      <w:bookmarkStart w:id="426" w:name="_Toc29145"/>
      <w:bookmarkStart w:id="427" w:name="_Toc23657"/>
      <w:bookmarkStart w:id="428" w:name="_Toc5104"/>
      <w:r>
        <w:rPr>
          <w:rFonts w:ascii="Times" w:hAnsi="Times" w:eastAsia="楷体"/>
          <w:b/>
          <w:color w:val="000000" w:themeColor="text1"/>
          <w:highlight w:val="none"/>
          <w14:textFill>
            <w14:solidFill>
              <w14:schemeClr w14:val="tx1"/>
            </w14:solidFill>
          </w14:textFill>
        </w:rPr>
        <w:t>委托人</w:t>
      </w:r>
      <w:r>
        <w:rPr>
          <w:rFonts w:ascii="Times" w:hAnsi="Times" w:eastAsia="楷体"/>
          <w:color w:val="000000" w:themeColor="text1"/>
          <w:highlight w:val="none"/>
          <w14:textFill>
            <w14:solidFill>
              <w14:schemeClr w14:val="tx1"/>
            </w14:solidFill>
          </w14:textFill>
        </w:rPr>
        <w:t>（以下简称</w:t>
      </w:r>
      <w:r>
        <w:rPr>
          <w:rFonts w:ascii="楷体" w:hAnsi="楷体" w:eastAsia="楷体"/>
          <w:color w:val="000000" w:themeColor="text1"/>
          <w:highlight w:val="none"/>
          <w14:textFill>
            <w14:solidFill>
              <w14:schemeClr w14:val="tx1"/>
            </w14:solidFill>
          </w14:textFill>
        </w:rPr>
        <w:t>甲方）：</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s="楷体"/>
          <w:color w:val="000000" w:themeColor="text1"/>
          <w:highlight w:val="none"/>
          <w:lang w:val="en-US" w:eastAsia="zh-CN"/>
          <w14:textFill>
            <w14:solidFill>
              <w14:schemeClr w14:val="tx1"/>
            </w14:solidFill>
          </w14:textFill>
        </w:rPr>
        <w:t>有限公司</w:t>
      </w:r>
    </w:p>
    <w:p w14:paraId="2765127F">
      <w:pPr>
        <w:spacing w:before="156" w:beforeLines="50" w:line="360" w:lineRule="exact"/>
        <w:ind w:left="1547" w:leftChars="229" w:hanging="1066" w:hangingChars="508"/>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法定地址：</w:t>
      </w:r>
    </w:p>
    <w:p w14:paraId="2B8C4D65">
      <w:pPr>
        <w:spacing w:before="156" w:beforeLines="50" w:line="360" w:lineRule="exact"/>
        <w:ind w:left="1547" w:leftChars="229" w:hanging="1066" w:hangingChars="508"/>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联系电话：</w:t>
      </w:r>
    </w:p>
    <w:p w14:paraId="53BDFF33">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p>
    <w:p w14:paraId="3AF42A0F">
      <w:pPr>
        <w:spacing w:before="156" w:beforeLines="50" w:line="360" w:lineRule="exact"/>
        <w:ind w:left="3036" w:leftChars="230" w:hanging="2553" w:hangingChars="1211"/>
        <w:rPr>
          <w:rFonts w:ascii="Times" w:hAnsi="Times" w:eastAsia="楷体"/>
          <w:color w:val="000000" w:themeColor="text1"/>
          <w:highlight w:val="none"/>
          <w14:textFill>
            <w14:solidFill>
              <w14:schemeClr w14:val="tx1"/>
            </w14:solidFill>
          </w14:textFill>
        </w:rPr>
      </w:pPr>
      <w:r>
        <w:rPr>
          <w:rFonts w:ascii="Times" w:hAnsi="Times" w:eastAsia="楷体"/>
          <w:b/>
          <w:color w:val="000000" w:themeColor="text1"/>
          <w:highlight w:val="none"/>
          <w14:textFill>
            <w14:solidFill>
              <w14:schemeClr w14:val="tx1"/>
            </w14:solidFill>
          </w14:textFill>
        </w:rPr>
        <w:t>受托人</w:t>
      </w:r>
      <w:r>
        <w:rPr>
          <w:rFonts w:ascii="Times" w:hAnsi="Times" w:eastAsia="楷体"/>
          <w:color w:val="000000" w:themeColor="text1"/>
          <w:highlight w:val="none"/>
          <w14:textFill>
            <w14:solidFill>
              <w14:schemeClr w14:val="tx1"/>
            </w14:solidFill>
          </w14:textFill>
        </w:rPr>
        <w:t>（以下简称乙方）：</w:t>
      </w:r>
      <w:r>
        <w:rPr>
          <w:rFonts w:hint="eastAsia" w:ascii="Times" w:hAnsi="Times" w:eastAsia="楷体"/>
          <w:color w:val="000000" w:themeColor="text1"/>
          <w:highlight w:val="none"/>
          <w:lang w:val="en-US" w:eastAsia="zh-CN"/>
          <w14:textFill>
            <w14:solidFill>
              <w14:schemeClr w14:val="tx1"/>
            </w14:solidFill>
          </w14:textFill>
        </w:rPr>
        <w:t>xx</w:t>
      </w:r>
      <w:r>
        <w:rPr>
          <w:rFonts w:ascii="Times" w:hAnsi="Times" w:eastAsia="楷体"/>
          <w:color w:val="000000" w:themeColor="text1"/>
          <w:highlight w:val="none"/>
          <w14:textFill>
            <w14:solidFill>
              <w14:schemeClr w14:val="tx1"/>
            </w14:solidFill>
          </w14:textFill>
        </w:rPr>
        <w:t>律师事务所</w:t>
      </w:r>
    </w:p>
    <w:p w14:paraId="23E63876">
      <w:pPr>
        <w:spacing w:before="156" w:beforeLines="50" w:line="360" w:lineRule="exact"/>
        <w:ind w:left="1547" w:leftChars="229" w:hanging="1066" w:hangingChars="508"/>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法定地址：</w:t>
      </w:r>
    </w:p>
    <w:p w14:paraId="1E11A9F6">
      <w:pPr>
        <w:spacing w:before="156" w:beforeLines="50" w:line="360" w:lineRule="exact"/>
        <w:ind w:left="1547" w:leftChars="229" w:hanging="1066" w:hangingChars="508"/>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联系电话：</w:t>
      </w:r>
    </w:p>
    <w:p w14:paraId="141A322E">
      <w:pPr>
        <w:spacing w:before="156" w:beforeLines="50" w:line="360" w:lineRule="exact"/>
        <w:rPr>
          <w:rFonts w:ascii="Times" w:hAnsi="Times" w:eastAsia="楷体"/>
          <w:color w:val="000000" w:themeColor="text1"/>
          <w:highlight w:val="none"/>
          <w14:textFill>
            <w14:solidFill>
              <w14:schemeClr w14:val="tx1"/>
            </w14:solidFill>
          </w14:textFill>
        </w:rPr>
      </w:pPr>
    </w:p>
    <w:p w14:paraId="4C03BC58">
      <w:pPr>
        <w:spacing w:before="156" w:beforeLines="50" w:line="360" w:lineRule="exact"/>
        <w:ind w:firstLine="422" w:firstLineChars="200"/>
        <w:rPr>
          <w:rFonts w:ascii="Times" w:hAnsi="Times" w:eastAsia="楷体"/>
          <w:b/>
          <w:bCs/>
          <w:color w:val="000000" w:themeColor="text1"/>
          <w:highlight w:val="none"/>
          <w:u w:color="FFFFFF"/>
          <w14:textFill>
            <w14:solidFill>
              <w14:schemeClr w14:val="tx1"/>
            </w14:solidFill>
          </w14:textFill>
        </w:rPr>
      </w:pPr>
      <w:r>
        <w:rPr>
          <w:rFonts w:ascii="Times" w:hAnsi="Times" w:eastAsia="楷体"/>
          <w:b/>
          <w:bCs/>
          <w:color w:val="000000" w:themeColor="text1"/>
          <w:highlight w:val="none"/>
          <w:u w:color="FFFFFF"/>
          <w14:textFill>
            <w14:solidFill>
              <w14:schemeClr w14:val="tx1"/>
            </w14:solidFill>
          </w14:textFill>
        </w:rPr>
        <w:t>鉴于：</w:t>
      </w:r>
    </w:p>
    <w:p w14:paraId="465D4732">
      <w:pPr>
        <w:numPr>
          <w:ilvl w:val="0"/>
          <w:numId w:val="3"/>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甲方是</w:t>
      </w:r>
      <w:r>
        <w:rPr>
          <w:rFonts w:eastAsia="楷体"/>
          <w:color w:val="000000" w:themeColor="text1"/>
          <w:highlight w:val="none"/>
          <w:u w:color="FFFFFF"/>
          <w14:textFill>
            <w14:solidFill>
              <w14:schemeClr w14:val="tx1"/>
            </w14:solidFill>
          </w14:textFill>
        </w:rPr>
        <w:t>一家在中华人民共和国境内经合法注册、有效运营的公司</w:t>
      </w:r>
      <w:r>
        <w:rPr>
          <w:rFonts w:ascii="Times" w:hAnsi="Times" w:eastAsia="楷体"/>
          <w:color w:val="000000" w:themeColor="text1"/>
          <w:highlight w:val="none"/>
          <w:u w:color="FFFFFF"/>
          <w14:textFill>
            <w14:solidFill>
              <w14:schemeClr w14:val="tx1"/>
            </w14:solidFill>
          </w14:textFill>
        </w:rPr>
        <w:t>；</w:t>
      </w:r>
    </w:p>
    <w:p w14:paraId="03813118">
      <w:pPr>
        <w:numPr>
          <w:ilvl w:val="0"/>
          <w:numId w:val="3"/>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乙方是一家在中华人民共和国境内经合法注册登记成立的提供律师法律服务的大型的特殊普通合伙制律师事务所；</w:t>
      </w:r>
    </w:p>
    <w:p w14:paraId="0E4516BA">
      <w:pPr>
        <w:numPr>
          <w:ilvl w:val="0"/>
          <w:numId w:val="3"/>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s="Times New Roman"/>
          <w:color w:val="000000" w:themeColor="text1"/>
          <w:highlight w:val="none"/>
          <w:u w:color="FFFFFF"/>
          <w14:textFill>
            <w14:solidFill>
              <w14:schemeClr w14:val="tx1"/>
            </w14:solidFill>
          </w14:textFill>
        </w:rPr>
        <w:t>甲方因与</w:t>
      </w:r>
      <w:r>
        <w:rPr>
          <w:rFonts w:hint="eastAsia" w:ascii="Times" w:hAnsi="Times" w:eastAsia="楷体" w:cs="Times New Roman"/>
          <w:color w:val="000000" w:themeColor="text1"/>
          <w:highlight w:val="none"/>
          <w:u w:val="single" w:color="auto"/>
          <w:lang w:val="en-US" w:eastAsia="zh-CN"/>
          <w14:textFill>
            <w14:solidFill>
              <w14:schemeClr w14:val="tx1"/>
            </w14:solidFill>
          </w14:textFill>
        </w:rPr>
        <w:t xml:space="preserve">  xxx 有限公司</w:t>
      </w:r>
      <w:r>
        <w:rPr>
          <w:rFonts w:hint="eastAsia" w:ascii="Times" w:hAnsi="Times" w:eastAsia="楷体" w:cs="Times New Roman"/>
          <w:color w:val="000000" w:themeColor="text1"/>
          <w:highlight w:val="none"/>
          <w:u w:val="none" w:color="auto"/>
          <w:lang w:val="en-US" w:eastAsia="zh-CN"/>
          <w14:textFill>
            <w14:solidFill>
              <w14:schemeClr w14:val="tx1"/>
            </w14:solidFill>
          </w14:textFill>
        </w:rPr>
        <w:t>买卖</w:t>
      </w:r>
      <w:r>
        <w:rPr>
          <w:rFonts w:hint="eastAsia" w:ascii="Times" w:hAnsi="Times" w:eastAsia="楷体" w:cs="Times New Roman"/>
          <w:color w:val="000000" w:themeColor="text1"/>
          <w:highlight w:val="none"/>
          <w:u w:color="FFFFFF"/>
          <w14:textFill>
            <w14:solidFill>
              <w14:schemeClr w14:val="tx1"/>
            </w14:solidFill>
          </w14:textFill>
        </w:rPr>
        <w:t>合同</w:t>
      </w:r>
      <w:r>
        <w:rPr>
          <w:rFonts w:ascii="Times" w:hAnsi="Times" w:eastAsia="楷体" w:cs="Times New Roman"/>
          <w:color w:val="000000" w:themeColor="text1"/>
          <w:highlight w:val="none"/>
          <w:u w:color="FFFFFF"/>
          <w14:textFill>
            <w14:solidFill>
              <w14:schemeClr w14:val="tx1"/>
            </w14:solidFill>
          </w14:textFill>
        </w:rPr>
        <w:t>纠纷一案拟在中华人民共和国境内聘请一家具有合法执业资格的律师事务所为甲方提供法律服</w:t>
      </w:r>
      <w:r>
        <w:rPr>
          <w:rFonts w:ascii="Times" w:hAnsi="Times" w:eastAsia="楷体"/>
          <w:color w:val="000000" w:themeColor="text1"/>
          <w:highlight w:val="none"/>
          <w:u w:color="FFFFFF"/>
          <w14:textFill>
            <w14:solidFill>
              <w14:schemeClr w14:val="tx1"/>
            </w14:solidFill>
          </w14:textFill>
        </w:rPr>
        <w:t>务。</w:t>
      </w:r>
    </w:p>
    <w:p w14:paraId="0B85891B">
      <w:pPr>
        <w:spacing w:before="156" w:beforeLines="50" w:line="360" w:lineRule="exact"/>
        <w:ind w:firstLine="420" w:firstLineChars="20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双方本着平等协商的原则，就合同有关条款达成一致，共同遵照执行。</w:t>
      </w:r>
    </w:p>
    <w:p w14:paraId="1CE998BE">
      <w:pPr>
        <w:numPr>
          <w:ilvl w:val="0"/>
          <w:numId w:val="4"/>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委托代理事项</w:t>
      </w:r>
    </w:p>
    <w:p w14:paraId="489572E3">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乙方接受甲方委托，并应甲方要求，乙方安排本所</w:t>
      </w:r>
      <w:r>
        <w:rPr>
          <w:rFonts w:ascii="Times" w:hAnsi="Times" w:eastAsia="Kaiti SC"/>
          <w:color w:val="000000" w:themeColor="text1"/>
          <w:highlight w:val="none"/>
          <w:u w:val="single"/>
          <w14:textFill>
            <w14:solidFill>
              <w14:schemeClr w14:val="tx1"/>
            </w14:solidFill>
          </w14:textFill>
        </w:rPr>
        <w:t xml:space="preserve"> </w:t>
      </w:r>
      <w:r>
        <w:rPr>
          <w:rFonts w:hint="eastAsia" w:ascii="Times" w:hAnsi="Times" w:eastAsia="Kaiti SC"/>
          <w:color w:val="000000" w:themeColor="text1"/>
          <w:highlight w:val="none"/>
          <w:u w:val="single"/>
          <w:lang w:val="en-US" w:eastAsia="zh-CN"/>
          <w14:textFill>
            <w14:solidFill>
              <w14:schemeClr w14:val="tx1"/>
            </w14:solidFill>
          </w14:textFill>
        </w:rPr>
        <w:t xml:space="preserve">   </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 xml:space="preserve">律师担任本合同项下 </w:t>
      </w:r>
      <w:r>
        <w:rPr>
          <w:rFonts w:hint="eastAsia" w:ascii="Times" w:hAnsi="Times" w:eastAsia="楷体"/>
          <w:color w:val="000000" w:themeColor="text1"/>
          <w:highlight w:val="none"/>
          <w14:textFill>
            <w14:solidFill>
              <w14:schemeClr w14:val="tx1"/>
            </w14:solidFill>
          </w14:textFill>
        </w:rPr>
        <w:t>甲方与</w:t>
      </w:r>
      <w:r>
        <w:rPr>
          <w:rFonts w:hint="eastAsia" w:ascii="Times" w:hAnsi="Times" w:eastAsia="楷体" w:cs="Times New Roman"/>
          <w:color w:val="000000" w:themeColor="text1"/>
          <w:highlight w:val="none"/>
          <w:u w:val="single" w:color="auto"/>
          <w:lang w:val="en-US" w:eastAsia="zh-CN"/>
          <w14:textFill>
            <w14:solidFill>
              <w14:schemeClr w14:val="tx1"/>
            </w14:solidFill>
          </w14:textFill>
        </w:rPr>
        <w:t>xxx有限公司</w:t>
      </w:r>
      <w:r>
        <w:rPr>
          <w:rFonts w:hint="eastAsia" w:ascii="Times" w:hAnsi="Times" w:eastAsia="楷体" w:cs="Times New Roman"/>
          <w:color w:val="000000" w:themeColor="text1"/>
          <w:highlight w:val="none"/>
          <w:u w:val="none" w:color="auto"/>
          <w:lang w:val="en-US" w:eastAsia="zh-CN"/>
          <w14:textFill>
            <w14:solidFill>
              <w14:schemeClr w14:val="tx1"/>
            </w14:solidFill>
          </w14:textFill>
        </w:rPr>
        <w:t>买卖合同</w:t>
      </w:r>
      <w:r>
        <w:rPr>
          <w:rFonts w:ascii="Times" w:hAnsi="Times" w:eastAsia="楷体"/>
          <w:color w:val="000000" w:themeColor="text1"/>
          <w:highlight w:val="none"/>
          <w14:textFill>
            <w14:solidFill>
              <w14:schemeClr w14:val="tx1"/>
            </w14:solidFill>
          </w14:textFill>
        </w:rPr>
        <w:t>纠纷案甲方的委托代理人。</w:t>
      </w:r>
    </w:p>
    <w:p w14:paraId="28653B58">
      <w:pPr>
        <w:spacing w:before="156" w:beforeLines="50" w:line="360" w:lineRule="exact"/>
        <w:ind w:firstLine="420" w:firstLineChars="200"/>
        <w:rPr>
          <w:rFonts w:hint="eastAsia" w:ascii="楷体" w:hAnsi="楷体" w:eastAsia="楷体" w:cs="楷体"/>
          <w:color w:val="000000" w:themeColor="text1"/>
          <w:highlight w:val="none"/>
          <w:u w:val="singl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代理事</w:t>
      </w:r>
      <w:r>
        <w:rPr>
          <w:rFonts w:hint="eastAsia" w:ascii="楷体" w:hAnsi="楷体" w:eastAsia="楷体" w:cs="楷体"/>
          <w:color w:val="000000" w:themeColor="text1"/>
          <w:sz w:val="24"/>
          <w:szCs w:val="24"/>
          <w:highlight w:val="none"/>
          <w14:textFill>
            <w14:solidFill>
              <w14:schemeClr w14:val="tx1"/>
            </w14:solidFill>
          </w14:textFill>
        </w:rPr>
        <w:t xml:space="preserve">项为： 一审； 二审； 申诉； 再审； 执行； 仲裁；行政复议； 国家赔偿。 </w:t>
      </w:r>
    </w:p>
    <w:p w14:paraId="4EA26061">
      <w:pPr>
        <w:numPr>
          <w:ilvl w:val="0"/>
          <w:numId w:val="4"/>
        </w:numPr>
        <w:spacing w:before="156" w:beforeLines="50" w:line="36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委托代理权限</w:t>
      </w:r>
    </w:p>
    <w:p w14:paraId="46585908">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甲方授予乙方律师的代理权限为</w:t>
      </w:r>
      <w:r>
        <w:rPr>
          <w:rFonts w:ascii="Times" w:hAnsi="Times" w:eastAsia="Kaiti SC"/>
          <w:color w:val="000000" w:themeColor="text1"/>
          <w:highlight w:val="none"/>
          <w:u w:val="single"/>
          <w14:textFill>
            <w14:solidFill>
              <w14:schemeClr w14:val="tx1"/>
            </w14:solidFill>
          </w14:textFill>
        </w:rPr>
        <w:t xml:space="preserve"> </w:t>
      </w:r>
      <w:r>
        <w:rPr>
          <w:rFonts w:hint="eastAsia" w:ascii="Times" w:hAnsi="Times" w:eastAsia="Kaiti SC"/>
          <w:color w:val="000000" w:themeColor="text1"/>
          <w:highlight w:val="none"/>
          <w:u w:val="single"/>
          <w:lang w:val="en-US" w:eastAsia="zh-CN"/>
          <w14:textFill>
            <w14:solidFill>
              <w14:schemeClr w14:val="tx1"/>
            </w14:solidFill>
          </w14:textFill>
        </w:rPr>
        <w:t xml:space="preserve">  </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代理（具体权限详见《授权委托书》）。在代理期间内如需变更代理权限，双方需另行协商。</w:t>
      </w:r>
    </w:p>
    <w:p w14:paraId="465C620C">
      <w:pPr>
        <w:numPr>
          <w:ilvl w:val="0"/>
          <w:numId w:val="4"/>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甲方的权利义务</w:t>
      </w:r>
    </w:p>
    <w:p w14:paraId="612A2D8A">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甲方有权要求乙方承办律师及时通报服务或案情进展情况，对乙方提供的法律服务有权提出意见或建议。</w:t>
      </w:r>
    </w:p>
    <w:p w14:paraId="2A21F667">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甲方有权拒绝乙方及承办律师提出的本委托合同约定之外的报酬、报销、补贴、津贴或者馈赠要求。</w:t>
      </w:r>
    </w:p>
    <w:p w14:paraId="73F69D24">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甲方应当真实、详尽和及时地向乙方叙述案情，提供与委托代理事项有关的证据、文件及其他事实材料；并积极、主动地配合乙方律师的工作，甲方对乙方律师提出的要求应当明确合理。</w:t>
      </w:r>
    </w:p>
    <w:p w14:paraId="56F7521B">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甲方应当按时、足额向乙方支付律师代理费和工作费用。</w:t>
      </w:r>
    </w:p>
    <w:p w14:paraId="6915C287">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甲方指定</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为本案联系人（联系电话：</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），负责转达甲方的指示和要求，提供文件和资料等，甲方更换联系人（或更换联系电话）应当及时通知乙方。</w:t>
      </w:r>
    </w:p>
    <w:p w14:paraId="02D4A464">
      <w:pPr>
        <w:numPr>
          <w:ilvl w:val="0"/>
          <w:numId w:val="5"/>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甲方有责任对委托代理事项做出独立的判断、决策，甲方根据乙方律师提供的法律意见、建议、方案所做出的决定而导致的损失，非因乙方律师错误运用法律等失职行为造成的，由甲方自行承担责任。</w:t>
      </w:r>
    </w:p>
    <w:p w14:paraId="32B340A8">
      <w:pPr>
        <w:numPr>
          <w:ilvl w:val="0"/>
          <w:numId w:val="4"/>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乙方的权利义务</w:t>
      </w:r>
    </w:p>
    <w:p w14:paraId="21C44CF2">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乙方指派人员应当以事实为依据，以法律为准绳，认真负责地维护甲方的合法权益，并按甲方要求及时通报案件进展情况，遇到重大决定，必须经过甲方的书面确认。</w:t>
      </w:r>
    </w:p>
    <w:p w14:paraId="02C89737">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乙方律师应当以其依据法律做出的判断，向甲方进行法律风险提示，尽最大努力维护甲方利益。</w:t>
      </w:r>
    </w:p>
    <w:p w14:paraId="645DCE67">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乙方律师对其获知的甲方的商业机密或者甲方的个人隐私负有保密责任，非由法律规定或甲方同意，不得向任何第三方披露。</w:t>
      </w:r>
    </w:p>
    <w:p w14:paraId="7DC432D0">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乙方如发现甲方有捏造事实、隐瞒事实真相或提供虚假证据等行为的，乙方有权解除本合同终止委托关系，已收取的律师服务费不予退还。</w:t>
      </w:r>
    </w:p>
    <w:p w14:paraId="6ADE4DE5">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乙方律师不得违反《律师执业规范》，在涉及甲方的对抗性案件中，未经甲方同意，不得同时担任与甲方具有法律上利益冲突的另一方的委托代理人。</w:t>
      </w:r>
    </w:p>
    <w:p w14:paraId="6D5F3F9A">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szCs w:val="28"/>
          <w:highlight w:val="none"/>
          <w:u w:color="FFFFFF"/>
          <w14:textFill>
            <w14:solidFill>
              <w14:schemeClr w14:val="tx1"/>
            </w14:solidFill>
          </w14:textFill>
        </w:rPr>
        <w:t>如乙方在代理过程中因重大过失或者故意给甲方造成损失的，乙方应当按照《合伙企业法》第57条、《律师法》第15条、《律师事务所管理办法》第53条规定承担赔偿责任。</w:t>
      </w:r>
    </w:p>
    <w:p w14:paraId="7A17E90F">
      <w:pPr>
        <w:numPr>
          <w:ilvl w:val="0"/>
          <w:numId w:val="4"/>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文件传递</w:t>
      </w:r>
    </w:p>
    <w:p w14:paraId="0254D6DE">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0BC3C437">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双方文件往来应当严格执行签收制度，因文件缺失导致的不利后果将根据签收记录确定双方责任。</w:t>
      </w:r>
    </w:p>
    <w:p w14:paraId="704B22FC">
      <w:pPr>
        <w:numPr>
          <w:ilvl w:val="0"/>
          <w:numId w:val="4"/>
        </w:num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代理费</w:t>
      </w:r>
      <w:r>
        <w:rPr>
          <w:rFonts w:ascii="Times" w:hAnsi="Times" w:eastAsia="楷体"/>
          <w:color w:val="000000" w:themeColor="text1"/>
          <w:highlight w:val="none"/>
          <w14:textFill>
            <w14:solidFill>
              <w14:schemeClr w14:val="tx1"/>
            </w14:solidFill>
          </w14:textFill>
        </w:rPr>
        <w:t>及其他费用</w:t>
      </w:r>
    </w:p>
    <w:p w14:paraId="0D8A0671">
      <w:pPr>
        <w:spacing w:before="156" w:beforeLines="50" w:line="360" w:lineRule="exact"/>
        <w:ind w:firstLine="420" w:firstLineChars="200"/>
        <w:rPr>
          <w:rFonts w:ascii="Times" w:hAnsi="Times" w:eastAsia="楷体"/>
          <w:color w:val="000000" w:themeColor="text1"/>
          <w:szCs w:val="21"/>
          <w:highlight w:val="none"/>
          <w14:textFill>
            <w14:solidFill>
              <w14:schemeClr w14:val="tx1"/>
            </w14:solidFill>
          </w14:textFill>
        </w:rPr>
      </w:pPr>
      <w:r>
        <w:rPr>
          <w:rFonts w:ascii="Times" w:hAnsi="Times" w:eastAsia="楷体"/>
          <w:color w:val="000000" w:themeColor="text1"/>
          <w:szCs w:val="21"/>
          <w:highlight w:val="none"/>
          <w14:textFill>
            <w14:solidFill>
              <w14:schemeClr w14:val="tx1"/>
            </w14:solidFill>
          </w14:textFill>
        </w:rPr>
        <w:t>双方经充分协商，一致同意按如下方式计付代理费：</w:t>
      </w:r>
    </w:p>
    <w:p w14:paraId="1D9E5203">
      <w:pPr>
        <w:numPr>
          <w:ilvl w:val="0"/>
          <w:numId w:val="8"/>
        </w:num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代理费：</w:t>
      </w:r>
    </w:p>
    <w:p w14:paraId="2D2520FB">
      <w:pPr>
        <w:numPr>
          <w:ilvl w:val="0"/>
          <w:numId w:val="0"/>
        </w:numPr>
        <w:spacing w:before="156" w:beforeLines="50" w:line="360" w:lineRule="exact"/>
        <w:ind w:firstLine="480"/>
        <w:rPr>
          <w:rFonts w:hint="eastAsia" w:ascii="Times" w:hAnsi="Times" w:eastAsia="楷体"/>
          <w:color w:val="000000" w:themeColor="text1"/>
          <w:highlight w:val="none"/>
          <w:lang w:val="en-US" w:eastAsia="zh-CN"/>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基础费用：</w:t>
      </w:r>
    </w:p>
    <w:p w14:paraId="6E229E3C">
      <w:pPr>
        <w:numPr>
          <w:ilvl w:val="0"/>
          <w:numId w:val="0"/>
        </w:numPr>
        <w:spacing w:before="156" w:beforeLines="50" w:line="360" w:lineRule="exact"/>
        <w:ind w:firstLine="480"/>
        <w:rPr>
          <w:rFonts w:hint="default" w:ascii="Times" w:hAnsi="Times" w:eastAsia="楷体"/>
          <w:color w:val="000000" w:themeColor="text1"/>
          <w:highlight w:val="none"/>
          <w:lang w:val="en-US" w:eastAsia="zh-CN"/>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风险费用：</w:t>
      </w:r>
    </w:p>
    <w:p w14:paraId="33317936">
      <w:pPr>
        <w:spacing w:before="156" w:beforeLines="50" w:line="360" w:lineRule="exact"/>
        <w:jc w:val="both"/>
        <w:rPr>
          <w:rFonts w:hint="default" w:ascii="楷体" w:hAnsi="楷体" w:eastAsia="楷体" w:cs="楷体"/>
          <w:color w:val="000000" w:themeColor="text1"/>
          <w:highlight w:val="none"/>
          <w:u w:val="single"/>
          <w:lang w:val="en-US"/>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 xml:space="preserve">    </w:t>
      </w:r>
      <w:r>
        <w:rPr>
          <w:rFonts w:hint="eastAsia" w:ascii="楷体" w:hAnsi="楷体" w:eastAsia="楷体" w:cs="楷体"/>
          <w:color w:val="000000" w:themeColor="text1"/>
          <w:highlight w:val="none"/>
          <w:lang w:val="en-US" w:eastAsia="zh-CN"/>
          <w14:textFill>
            <w14:solidFill>
              <w14:schemeClr w14:val="tx1"/>
            </w14:solidFill>
          </w14:textFill>
        </w:rPr>
        <w:t>以上为含税费用，包括但不限于诉讼阶段仲裁/诉讼一审、二审（若有）、再审（若有）代理费用和执行阶段（若有）代理费用，差旅费（如有），不包含案件办理过程中涉及的诉讼费、保全费、鉴定费、公告费等第三方收取的相关费用；基础代理费由签订合同且甲方收到乙方发票后1</w:t>
      </w:r>
      <w:r>
        <w:rPr>
          <w:rFonts w:hint="eastAsia" w:ascii="楷体" w:hAnsi="楷体" w:eastAsia="楷体" w:cs="楷体"/>
          <w:color w:val="000000" w:themeColor="text1"/>
          <w:highlight w:val="none"/>
          <w:u w:val="single"/>
          <w:lang w:val="en-US" w:eastAsia="zh-CN"/>
          <w14:textFill>
            <w14:solidFill>
              <w14:schemeClr w14:val="tx1"/>
            </w14:solidFill>
          </w14:textFill>
        </w:rPr>
        <w:t>5个工作日</w:t>
      </w:r>
      <w:r>
        <w:rPr>
          <w:rFonts w:hint="eastAsia" w:ascii="楷体" w:hAnsi="楷体" w:eastAsia="楷体" w:cs="楷体"/>
          <w:color w:val="000000" w:themeColor="text1"/>
          <w:highlight w:val="none"/>
          <w:u w:val="none"/>
          <w:lang w:val="en-US" w:eastAsia="zh-CN"/>
          <w14:textFill>
            <w14:solidFill>
              <w14:schemeClr w14:val="tx1"/>
            </w14:solidFill>
          </w14:textFill>
        </w:rPr>
        <w:t>支付</w:t>
      </w:r>
      <w:r>
        <w:rPr>
          <w:rFonts w:hint="eastAsia" w:ascii="楷体" w:hAnsi="楷体" w:eastAsia="楷体" w:cs="楷体"/>
          <w:color w:val="000000" w:themeColor="text1"/>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highlight w:val="none"/>
          <w:u w:val="none"/>
          <w:lang w:val="en-US" w:eastAsia="zh-CN"/>
          <w14:textFill>
            <w14:solidFill>
              <w14:schemeClr w14:val="tx1"/>
            </w14:solidFill>
          </w14:textFill>
        </w:rPr>
        <w:t>%，于判决生效且甲方收到乙方发票后1</w:t>
      </w:r>
      <w:r>
        <w:rPr>
          <w:rFonts w:hint="eastAsia" w:ascii="楷体" w:hAnsi="楷体" w:eastAsia="楷体" w:cs="楷体"/>
          <w:color w:val="000000" w:themeColor="text1"/>
          <w:highlight w:val="none"/>
          <w:u w:val="single"/>
          <w:lang w:val="en-US" w:eastAsia="zh-CN"/>
          <w14:textFill>
            <w14:solidFill>
              <w14:schemeClr w14:val="tx1"/>
            </w14:solidFill>
          </w14:textFill>
        </w:rPr>
        <w:t>5个工作日</w:t>
      </w:r>
      <w:r>
        <w:rPr>
          <w:rFonts w:hint="eastAsia" w:ascii="楷体" w:hAnsi="楷体" w:eastAsia="楷体" w:cs="楷体"/>
          <w:color w:val="000000" w:themeColor="text1"/>
          <w:highlight w:val="none"/>
          <w:u w:val="none"/>
          <w:lang w:val="en-US" w:eastAsia="zh-CN"/>
          <w14:textFill>
            <w14:solidFill>
              <w14:schemeClr w14:val="tx1"/>
            </w14:solidFill>
          </w14:textFill>
        </w:rPr>
        <w:t>支付</w:t>
      </w:r>
      <w:r>
        <w:rPr>
          <w:rFonts w:hint="eastAsia" w:ascii="楷体" w:hAnsi="楷体" w:eastAsia="楷体" w:cs="楷体"/>
          <w:color w:val="000000" w:themeColor="text1"/>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highlight w:val="none"/>
          <w:u w:val="none"/>
          <w:lang w:val="en-US" w:eastAsia="zh-CN"/>
          <w14:textFill>
            <w14:solidFill>
              <w14:schemeClr w14:val="tx1"/>
            </w14:solidFill>
          </w14:textFill>
        </w:rPr>
        <w:t>%。风险代理以甲方收到乙方发票后</w:t>
      </w:r>
      <w:r>
        <w:rPr>
          <w:rFonts w:hint="eastAsia" w:ascii="楷体" w:hAnsi="楷体" w:eastAsia="楷体" w:cs="楷体"/>
          <w:strike w:val="0"/>
          <w:dstrike w:val="0"/>
          <w:color w:val="000000" w:themeColor="text1"/>
          <w:highlight w:val="none"/>
          <w:u w:val="single"/>
          <w:lang w:val="en-US" w:eastAsia="zh-CN"/>
          <w14:textFill>
            <w14:solidFill>
              <w14:schemeClr w14:val="tx1"/>
            </w14:solidFill>
          </w14:textFill>
        </w:rPr>
        <w:t>15个工作日</w:t>
      </w:r>
      <w:r>
        <w:rPr>
          <w:rFonts w:hint="eastAsia" w:ascii="楷体" w:hAnsi="楷体" w:eastAsia="楷体" w:cs="楷体"/>
          <w:color w:val="000000" w:themeColor="text1"/>
          <w:highlight w:val="none"/>
          <w:u w:val="none"/>
          <w:lang w:val="en-US" w:eastAsia="zh-CN"/>
          <w14:textFill>
            <w14:solidFill>
              <w14:schemeClr w14:val="tx1"/>
            </w14:solidFill>
          </w14:textFill>
        </w:rPr>
        <w:t>，按照甲方收到案件利息、违约金（不含本金）部分等比例支付，甲方收到的案件回均认定为“先本后息”。</w:t>
      </w:r>
    </w:p>
    <w:p w14:paraId="725666FD">
      <w:pPr>
        <w:numPr>
          <w:ilvl w:val="1"/>
          <w:numId w:val="9"/>
        </w:numPr>
        <w:spacing w:before="156" w:beforeLines="50" w:line="36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其他费用：</w:t>
      </w:r>
    </w:p>
    <w:p w14:paraId="77B9FABB">
      <w:pPr>
        <w:spacing w:before="156" w:beforeLines="50" w:line="360" w:lineRule="exact"/>
        <w:ind w:firstLine="420" w:firstLineChars="200"/>
        <w:jc w:val="both"/>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乙方为甲方提供法律服务过程中有关单位收取的鉴定费、公证费、评估费、翻译费、查档费或仲裁、诉讼、聘请专家论证等相关费用由甲方另行支付。</w:t>
      </w:r>
    </w:p>
    <w:p w14:paraId="34D4DDD5">
      <w:pPr>
        <w:spacing w:before="156" w:beforeLines="50" w:line="360" w:lineRule="exact"/>
        <w:ind w:firstLine="420" w:firstLineChars="200"/>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乙方收款账户：</w:t>
      </w:r>
    </w:p>
    <w:p w14:paraId="654EFEA2">
      <w:pPr>
        <w:spacing w:before="156" w:beforeLines="50" w:line="360" w:lineRule="exact"/>
        <w:ind w:left="850" w:leftChars="405"/>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户    名：</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开户银行：</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账    号：</w:t>
      </w:r>
    </w:p>
    <w:p w14:paraId="228B66EB">
      <w:pPr>
        <w:spacing w:before="156" w:beforeLines="50" w:line="360" w:lineRule="exact"/>
        <w:ind w:firstLine="480"/>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 xml:space="preserve">乙方应按如下开票信息向甲方开具 </w:t>
      </w:r>
      <w:r>
        <w:rPr>
          <w:rFonts w:hint="eastAsia" w:eastAsia="仿宋"/>
          <w:color w:val="000000" w:themeColor="text1"/>
          <w:sz w:val="36"/>
          <w:szCs w:val="36"/>
          <w:highlight w:val="none"/>
          <w:lang w:eastAsia="zh-CN"/>
          <w14:textFill>
            <w14:solidFill>
              <w14:schemeClr w14:val="tx1"/>
            </w14:solidFill>
          </w14:textFill>
        </w:rPr>
        <w:t>☑</w:t>
      </w:r>
      <w:r>
        <w:rPr>
          <w:rFonts w:ascii="Times" w:hAnsi="Times" w:eastAsia="楷体"/>
          <w:color w:val="000000" w:themeColor="text1"/>
          <w:highlight w:val="none"/>
          <w:u w:color="FFFFFF"/>
          <w14:textFill>
            <w14:solidFill>
              <w14:schemeClr w14:val="tx1"/>
            </w14:solidFill>
          </w14:textFill>
        </w:rPr>
        <w:t xml:space="preserve">增值税专用发票 </w:t>
      </w:r>
      <w:r>
        <w:rPr>
          <w:rFonts w:eastAsia="仿宋"/>
          <w:color w:val="000000" w:themeColor="text1"/>
          <w:sz w:val="36"/>
          <w:szCs w:val="36"/>
          <w:highlight w:val="none"/>
          <w14:textFill>
            <w14:solidFill>
              <w14:schemeClr w14:val="tx1"/>
            </w14:solidFill>
          </w14:textFill>
        </w:rPr>
        <w:t>□</w:t>
      </w:r>
      <w:r>
        <w:rPr>
          <w:rFonts w:ascii="Times" w:hAnsi="Times" w:eastAsia="楷体"/>
          <w:color w:val="000000" w:themeColor="text1"/>
          <w:highlight w:val="none"/>
          <w:u w:color="FFFFFF"/>
          <w14:textFill>
            <w14:solidFill>
              <w14:schemeClr w14:val="tx1"/>
            </w14:solidFill>
          </w14:textFill>
        </w:rPr>
        <w:t>增值税普通发票：</w:t>
      </w:r>
    </w:p>
    <w:p w14:paraId="58F80595">
      <w:pPr>
        <w:spacing w:before="156" w:beforeLines="50" w:line="360" w:lineRule="exact"/>
        <w:ind w:left="850" w:leftChars="405"/>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名        称：</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纳税人识别号：</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地 址、电 话：</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开户行及账号：</w:t>
      </w:r>
    </w:p>
    <w:p w14:paraId="3DFB1885">
      <w:pPr>
        <w:spacing w:before="156" w:beforeLines="50" w:line="360" w:lineRule="exact"/>
        <w:ind w:left="480"/>
        <w:rPr>
          <w:rFonts w:ascii="Times" w:hAnsi="Times" w:eastAsia="楷体"/>
          <w:color w:val="000000" w:themeColor="text1"/>
          <w:highlight w:val="none"/>
          <w14:textFill>
            <w14:solidFill>
              <w14:schemeClr w14:val="tx1"/>
            </w14:solidFill>
          </w14:textFill>
        </w:rPr>
      </w:pPr>
      <w:r>
        <w:rPr>
          <w:rFonts w:hint="eastAsia" w:ascii="Times" w:hAnsi="Times" w:eastAsia="楷体"/>
          <w:b/>
          <w:color w:val="000000" w:themeColor="text1"/>
          <w:highlight w:val="none"/>
          <w14:textFill>
            <w14:solidFill>
              <w14:schemeClr w14:val="tx1"/>
            </w14:solidFill>
          </w14:textFill>
        </w:rPr>
        <w:t>第七条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违约责任</w:t>
      </w:r>
    </w:p>
    <w:p w14:paraId="64E875AA">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本合同履行中，因乙方律师过错而解除本合同终止委托关系的，乙方应当退还预收的全部律师服务费。由此造成甲方经济损失的，乙方应当给予甲方赔偿。</w:t>
      </w:r>
    </w:p>
    <w:p w14:paraId="44F6E24F">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4E54CB96">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26131FFF">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除非本合同约定或乙方另有书面同意，否则如因甲方未能按时足额付清上述费用，导致乙方律师不能或未能及时承办本合同委托事项所产生的不良后果由甲方承担责任。</w:t>
      </w:r>
    </w:p>
    <w:p w14:paraId="6B40D5A6">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双方协商解除本合同或者为避免客户利益冲突等而根据行业管理规定需解除本合同的，乙方应按已办理该项法律事务的工作时间、复杂程度、律师人数等实际情况，酌情退费。</w:t>
      </w:r>
    </w:p>
    <w:p w14:paraId="420FE361">
      <w:pPr>
        <w:spacing w:before="156" w:beforeLines="50" w:line="360" w:lineRule="auto"/>
        <w:rPr>
          <w:rFonts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    </w:t>
      </w:r>
      <w:r>
        <w:rPr>
          <w:rFonts w:hint="eastAsia" w:ascii="楷体" w:hAnsi="楷体" w:eastAsia="楷体"/>
          <w:b/>
          <w:color w:val="000000" w:themeColor="text1"/>
          <w:highlight w:val="none"/>
          <w14:textFill>
            <w14:solidFill>
              <w14:schemeClr w14:val="tx1"/>
            </w14:solidFill>
          </w14:textFill>
        </w:rPr>
        <w:t>第八条</w:t>
      </w:r>
      <w:r>
        <w:rPr>
          <w:rFonts w:hint="eastAsia" w:ascii="楷体" w:hAnsi="楷体" w:eastAsia="楷体"/>
          <w:color w:val="000000" w:themeColor="text1"/>
          <w:highlight w:val="none"/>
          <w14:textFill>
            <w14:solidFill>
              <w14:schemeClr w14:val="tx1"/>
            </w14:solidFill>
          </w14:textFill>
        </w:rPr>
        <w:t xml:space="preserve"> 【间接利冲豁免条款】</w:t>
      </w:r>
    </w:p>
    <w:p w14:paraId="7692DD99">
      <w:pPr>
        <w:spacing w:before="156" w:beforeLines="50" w:line="360" w:lineRule="auto"/>
        <w:ind w:firstLine="420" w:firstLineChars="200"/>
        <w:rPr>
          <w:rFonts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甲方知晓并充分理解</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olor w:val="000000" w:themeColor="text1"/>
          <w:highlight w:val="none"/>
          <w14:textFill>
            <w14:solidFill>
              <w14:schemeClr w14:val="tx1"/>
            </w14:solidFill>
          </w14:textFill>
        </w:rPr>
        <w:t>律师事务所为已在多地设立分所的跨区域法律服务机构。为避免本合同项下委托事项给乙方及其它各地分所律师造成工作不便，甲方在此确认，除乙方外，</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olor w:val="000000" w:themeColor="text1"/>
          <w:highlight w:val="none"/>
          <w14:textFill>
            <w14:solidFill>
              <w14:schemeClr w14:val="tx1"/>
            </w14:solidFill>
          </w14:textFill>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7B4C33DC">
      <w:pPr>
        <w:spacing w:before="156" w:beforeLines="50" w:line="360" w:lineRule="auto"/>
        <w:ind w:left="480"/>
        <w:rPr>
          <w:rFonts w:ascii="楷体" w:hAnsi="楷体" w:eastAsia="楷体"/>
          <w:color w:val="000000" w:themeColor="text1"/>
          <w:highlight w:val="none"/>
          <w14:textFill>
            <w14:solidFill>
              <w14:schemeClr w14:val="tx1"/>
            </w14:solidFill>
          </w14:textFill>
        </w:rPr>
      </w:pPr>
      <w:r>
        <w:rPr>
          <w:rFonts w:hint="eastAsia" w:ascii="楷体" w:hAnsi="楷体" w:eastAsia="楷体"/>
          <w:b/>
          <w:color w:val="000000" w:themeColor="text1"/>
          <w:highlight w:val="none"/>
          <w14:textFill>
            <w14:solidFill>
              <w14:schemeClr w14:val="tx1"/>
            </w14:solidFill>
          </w14:textFill>
        </w:rPr>
        <w:t>第九条</w:t>
      </w:r>
      <w:r>
        <w:rPr>
          <w:rFonts w:hint="eastAsia" w:ascii="楷体" w:hAnsi="楷体" w:eastAsia="楷体"/>
          <w:color w:val="000000" w:themeColor="text1"/>
          <w:highlight w:val="none"/>
          <w14:textFill>
            <w14:solidFill>
              <w14:schemeClr w14:val="tx1"/>
            </w14:solidFill>
          </w14:textFill>
        </w:rPr>
        <w:t xml:space="preserve"> 【风险告知条款】</w:t>
      </w:r>
    </w:p>
    <w:p w14:paraId="356E73BC">
      <w:pPr>
        <w:spacing w:before="156" w:beforeLines="50" w:line="360" w:lineRule="auto"/>
        <w:ind w:firstLine="420" w:firstLineChars="200"/>
        <w:rPr>
          <w:rFonts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w:t>
      </w:r>
      <w:r>
        <w:rPr>
          <w:rFonts w:hint="eastAsia" w:eastAsia="楷体"/>
          <w:color w:val="000000" w:themeColor="text1"/>
          <w:highlight w:val="none"/>
          <w14:textFill>
            <w14:solidFill>
              <w14:schemeClr w14:val="tx1"/>
            </w14:solidFill>
          </w14:textFill>
        </w:rPr>
        <w:t>/</w:t>
      </w:r>
      <w:r>
        <w:rPr>
          <w:rFonts w:hint="eastAsia" w:ascii="楷体" w:hAnsi="楷体" w:eastAsia="楷体"/>
          <w:color w:val="000000" w:themeColor="text1"/>
          <w:highlight w:val="none"/>
          <w14:textFill>
            <w14:solidFill>
              <w14:schemeClr w14:val="tx1"/>
            </w14:solidFill>
          </w14:textFill>
        </w:rPr>
        <w:t>仲裁时间长短不确定性的风险、执行不能的风险、不如实陈述事实和提供证据可能承担相应不利后果或败诉的风险。</w:t>
      </w:r>
    </w:p>
    <w:p w14:paraId="5A247C72">
      <w:p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b/>
          <w:color w:val="000000" w:themeColor="text1"/>
          <w:highlight w:val="none"/>
          <w14:textFill>
            <w14:solidFill>
              <w14:schemeClr w14:val="tx1"/>
            </w14:solidFill>
          </w14:textFill>
        </w:rPr>
        <w:t xml:space="preserve">    第十条 </w:t>
      </w:r>
      <w:r>
        <w:rPr>
          <w:rFonts w:ascii="Times" w:hAnsi="Times" w:eastAsia="楷体"/>
          <w:color w:val="000000" w:themeColor="text1"/>
          <w:highlight w:val="none"/>
          <w14:textFill>
            <w14:solidFill>
              <w14:schemeClr w14:val="tx1"/>
            </w14:solidFill>
          </w14:textFill>
        </w:rPr>
        <w:t>甲方承诺在乙方律师代理案件的任何一个阶段或乙方律师代理职责终止时，认真填制《律师服务质量征求意见表》并寄交乙方或递交给承办律师。</w:t>
      </w:r>
    </w:p>
    <w:p w14:paraId="44C713D4">
      <w:p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第十一条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本合同履行中如发生纠纷，双方应尽量协商解决。协商不成，任何一方都可以向成都仲裁委员会申请仲裁。</w:t>
      </w:r>
    </w:p>
    <w:p w14:paraId="245093DE">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第十二条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乙方的代理职责自本合同签订之日起至乙方代理的法律事务完成之日止。</w:t>
      </w:r>
    </w:p>
    <w:p w14:paraId="42457C0C">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第十三条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本合同履行中，如一方要求解除合同，需由双方另行协商，并签订书面协议。</w:t>
      </w:r>
    </w:p>
    <w:p w14:paraId="7EB4AE60">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第十四条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本合同壹式</w:t>
      </w:r>
      <w:r>
        <w:rPr>
          <w:rFonts w:hint="eastAsia" w:ascii="Times" w:hAnsi="Times" w:eastAsia="楷体"/>
          <w:color w:val="000000" w:themeColor="text1"/>
          <w:highlight w:val="none"/>
          <w14:textFill>
            <w14:solidFill>
              <w14:schemeClr w14:val="tx1"/>
            </w14:solidFill>
          </w14:textFill>
        </w:rPr>
        <w:t>肆</w:t>
      </w:r>
      <w:r>
        <w:rPr>
          <w:rFonts w:ascii="Times" w:hAnsi="Times" w:eastAsia="楷体"/>
          <w:color w:val="000000" w:themeColor="text1"/>
          <w:highlight w:val="none"/>
          <w14:textFill>
            <w14:solidFill>
              <w14:schemeClr w14:val="tx1"/>
            </w14:solidFill>
          </w14:textFill>
        </w:rPr>
        <w:t>份，甲方</w:t>
      </w:r>
      <w:r>
        <w:rPr>
          <w:rFonts w:hint="eastAsia" w:ascii="Times" w:hAnsi="Times" w:eastAsia="楷体"/>
          <w:color w:val="000000" w:themeColor="text1"/>
          <w:highlight w:val="none"/>
          <w14:textFill>
            <w14:solidFill>
              <w14:schemeClr w14:val="tx1"/>
            </w14:solidFill>
          </w14:textFill>
        </w:rPr>
        <w:t>贰</w:t>
      </w:r>
      <w:r>
        <w:rPr>
          <w:rFonts w:ascii="Times" w:hAnsi="Times" w:eastAsia="楷体"/>
          <w:color w:val="000000" w:themeColor="text1"/>
          <w:highlight w:val="none"/>
          <w14:textFill>
            <w14:solidFill>
              <w14:schemeClr w14:val="tx1"/>
            </w14:solidFill>
          </w14:textFill>
        </w:rPr>
        <w:t>份，乙方</w:t>
      </w:r>
      <w:r>
        <w:rPr>
          <w:rFonts w:hint="eastAsia" w:ascii="Times" w:hAnsi="Times" w:eastAsia="楷体"/>
          <w:color w:val="000000" w:themeColor="text1"/>
          <w:highlight w:val="none"/>
          <w14:textFill>
            <w14:solidFill>
              <w14:schemeClr w14:val="tx1"/>
            </w14:solidFill>
          </w14:textFill>
        </w:rPr>
        <w:t>贰</w:t>
      </w:r>
      <w:r>
        <w:rPr>
          <w:rFonts w:ascii="Times" w:hAnsi="Times" w:eastAsia="楷体"/>
          <w:color w:val="000000" w:themeColor="text1"/>
          <w:highlight w:val="none"/>
          <w14:textFill>
            <w14:solidFill>
              <w14:schemeClr w14:val="tx1"/>
            </w14:solidFill>
          </w14:textFill>
        </w:rPr>
        <w:t>份，自双方授权代表签字并加盖单位印章后生效。</w:t>
      </w:r>
    </w:p>
    <w:p w14:paraId="0D8BC104">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bookmarkStart w:id="429" w:name="_Toc474502608"/>
      <w:bookmarkStart w:id="430" w:name="_Toc29829"/>
      <w:bookmarkStart w:id="431" w:name="_Toc361325820"/>
      <w:bookmarkStart w:id="432" w:name="_Toc513469076"/>
      <w:bookmarkStart w:id="433" w:name="_Toc18854"/>
      <w:bookmarkStart w:id="434" w:name="_Toc505261938"/>
      <w:bookmarkStart w:id="435" w:name="_Toc466391967"/>
      <w:bookmarkStart w:id="436" w:name="_Toc8347"/>
      <w:bookmarkStart w:id="437" w:name="_Toc474327066"/>
      <w:r>
        <w:rPr>
          <w:rFonts w:hint="eastAsia" w:ascii="Times" w:hAnsi="Times" w:eastAsia="楷体"/>
          <w:b/>
          <w:color w:val="000000" w:themeColor="text1"/>
          <w:highlight w:val="none"/>
          <w14:textFill>
            <w14:solidFill>
              <w14:schemeClr w14:val="tx1"/>
            </w14:solidFill>
          </w14:textFill>
        </w:rPr>
        <w:t>第</w:t>
      </w:r>
      <w:r>
        <w:rPr>
          <w:rFonts w:hint="eastAsia" w:ascii="Times" w:hAnsi="Times" w:eastAsia="楷体"/>
          <w:b/>
          <w:color w:val="000000" w:themeColor="text1"/>
          <w:highlight w:val="none"/>
          <w:lang w:val="en-US" w:eastAsia="zh-CN"/>
          <w14:textFill>
            <w14:solidFill>
              <w14:schemeClr w14:val="tx1"/>
            </w14:solidFill>
          </w14:textFill>
        </w:rPr>
        <w:t>伍</w:t>
      </w:r>
      <w:r>
        <w:rPr>
          <w:rFonts w:hint="eastAsia" w:ascii="Times" w:hAnsi="Times" w:eastAsia="楷体"/>
          <w:b/>
          <w:color w:val="000000" w:themeColor="text1"/>
          <w:highlight w:val="none"/>
          <w14:textFill>
            <w14:solidFill>
              <w14:schemeClr w14:val="tx1"/>
            </w14:solidFill>
          </w14:textFill>
        </w:rPr>
        <w:t>条</w:t>
      </w:r>
      <w:r>
        <w:rPr>
          <w:rFonts w:hint="eastAsia" w:ascii="仿宋_GB2312" w:hAnsi="仿宋_GB2312" w:eastAsia="仿宋_GB2312" w:cs="仿宋_GB2312"/>
          <w:b/>
          <w:color w:val="000000" w:themeColor="text1"/>
          <w:sz w:val="24"/>
          <w:highlight w:val="none"/>
          <w14:textFill>
            <w14:solidFill>
              <w14:schemeClr w14:val="tx1"/>
            </w14:solidFill>
          </w14:textFill>
        </w:rPr>
        <w:t xml:space="preserve">  </w:t>
      </w:r>
      <w:r>
        <w:rPr>
          <w:rFonts w:hint="eastAsia" w:ascii="Times" w:hAnsi="Times" w:eastAsia="楷体"/>
          <w:color w:val="000000" w:themeColor="text1"/>
          <w:highlight w:val="none"/>
          <w14:textFill>
            <w14:solidFill>
              <w14:schemeClr w14:val="tx1"/>
            </w14:solidFill>
          </w14:textFill>
        </w:rPr>
        <w:t>附件</w:t>
      </w:r>
      <w:bookmarkEnd w:id="429"/>
      <w:bookmarkEnd w:id="430"/>
      <w:bookmarkEnd w:id="431"/>
      <w:bookmarkEnd w:id="432"/>
      <w:bookmarkEnd w:id="433"/>
      <w:bookmarkEnd w:id="434"/>
      <w:bookmarkEnd w:id="435"/>
      <w:bookmarkEnd w:id="436"/>
      <w:bookmarkEnd w:id="437"/>
    </w:p>
    <w:p w14:paraId="214D33B3">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38" w:name="_Toc7234"/>
      <w:r>
        <w:rPr>
          <w:rFonts w:hint="eastAsia" w:ascii="楷体" w:hAnsi="楷体" w:eastAsia="楷体"/>
          <w:color w:val="000000" w:themeColor="text1"/>
          <w:highlight w:val="none"/>
          <w14:textFill>
            <w14:solidFill>
              <w14:schemeClr w14:val="tx1"/>
            </w14:solidFill>
          </w14:textFill>
        </w:rPr>
        <w:t>1.项目比选文件</w:t>
      </w:r>
      <w:bookmarkEnd w:id="438"/>
    </w:p>
    <w:p w14:paraId="08381F22">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39" w:name="_Toc30140"/>
      <w:r>
        <w:rPr>
          <w:rFonts w:hint="eastAsia" w:ascii="楷体" w:hAnsi="楷体" w:eastAsia="楷体"/>
          <w:color w:val="000000" w:themeColor="text1"/>
          <w:highlight w:val="none"/>
          <w14:textFill>
            <w14:solidFill>
              <w14:schemeClr w14:val="tx1"/>
            </w14:solidFill>
          </w14:textFill>
        </w:rPr>
        <w:t>2.项目修改澄清文件</w:t>
      </w:r>
      <w:bookmarkEnd w:id="439"/>
    </w:p>
    <w:p w14:paraId="6446B6A7">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0" w:name="_Toc6003"/>
      <w:r>
        <w:rPr>
          <w:rFonts w:hint="eastAsia" w:ascii="楷体" w:hAnsi="楷体" w:eastAsia="楷体"/>
          <w:color w:val="000000" w:themeColor="text1"/>
          <w:highlight w:val="none"/>
          <w14:textFill>
            <w14:solidFill>
              <w14:schemeClr w14:val="tx1"/>
            </w14:solidFill>
          </w14:textFill>
        </w:rPr>
        <w:t>3.项目比选申请书</w:t>
      </w:r>
      <w:bookmarkEnd w:id="440"/>
    </w:p>
    <w:p w14:paraId="783801F8">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1" w:name="_Toc11660"/>
      <w:r>
        <w:rPr>
          <w:rFonts w:hint="eastAsia" w:ascii="楷体" w:hAnsi="楷体" w:eastAsia="楷体"/>
          <w:color w:val="000000" w:themeColor="text1"/>
          <w:highlight w:val="none"/>
          <w14:textFill>
            <w14:solidFill>
              <w14:schemeClr w14:val="tx1"/>
            </w14:solidFill>
          </w14:textFill>
        </w:rPr>
        <w:t>4.中选通知书</w:t>
      </w:r>
      <w:bookmarkEnd w:id="441"/>
    </w:p>
    <w:p w14:paraId="7F96412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2" w:name="_Toc10357"/>
      <w:r>
        <w:rPr>
          <w:rFonts w:hint="eastAsia" w:ascii="楷体" w:hAnsi="楷体" w:eastAsia="楷体"/>
          <w:color w:val="000000" w:themeColor="text1"/>
          <w:highlight w:val="none"/>
          <w14:textFill>
            <w14:solidFill>
              <w14:schemeClr w14:val="tx1"/>
            </w14:solidFill>
          </w14:textFill>
        </w:rPr>
        <w:t>5.本合同的其他附件</w:t>
      </w:r>
      <w:bookmarkEnd w:id="442"/>
    </w:p>
    <w:p w14:paraId="1BD4CE94">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p>
    <w:p w14:paraId="513A9C35">
      <w:pPr>
        <w:spacing w:before="156" w:beforeLines="50" w:line="360" w:lineRule="auto"/>
        <w:ind w:firstLine="420" w:firstLineChars="200"/>
        <w:jc w:val="center"/>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——以下无正文——</w:t>
      </w:r>
      <w:bookmarkEnd w:id="426"/>
      <w:bookmarkEnd w:id="427"/>
      <w:bookmarkEnd w:id="428"/>
    </w:p>
    <w:p w14:paraId="7FAE6C48">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甲方：   （单位公章）   </w:t>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 xml:space="preserve">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乙方：   （单位公章）</w:t>
      </w:r>
    </w:p>
    <w:p w14:paraId="08877CF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法定代表人（授权代表）：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法定代表人（授权代表）：</w:t>
      </w:r>
    </w:p>
    <w:p w14:paraId="39DDC6FF">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地    址：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地    址：</w:t>
      </w:r>
    </w:p>
    <w:p w14:paraId="4EB8FB07">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开户银行：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开户银行：</w:t>
      </w:r>
    </w:p>
    <w:p w14:paraId="3F18EB6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账号：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账号：</w:t>
      </w:r>
    </w:p>
    <w:p w14:paraId="4D3A97CE">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电    话：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电    话：</w:t>
      </w:r>
    </w:p>
    <w:p w14:paraId="71E1CB14">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传    真：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传    真：</w:t>
      </w:r>
    </w:p>
    <w:p w14:paraId="0B611C81">
      <w:pPr>
        <w:spacing w:before="156" w:beforeLines="50" w:line="360" w:lineRule="auto"/>
        <w:ind w:firstLine="420" w:firstLineChars="200"/>
        <w:rPr>
          <w:rFonts w:hint="eastAsia" w:ascii="楷体" w:hAnsi="楷体" w:eastAsia="楷体"/>
          <w:color w:val="000000" w:themeColor="text1"/>
          <w:highlight w:val="none"/>
          <w:lang w:val="en-US" w:eastAsia="zh-CN"/>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签约日期：XX年XX月XX日 </w:t>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签约日期：XX年XX月XX</w:t>
      </w:r>
      <w:r>
        <w:rPr>
          <w:rFonts w:hint="eastAsia" w:ascii="楷体" w:hAnsi="楷体" w:eastAsia="楷体"/>
          <w:color w:val="000000" w:themeColor="text1"/>
          <w:highlight w:val="none"/>
          <w:lang w:val="en-US" w:eastAsia="zh-CN"/>
          <w14:textFill>
            <w14:solidFill>
              <w14:schemeClr w14:val="tx1"/>
            </w14:solidFill>
          </w14:textFill>
        </w:rPr>
        <w:t>日</w:t>
      </w:r>
    </w:p>
    <w:p w14:paraId="646FB4C0">
      <w:pPr>
        <w:pStyle w:val="2"/>
        <w:rPr>
          <w:rFonts w:hint="eastAsia" w:ascii="楷体" w:hAnsi="楷体" w:eastAsia="楷体"/>
          <w:color w:val="000000" w:themeColor="text1"/>
          <w:highlight w:val="none"/>
          <w:lang w:val="en-US" w:eastAsia="zh-CN"/>
          <w14:textFill>
            <w14:solidFill>
              <w14:schemeClr w14:val="tx1"/>
            </w14:solidFill>
          </w14:textFill>
        </w:rPr>
      </w:pPr>
    </w:p>
    <w:p w14:paraId="551ECAC1">
      <w:pPr>
        <w:rPr>
          <w:rFonts w:hint="eastAsia" w:ascii="楷体" w:hAnsi="楷体" w:eastAsia="楷体"/>
          <w:color w:val="000000" w:themeColor="text1"/>
          <w:highlight w:val="none"/>
          <w:lang w:val="en-US" w:eastAsia="zh-CN"/>
          <w14:textFill>
            <w14:solidFill>
              <w14:schemeClr w14:val="tx1"/>
            </w14:solidFill>
          </w14:textFill>
        </w:rPr>
      </w:pPr>
    </w:p>
    <w:p w14:paraId="2C6E04BE">
      <w:pPr>
        <w:pStyle w:val="2"/>
        <w:rPr>
          <w:rFonts w:hint="eastAsia" w:ascii="楷体" w:hAnsi="楷体" w:eastAsia="楷体"/>
          <w:color w:val="000000" w:themeColor="text1"/>
          <w:highlight w:val="none"/>
          <w:lang w:val="en-US" w:eastAsia="zh-CN"/>
          <w14:textFill>
            <w14:solidFill>
              <w14:schemeClr w14:val="tx1"/>
            </w14:solidFill>
          </w14:textFill>
        </w:rPr>
      </w:pPr>
    </w:p>
    <w:p w14:paraId="3C3FEADC">
      <w:pPr>
        <w:rPr>
          <w:rFonts w:hint="eastAsia" w:ascii="楷体" w:hAnsi="楷体" w:eastAsia="楷体"/>
          <w:color w:val="000000" w:themeColor="text1"/>
          <w:highlight w:val="none"/>
          <w:lang w:val="en-US" w:eastAsia="zh-CN"/>
          <w14:textFill>
            <w14:solidFill>
              <w14:schemeClr w14:val="tx1"/>
            </w14:solidFill>
          </w14:textFill>
        </w:rPr>
      </w:pPr>
    </w:p>
    <w:p w14:paraId="1B2212AA">
      <w:pPr>
        <w:pStyle w:val="2"/>
        <w:rPr>
          <w:rFonts w:hint="eastAsia" w:ascii="楷体" w:hAnsi="楷体" w:eastAsia="楷体"/>
          <w:color w:val="000000" w:themeColor="text1"/>
          <w:highlight w:val="none"/>
          <w:lang w:val="en-US" w:eastAsia="zh-CN"/>
          <w14:textFill>
            <w14:solidFill>
              <w14:schemeClr w14:val="tx1"/>
            </w14:solidFill>
          </w14:textFill>
        </w:rPr>
      </w:pPr>
    </w:p>
    <w:p w14:paraId="68CEE453">
      <w:pPr>
        <w:rPr>
          <w:rFonts w:hint="eastAsia" w:ascii="楷体" w:hAnsi="楷体" w:eastAsia="楷体"/>
          <w:color w:val="000000" w:themeColor="text1"/>
          <w:highlight w:val="none"/>
          <w:lang w:val="en-US" w:eastAsia="zh-CN"/>
          <w14:textFill>
            <w14:solidFill>
              <w14:schemeClr w14:val="tx1"/>
            </w14:solidFill>
          </w14:textFill>
        </w:rPr>
      </w:pPr>
    </w:p>
    <w:p w14:paraId="68FC196C">
      <w:pPr>
        <w:pStyle w:val="2"/>
        <w:rPr>
          <w:rFonts w:hint="eastAsia" w:ascii="楷体" w:hAnsi="楷体" w:eastAsia="楷体"/>
          <w:color w:val="000000" w:themeColor="text1"/>
          <w:highlight w:val="none"/>
          <w:lang w:val="en-US" w:eastAsia="zh-CN"/>
          <w14:textFill>
            <w14:solidFill>
              <w14:schemeClr w14:val="tx1"/>
            </w14:solidFill>
          </w14:textFill>
        </w:rPr>
      </w:pPr>
    </w:p>
    <w:p w14:paraId="5264DEAF">
      <w:pPr>
        <w:rPr>
          <w:rFonts w:hint="eastAsia" w:ascii="楷体" w:hAnsi="楷体" w:eastAsia="楷体"/>
          <w:color w:val="000000" w:themeColor="text1"/>
          <w:highlight w:val="none"/>
          <w:lang w:val="en-US" w:eastAsia="zh-CN"/>
          <w14:textFill>
            <w14:solidFill>
              <w14:schemeClr w14:val="tx1"/>
            </w14:solidFill>
          </w14:textFill>
        </w:rPr>
      </w:pPr>
    </w:p>
    <w:p w14:paraId="256AD940">
      <w:pPr>
        <w:pStyle w:val="2"/>
        <w:rPr>
          <w:rFonts w:hint="eastAsia"/>
          <w:color w:val="000000" w:themeColor="text1"/>
          <w:highlight w:val="none"/>
          <w:lang w:val="en-US" w:eastAsia="zh-CN"/>
          <w14:textFill>
            <w14:solidFill>
              <w14:schemeClr w14:val="tx1"/>
            </w14:solidFill>
          </w14:textFill>
        </w:rPr>
      </w:pPr>
    </w:p>
    <w:p w14:paraId="3DBB9A8F">
      <w:pPr>
        <w:pStyle w:val="2"/>
        <w:rPr>
          <w:rFonts w:hint="eastAsia"/>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Kaiti SC">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4"/>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A0664E0"/>
    <w:multiLevelType w:val="singleLevel"/>
    <w:tmpl w:val="6A0664E0"/>
    <w:lvl w:ilvl="0" w:tentative="0">
      <w:start w:val="8"/>
      <w:numFmt w:val="chineseCounting"/>
      <w:suff w:val="nothing"/>
      <w:lvlText w:val="%1、"/>
      <w:lvlJc w:val="left"/>
      <w:rPr>
        <w:rFonts w:hint="eastAsia"/>
      </w:rPr>
    </w:lvl>
  </w:abstractNum>
  <w:abstractNum w:abstractNumId="7">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4"/>
  </w:num>
  <w:num w:numId="8">
    <w:abstractNumId w:val="2"/>
  </w:num>
  <w:num w:numId="9">
    <w:abstractNumId w:val="2"/>
    <w:lvlOverride w:ilvl="0">
      <w:lvl w:ilvl="0" w:tentative="1">
        <w:start w:val="1"/>
        <w:numFmt w:val="decimal"/>
        <w:lvlText w:val="%1."/>
        <w:lvlJc w:val="left"/>
        <w:pPr>
          <w:ind w:left="900" w:hanging="420"/>
        </w:pPr>
        <w:rPr>
          <w:rFonts w:hint="eastAsia"/>
        </w:rPr>
      </w:lvl>
    </w:lvlOverride>
    <w:lvlOverride w:ilvl="1">
      <w:lvl w:ilvl="1" w:tentative="1">
        <w:start w:val="1"/>
        <w:numFmt w:val="decimal"/>
        <w:isLgl/>
        <w:suff w:val="space"/>
        <w:lvlText w:val="%1.%2."/>
        <w:lvlJc w:val="left"/>
        <w:pPr>
          <w:ind w:left="840" w:hanging="360"/>
        </w:pPr>
        <w:rPr>
          <w:rFonts w:hint="default"/>
        </w:rPr>
      </w:lvl>
    </w:lvlOverride>
    <w:lvlOverride w:ilvl="2">
      <w:lvl w:ilvl="2" w:tentative="1">
        <w:start w:val="1"/>
        <w:numFmt w:val="decimal"/>
        <w:isLgl/>
        <w:lvlText w:val="%1.%2.%3."/>
        <w:lvlJc w:val="left"/>
        <w:pPr>
          <w:ind w:left="1200" w:hanging="720"/>
        </w:pPr>
        <w:rPr>
          <w:rFonts w:hint="default"/>
        </w:rPr>
      </w:lvl>
    </w:lvlOverride>
    <w:lvlOverride w:ilvl="3">
      <w:lvl w:ilvl="3" w:tentative="1">
        <w:start w:val="1"/>
        <w:numFmt w:val="decimal"/>
        <w:isLgl/>
        <w:lvlText w:val="%1.%2.%3.%4."/>
        <w:lvlJc w:val="left"/>
        <w:pPr>
          <w:ind w:left="1200" w:hanging="720"/>
        </w:pPr>
        <w:rPr>
          <w:rFonts w:hint="default"/>
        </w:rPr>
      </w:lvl>
    </w:lvlOverride>
    <w:lvlOverride w:ilvl="4">
      <w:lvl w:ilvl="4" w:tentative="1">
        <w:start w:val="1"/>
        <w:numFmt w:val="decimal"/>
        <w:isLgl/>
        <w:lvlText w:val="%1.%2.%3.%4.%5."/>
        <w:lvlJc w:val="left"/>
        <w:pPr>
          <w:ind w:left="1560" w:hanging="1080"/>
        </w:pPr>
        <w:rPr>
          <w:rFonts w:hint="default"/>
        </w:rPr>
      </w:lvl>
    </w:lvlOverride>
    <w:lvlOverride w:ilvl="5">
      <w:lvl w:ilvl="5" w:tentative="1">
        <w:start w:val="1"/>
        <w:numFmt w:val="decimal"/>
        <w:isLgl/>
        <w:lvlText w:val="%1.%2.%3.%4.%5.%6."/>
        <w:lvlJc w:val="left"/>
        <w:pPr>
          <w:ind w:left="1560" w:hanging="1080"/>
        </w:pPr>
        <w:rPr>
          <w:rFonts w:hint="default"/>
        </w:rPr>
      </w:lvl>
    </w:lvlOverride>
    <w:lvlOverride w:ilvl="6">
      <w:lvl w:ilvl="6" w:tentative="1">
        <w:start w:val="1"/>
        <w:numFmt w:val="decimal"/>
        <w:isLgl/>
        <w:lvlText w:val="%1.%2.%3.%4.%5.%6.%7."/>
        <w:lvlJc w:val="left"/>
        <w:pPr>
          <w:ind w:left="1920" w:hanging="1440"/>
        </w:pPr>
        <w:rPr>
          <w:rFonts w:hint="default"/>
        </w:rPr>
      </w:lvl>
    </w:lvlOverride>
    <w:lvlOverride w:ilvl="7">
      <w:lvl w:ilvl="7" w:tentative="1">
        <w:start w:val="1"/>
        <w:numFmt w:val="decimal"/>
        <w:isLgl/>
        <w:lvlText w:val="%1.%2.%3.%4.%5.%6.%7.%8."/>
        <w:lvlJc w:val="left"/>
        <w:pPr>
          <w:ind w:left="1920" w:hanging="1440"/>
        </w:pPr>
        <w:rPr>
          <w:rFonts w:hint="default"/>
        </w:rPr>
      </w:lvl>
    </w:lvlOverride>
    <w:lvlOverride w:ilvl="8">
      <w:lvl w:ilvl="8" w:tentative="1">
        <w:start w:val="1"/>
        <w:numFmt w:val="decimal"/>
        <w:isLgl/>
        <w:lvlText w:val="%1.%2.%3.%4.%5.%6.%7.%8.%9."/>
        <w:lvlJc w:val="left"/>
        <w:pPr>
          <w:ind w:left="2280" w:hanging="1800"/>
        </w:pPr>
        <w:rPr>
          <w:rFonts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2357CB9"/>
    <w:rsid w:val="03C341DC"/>
    <w:rsid w:val="03FC42A4"/>
    <w:rsid w:val="0456002C"/>
    <w:rsid w:val="049D5915"/>
    <w:rsid w:val="06024BFC"/>
    <w:rsid w:val="075524D7"/>
    <w:rsid w:val="07870B30"/>
    <w:rsid w:val="0D200F3F"/>
    <w:rsid w:val="0EDE1004"/>
    <w:rsid w:val="118C18B9"/>
    <w:rsid w:val="13281132"/>
    <w:rsid w:val="179F5363"/>
    <w:rsid w:val="189114FB"/>
    <w:rsid w:val="1A0A55F4"/>
    <w:rsid w:val="1C9553F8"/>
    <w:rsid w:val="1D085BCA"/>
    <w:rsid w:val="1E1E3077"/>
    <w:rsid w:val="1F1C2B4D"/>
    <w:rsid w:val="20427E9A"/>
    <w:rsid w:val="22AA7723"/>
    <w:rsid w:val="26376D35"/>
    <w:rsid w:val="2A4D7312"/>
    <w:rsid w:val="2A952A67"/>
    <w:rsid w:val="2B5335E7"/>
    <w:rsid w:val="2E150147"/>
    <w:rsid w:val="30556337"/>
    <w:rsid w:val="317452BC"/>
    <w:rsid w:val="33BC18BA"/>
    <w:rsid w:val="34634EE0"/>
    <w:rsid w:val="35696FCA"/>
    <w:rsid w:val="3A50745A"/>
    <w:rsid w:val="3B0F1F28"/>
    <w:rsid w:val="3B2F036E"/>
    <w:rsid w:val="3ED96B1F"/>
    <w:rsid w:val="3FEA043A"/>
    <w:rsid w:val="46C25B9D"/>
    <w:rsid w:val="47763048"/>
    <w:rsid w:val="49CA40B9"/>
    <w:rsid w:val="4E671CA0"/>
    <w:rsid w:val="51F660CD"/>
    <w:rsid w:val="53910557"/>
    <w:rsid w:val="539620A7"/>
    <w:rsid w:val="56B3646E"/>
    <w:rsid w:val="56DC71A4"/>
    <w:rsid w:val="594E3CA4"/>
    <w:rsid w:val="5DCC1F1C"/>
    <w:rsid w:val="5E0D2339"/>
    <w:rsid w:val="5F6D7B45"/>
    <w:rsid w:val="5FBB4071"/>
    <w:rsid w:val="601F3D60"/>
    <w:rsid w:val="633839B4"/>
    <w:rsid w:val="647E189B"/>
    <w:rsid w:val="67BC7BE0"/>
    <w:rsid w:val="67C27211"/>
    <w:rsid w:val="6AAA5ADF"/>
    <w:rsid w:val="6C0B1393"/>
    <w:rsid w:val="6C2D44BC"/>
    <w:rsid w:val="6D453B1E"/>
    <w:rsid w:val="6F0A08FB"/>
    <w:rsid w:val="70E341B7"/>
    <w:rsid w:val="73F43927"/>
    <w:rsid w:val="784F55D0"/>
    <w:rsid w:val="7B8B4B71"/>
    <w:rsid w:val="7DE14F1D"/>
    <w:rsid w:val="7F0013D2"/>
    <w:rsid w:val="7F47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375</Words>
  <Characters>405</Characters>
  <Lines>0</Lines>
  <Paragraphs>0</Paragraphs>
  <TotalTime>24</TotalTime>
  <ScaleCrop>false</ScaleCrop>
  <LinksUpToDate>false</LinksUpToDate>
  <CharactersWithSpaces>423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2023-10-25T09:12:00Z</dcterms:created>
  <dc:creator>倾拥</dc:creator>
  <cp:lastModifiedBy>倾拥</cp:lastModifiedBy>
  <cp:lastPrinted>2025-02-11T00:52:00Z</cp:lastPrinted>
  <dcterms:modified xsi:type="dcterms:W3CDTF">2025-02-17T01:45:14Z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DB40F34E98684C24B4EFE887E6AB664F_13</vt:lpwstr>
  </property>
  <property fmtid="{D5CDD505-2E9C-101B-9397-08002B2CF9AE}" pid="4" name="KSOTemplateDocerSaveRecord">
    <vt:lpwstr>eyJoZGlkIjoiZGU4MjBkNjI0YzU3MTYwZWZlODdhMzBiNjdmZjkzMzUiLCJ1c2VySWQiOiIzNTg0NjAwMzEifQ==</vt:lpwstr>
  </property>
</Properties>
</file>