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73D6A">
      <w:pPr>
        <w:ind w:firstLine="0" w:firstLineChars="0"/>
        <w:jc w:val="center"/>
        <w:rPr>
          <w:rFonts w:ascii="方正小标宋简体" w:hAnsi="方正小标宋简体" w:eastAsia="方正小标宋简体" w:cs="方正小标宋简体"/>
          <w:sz w:val="44"/>
          <w:szCs w:val="44"/>
        </w:rPr>
      </w:pPr>
      <w:bookmarkStart w:id="0" w:name="_Toc301789207"/>
      <w:r>
        <w:rPr>
          <w:rFonts w:hint="eastAsia" w:ascii="方正小标宋简体" w:hAnsi="方正小标宋简体" w:eastAsia="方正小标宋简体" w:cs="方正小标宋简体"/>
          <w:sz w:val="44"/>
          <w:szCs w:val="44"/>
        </w:rPr>
        <w:t>四川蜀物兴川物流发展有限公司</w:t>
      </w:r>
    </w:p>
    <w:p w14:paraId="6F2BBE62">
      <w:pPr>
        <w:spacing w:line="600" w:lineRule="exact"/>
        <w:ind w:right="160" w:rightChars="50" w:firstLine="0" w:firstLineChars="0"/>
        <w:jc w:val="center"/>
        <w:rPr>
          <w:rFonts w:ascii="方正小标宋简体" w:hAnsi="黑体" w:eastAsia="方正小标宋简体"/>
          <w:sz w:val="44"/>
          <w:szCs w:val="44"/>
        </w:rPr>
      </w:pPr>
      <w:r>
        <w:rPr>
          <w:rFonts w:hint="eastAsia" w:ascii="方正小标宋简体" w:hAnsi="黑体" w:eastAsia="方正小标宋简体"/>
          <w:sz w:val="44"/>
          <w:szCs w:val="44"/>
        </w:rPr>
        <w:t>加工事业部物资公开询价采购项目（</w:t>
      </w:r>
      <w:r>
        <w:rPr>
          <w:rFonts w:hint="eastAsia" w:ascii="方正小标宋简体" w:hAnsi="黑体" w:eastAsia="方正小标宋简体"/>
          <w:sz w:val="44"/>
          <w:szCs w:val="44"/>
          <w:lang w:val="en-US" w:eastAsia="zh-CN"/>
        </w:rPr>
        <w:t>三</w:t>
      </w:r>
      <w:r>
        <w:rPr>
          <w:rFonts w:hint="eastAsia" w:ascii="方正小标宋简体" w:hAnsi="黑体" w:eastAsia="方正小标宋简体"/>
          <w:sz w:val="44"/>
          <w:szCs w:val="44"/>
        </w:rPr>
        <w:t>）</w:t>
      </w:r>
    </w:p>
    <w:p w14:paraId="62FE3DC2">
      <w:pPr>
        <w:spacing w:line="276" w:lineRule="auto"/>
        <w:ind w:right="160" w:rightChars="50" w:firstLine="0" w:firstLineChars="0"/>
        <w:jc w:val="center"/>
        <w:rPr>
          <w:rFonts w:ascii="仿宋_GB2312" w:hAnsi="宋体"/>
          <w:b/>
          <w:sz w:val="28"/>
          <w:szCs w:val="28"/>
        </w:rPr>
      </w:pPr>
    </w:p>
    <w:p w14:paraId="4E9414B7">
      <w:pPr>
        <w:spacing w:line="276" w:lineRule="auto"/>
        <w:ind w:right="160" w:rightChars="50" w:firstLine="0" w:firstLineChars="0"/>
        <w:jc w:val="center"/>
        <w:rPr>
          <w:rFonts w:ascii="仿宋_GB2312" w:hAnsi="微软雅黑"/>
          <w:bCs/>
          <w:spacing w:val="-4"/>
          <w:sz w:val="24"/>
        </w:rPr>
      </w:pPr>
    </w:p>
    <w:p w14:paraId="21EB9722">
      <w:pPr>
        <w:spacing w:line="276" w:lineRule="auto"/>
        <w:ind w:right="160" w:rightChars="50" w:firstLine="0" w:firstLineChars="0"/>
        <w:jc w:val="center"/>
        <w:rPr>
          <w:rFonts w:ascii="仿宋_GB2312" w:hAnsi="微软雅黑"/>
          <w:bCs/>
          <w:spacing w:val="-4"/>
          <w:sz w:val="24"/>
        </w:rPr>
      </w:pPr>
    </w:p>
    <w:p w14:paraId="6611C758">
      <w:pPr>
        <w:spacing w:line="276" w:lineRule="auto"/>
        <w:ind w:right="160" w:rightChars="50" w:firstLine="0" w:firstLineChars="0"/>
        <w:jc w:val="center"/>
        <w:rPr>
          <w:rFonts w:ascii="仿宋_GB2312" w:hAnsi="微软雅黑"/>
          <w:bCs/>
          <w:spacing w:val="-4"/>
          <w:sz w:val="24"/>
        </w:rPr>
      </w:pPr>
    </w:p>
    <w:p w14:paraId="53196C8F">
      <w:pPr>
        <w:spacing w:line="276" w:lineRule="auto"/>
        <w:ind w:right="160" w:rightChars="50" w:firstLine="0" w:firstLineChars="0"/>
        <w:jc w:val="center"/>
        <w:rPr>
          <w:rFonts w:ascii="仿宋_GB2312" w:hAnsi="微软雅黑"/>
          <w:bCs/>
          <w:spacing w:val="-4"/>
          <w:sz w:val="24"/>
        </w:rPr>
      </w:pPr>
    </w:p>
    <w:p w14:paraId="116691E1">
      <w:pPr>
        <w:spacing w:line="276" w:lineRule="auto"/>
        <w:ind w:right="160" w:rightChars="50" w:firstLine="0" w:firstLineChars="0"/>
        <w:jc w:val="center"/>
        <w:rPr>
          <w:rFonts w:ascii="仿宋_GB2312" w:hAnsi="微软雅黑"/>
          <w:bCs/>
          <w:spacing w:val="-4"/>
          <w:sz w:val="24"/>
        </w:rPr>
      </w:pPr>
    </w:p>
    <w:bookmarkEnd w:id="0"/>
    <w:p w14:paraId="26F715BE">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采</w:t>
      </w:r>
    </w:p>
    <w:p w14:paraId="7009EBEB">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购</w:t>
      </w:r>
    </w:p>
    <w:p w14:paraId="47AC84AA">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文</w:t>
      </w:r>
    </w:p>
    <w:p w14:paraId="406A55FC">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件</w:t>
      </w:r>
    </w:p>
    <w:p w14:paraId="4A71716C">
      <w:pPr>
        <w:adjustRightInd w:val="0"/>
        <w:snapToGrid w:val="0"/>
        <w:spacing w:line="276" w:lineRule="auto"/>
        <w:ind w:right="160" w:rightChars="50" w:firstLine="489"/>
        <w:jc w:val="center"/>
        <w:rPr>
          <w:rFonts w:ascii="仿宋_GB2312" w:hAnsi="宋体"/>
          <w:b/>
          <w:sz w:val="24"/>
        </w:rPr>
      </w:pPr>
    </w:p>
    <w:p w14:paraId="7D192402">
      <w:pPr>
        <w:adjustRightInd w:val="0"/>
        <w:snapToGrid w:val="0"/>
        <w:spacing w:line="276" w:lineRule="auto"/>
        <w:ind w:right="160" w:rightChars="50" w:firstLine="571"/>
        <w:jc w:val="center"/>
        <w:rPr>
          <w:rFonts w:ascii="仿宋_GB2312" w:hAnsi="宋体"/>
          <w:b/>
          <w:sz w:val="28"/>
          <w:szCs w:val="28"/>
        </w:rPr>
      </w:pPr>
    </w:p>
    <w:p w14:paraId="48875085">
      <w:pPr>
        <w:adjustRightInd w:val="0"/>
        <w:snapToGrid w:val="0"/>
        <w:spacing w:line="276" w:lineRule="auto"/>
        <w:ind w:right="160" w:rightChars="50" w:firstLine="571"/>
        <w:jc w:val="center"/>
        <w:rPr>
          <w:rFonts w:ascii="仿宋_GB2312" w:hAnsi="宋体"/>
          <w:b/>
          <w:sz w:val="28"/>
          <w:szCs w:val="28"/>
        </w:rPr>
      </w:pPr>
    </w:p>
    <w:p w14:paraId="0A28D875">
      <w:pPr>
        <w:adjustRightInd w:val="0"/>
        <w:snapToGrid w:val="0"/>
        <w:spacing w:line="276" w:lineRule="auto"/>
        <w:ind w:right="160" w:rightChars="50" w:firstLine="571"/>
        <w:jc w:val="center"/>
        <w:rPr>
          <w:rFonts w:ascii="仿宋_GB2312" w:hAnsi="宋体"/>
          <w:b/>
          <w:sz w:val="28"/>
          <w:szCs w:val="28"/>
        </w:rPr>
      </w:pPr>
    </w:p>
    <w:p w14:paraId="5C04C7AF">
      <w:pPr>
        <w:adjustRightInd w:val="0"/>
        <w:snapToGrid w:val="0"/>
        <w:spacing w:line="276" w:lineRule="auto"/>
        <w:ind w:right="160" w:rightChars="50" w:firstLine="571"/>
        <w:jc w:val="center"/>
        <w:rPr>
          <w:rFonts w:ascii="仿宋_GB2312" w:hAnsi="宋体"/>
          <w:b/>
          <w:sz w:val="28"/>
          <w:szCs w:val="28"/>
        </w:rPr>
      </w:pPr>
    </w:p>
    <w:p w14:paraId="3E6D73D8">
      <w:pPr>
        <w:adjustRightInd w:val="0"/>
        <w:snapToGrid w:val="0"/>
        <w:spacing w:line="276" w:lineRule="auto"/>
        <w:ind w:right="160" w:rightChars="50" w:firstLine="571"/>
        <w:jc w:val="center"/>
        <w:rPr>
          <w:rFonts w:ascii="仿宋_GB2312" w:hAnsi="宋体"/>
          <w:b/>
          <w:sz w:val="28"/>
          <w:szCs w:val="28"/>
        </w:rPr>
      </w:pPr>
    </w:p>
    <w:p w14:paraId="0801F532">
      <w:pPr>
        <w:adjustRightInd w:val="0"/>
        <w:snapToGrid w:val="0"/>
        <w:spacing w:line="276" w:lineRule="auto"/>
        <w:ind w:right="160" w:rightChars="50" w:firstLine="571"/>
        <w:jc w:val="center"/>
        <w:rPr>
          <w:rFonts w:ascii="仿宋_GB2312" w:hAnsi="宋体"/>
          <w:b/>
          <w:sz w:val="28"/>
          <w:szCs w:val="28"/>
        </w:rPr>
      </w:pPr>
    </w:p>
    <w:p w14:paraId="4E283CD4">
      <w:pPr>
        <w:adjustRightInd w:val="0"/>
        <w:snapToGrid w:val="0"/>
        <w:spacing w:line="276" w:lineRule="auto"/>
        <w:ind w:right="160" w:rightChars="50" w:firstLine="480"/>
        <w:rPr>
          <w:rFonts w:ascii="仿宋_GB2312" w:hAnsi="宋体"/>
          <w:sz w:val="24"/>
        </w:rPr>
      </w:pPr>
    </w:p>
    <w:p w14:paraId="78B27DA9">
      <w:pPr>
        <w:adjustRightInd w:val="0"/>
        <w:snapToGrid w:val="0"/>
        <w:spacing w:line="600" w:lineRule="exact"/>
        <w:ind w:right="160" w:rightChars="50"/>
        <w:jc w:val="center"/>
        <w:rPr>
          <w:rFonts w:ascii="方正小标宋简体" w:hAnsi="宋体" w:eastAsia="方正小标宋简体"/>
          <w:szCs w:val="32"/>
        </w:rPr>
      </w:pPr>
      <w:r>
        <w:rPr>
          <w:rFonts w:hint="eastAsia" w:ascii="方正小标宋简体" w:hAnsi="宋体" w:eastAsia="方正小标宋简体"/>
          <w:szCs w:val="32"/>
        </w:rPr>
        <w:t>四川蜀物兴川物流发展有限公司</w:t>
      </w:r>
    </w:p>
    <w:p w14:paraId="728BA4C4">
      <w:pPr>
        <w:adjustRightInd w:val="0"/>
        <w:snapToGrid w:val="0"/>
        <w:spacing w:line="600" w:lineRule="exact"/>
        <w:ind w:right="160" w:rightChars="50"/>
        <w:jc w:val="center"/>
        <w:rPr>
          <w:rFonts w:ascii="方正小标宋简体" w:hAnsi="宋体" w:eastAsia="方正小标宋简体"/>
          <w:szCs w:val="32"/>
        </w:rPr>
      </w:pPr>
      <w:r>
        <w:rPr>
          <w:rFonts w:hint="eastAsia" w:ascii="方正小标宋简体" w:hAnsi="宋体" w:eastAsia="方正小标宋简体"/>
          <w:szCs w:val="32"/>
        </w:rPr>
        <w:t>2025年</w:t>
      </w:r>
      <w:r>
        <w:rPr>
          <w:rFonts w:hint="eastAsia" w:ascii="方正小标宋简体" w:hAnsi="宋体" w:eastAsia="方正小标宋简体"/>
          <w:szCs w:val="32"/>
          <w:lang w:val="en-US" w:eastAsia="zh-CN"/>
        </w:rPr>
        <w:t>10</w:t>
      </w:r>
      <w:r>
        <w:rPr>
          <w:rFonts w:hint="eastAsia" w:ascii="方正小标宋简体" w:hAnsi="宋体" w:eastAsia="方正小标宋简体"/>
          <w:szCs w:val="32"/>
        </w:rPr>
        <w:t>月</w:t>
      </w:r>
    </w:p>
    <w:p w14:paraId="590C730E">
      <w:pPr>
        <w:widowControl/>
        <w:spacing w:line="360" w:lineRule="auto"/>
        <w:ind w:firstLine="571"/>
        <w:jc w:val="left"/>
        <w:rPr>
          <w:rFonts w:ascii="仿宋_GB2312" w:hAnsi="宋体"/>
          <w:b/>
          <w:kern w:val="0"/>
          <w:sz w:val="28"/>
          <w:szCs w:val="28"/>
        </w:rPr>
        <w:sectPr>
          <w:headerReference r:id="rId7" w:type="first"/>
          <w:footerReference r:id="rId10" w:type="first"/>
          <w:headerReference r:id="rId5" w:type="default"/>
          <w:footerReference r:id="rId8" w:type="default"/>
          <w:headerReference r:id="rId6" w:type="even"/>
          <w:footerReference r:id="rId9" w:type="even"/>
          <w:pgSz w:w="11905" w:h="16838"/>
          <w:pgMar w:top="1440" w:right="1083" w:bottom="1440" w:left="1083" w:header="850" w:footer="992" w:gutter="0"/>
          <w:pgNumType w:start="0"/>
          <w:cols w:space="0" w:num="1"/>
          <w:docGrid w:type="lines" w:linePitch="436" w:charSpace="0"/>
        </w:sectPr>
      </w:pPr>
    </w:p>
    <w:p w14:paraId="277AECB8">
      <w:pP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br w:type="page"/>
      </w:r>
    </w:p>
    <w:sdt>
      <w:sdtPr>
        <w:rPr>
          <w:rFonts w:ascii="宋体" w:hAnsi="宋体" w:eastAsia="宋体"/>
          <w:sz w:val="21"/>
        </w:rPr>
        <w:id w:val="147466467"/>
        <w15:color w:val="DBDBDB"/>
        <w:docPartObj>
          <w:docPartGallery w:val="Table of Contents"/>
          <w:docPartUnique/>
        </w:docPartObj>
      </w:sdtPr>
      <w:sdtEndPr>
        <w:rPr>
          <w:rFonts w:hint="eastAsia" w:ascii="方正小标宋简体" w:hAnsi="方正小标宋简体" w:eastAsia="方正小标宋简体" w:cs="方正小标宋简体"/>
          <w:sz w:val="32"/>
          <w:szCs w:val="32"/>
        </w:rPr>
      </w:sdtEndPr>
      <w:sdtContent>
        <w:p w14:paraId="31D81BF2">
          <w:pPr>
            <w:spacing w:line="240" w:lineRule="auto"/>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目录</w:t>
          </w:r>
        </w:p>
        <w:p w14:paraId="2E27E9A5">
          <w:pPr>
            <w:pStyle w:val="14"/>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TOC \o "1-3" \h \u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_Toc25850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t>第一章 询价公告</w:t>
          </w:r>
          <w:r>
            <w:tab/>
          </w:r>
          <w:r>
            <w:fldChar w:fldCharType="begin"/>
          </w:r>
          <w:r>
            <w:instrText xml:space="preserve"> PAGEREF _Toc25850 \h </w:instrText>
          </w:r>
          <w:r>
            <w:fldChar w:fldCharType="separate"/>
          </w:r>
          <w:r>
            <w:t>4</w:t>
          </w:r>
          <w:r>
            <w:fldChar w:fldCharType="end"/>
          </w:r>
          <w:r>
            <w:rPr>
              <w:rFonts w:hint="eastAsia" w:ascii="方正小标宋简体" w:hAnsi="方正小标宋简体" w:eastAsia="方正小标宋简体" w:cs="方正小标宋简体"/>
              <w:szCs w:val="32"/>
            </w:rPr>
            <w:fldChar w:fldCharType="end"/>
          </w:r>
        </w:p>
        <w:p w14:paraId="093A1314">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_Toc28409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一、 采购条件</w:t>
          </w:r>
          <w:r>
            <w:tab/>
          </w:r>
          <w:r>
            <w:fldChar w:fldCharType="begin"/>
          </w:r>
          <w:r>
            <w:instrText xml:space="preserve"> PAGEREF _Toc28409 \h </w:instrText>
          </w:r>
          <w:r>
            <w:fldChar w:fldCharType="separate"/>
          </w:r>
          <w:r>
            <w:t>4</w:t>
          </w:r>
          <w:r>
            <w:fldChar w:fldCharType="end"/>
          </w:r>
          <w:r>
            <w:rPr>
              <w:rFonts w:hint="eastAsia" w:ascii="方正小标宋简体" w:hAnsi="方正小标宋简体" w:eastAsia="方正小标宋简体" w:cs="方正小标宋简体"/>
              <w:szCs w:val="32"/>
            </w:rPr>
            <w:fldChar w:fldCharType="end"/>
          </w:r>
        </w:p>
        <w:p w14:paraId="12311406">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_Toc6821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 xml:space="preserve">二、 </w:t>
          </w:r>
          <w:r>
            <w:rPr>
              <w:rFonts w:ascii="黑体" w:hAnsi="黑体" w:eastAsia="黑体" w:cs="黑体"/>
              <w:kern w:val="2"/>
            </w:rPr>
            <w:t>项目概况</w:t>
          </w:r>
          <w:r>
            <w:tab/>
          </w:r>
          <w:r>
            <w:fldChar w:fldCharType="begin"/>
          </w:r>
          <w:r>
            <w:instrText xml:space="preserve"> PAGEREF _Toc6821 \h </w:instrText>
          </w:r>
          <w:r>
            <w:fldChar w:fldCharType="separate"/>
          </w:r>
          <w:r>
            <w:t>4</w:t>
          </w:r>
          <w:r>
            <w:fldChar w:fldCharType="end"/>
          </w:r>
          <w:r>
            <w:rPr>
              <w:rFonts w:hint="eastAsia" w:ascii="方正小标宋简体" w:hAnsi="方正小标宋简体" w:eastAsia="方正小标宋简体" w:cs="方正小标宋简体"/>
              <w:szCs w:val="32"/>
            </w:rPr>
            <w:fldChar w:fldCharType="end"/>
          </w:r>
        </w:p>
        <w:p w14:paraId="67F9B801">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_Toc7134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三、 申请人</w:t>
          </w:r>
          <w:r>
            <w:rPr>
              <w:rFonts w:ascii="黑体" w:hAnsi="黑体" w:eastAsia="黑体" w:cs="黑体"/>
              <w:kern w:val="2"/>
            </w:rPr>
            <w:t>资格条件要求</w:t>
          </w:r>
          <w:r>
            <w:tab/>
          </w:r>
          <w:r>
            <w:fldChar w:fldCharType="begin"/>
          </w:r>
          <w:r>
            <w:instrText xml:space="preserve"> PAGEREF _Toc7134 \h </w:instrText>
          </w:r>
          <w:r>
            <w:fldChar w:fldCharType="separate"/>
          </w:r>
          <w:r>
            <w:t>7</w:t>
          </w:r>
          <w:r>
            <w:fldChar w:fldCharType="end"/>
          </w:r>
          <w:r>
            <w:rPr>
              <w:rFonts w:hint="eastAsia" w:ascii="方正小标宋简体" w:hAnsi="方正小标宋简体" w:eastAsia="方正小标宋简体" w:cs="方正小标宋简体"/>
              <w:szCs w:val="32"/>
            </w:rPr>
            <w:fldChar w:fldCharType="end"/>
          </w:r>
        </w:p>
        <w:p w14:paraId="6644FA9D">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_Toc10221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四、 报名方式</w:t>
          </w:r>
          <w:r>
            <w:tab/>
          </w:r>
          <w:r>
            <w:fldChar w:fldCharType="begin"/>
          </w:r>
          <w:r>
            <w:instrText xml:space="preserve"> PAGEREF _Toc10221 \h </w:instrText>
          </w:r>
          <w:r>
            <w:fldChar w:fldCharType="separate"/>
          </w:r>
          <w:r>
            <w:t>8</w:t>
          </w:r>
          <w:r>
            <w:fldChar w:fldCharType="end"/>
          </w:r>
          <w:r>
            <w:rPr>
              <w:rFonts w:hint="eastAsia" w:ascii="方正小标宋简体" w:hAnsi="方正小标宋简体" w:eastAsia="方正小标宋简体" w:cs="方正小标宋简体"/>
              <w:szCs w:val="32"/>
            </w:rPr>
            <w:fldChar w:fldCharType="end"/>
          </w:r>
        </w:p>
        <w:p w14:paraId="1DEBA940">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_Toc16189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 xml:space="preserve">五、 </w:t>
          </w:r>
          <w:r>
            <w:rPr>
              <w:rFonts w:ascii="黑体" w:hAnsi="黑体" w:eastAsia="黑体" w:cs="黑体"/>
              <w:kern w:val="2"/>
            </w:rPr>
            <w:t>报价文件的递交</w:t>
          </w:r>
          <w:r>
            <w:tab/>
          </w:r>
          <w:r>
            <w:fldChar w:fldCharType="begin"/>
          </w:r>
          <w:r>
            <w:instrText xml:space="preserve"> PAGEREF _Toc16189 \h </w:instrText>
          </w:r>
          <w:r>
            <w:fldChar w:fldCharType="separate"/>
          </w:r>
          <w:r>
            <w:t>8</w:t>
          </w:r>
          <w:r>
            <w:fldChar w:fldCharType="end"/>
          </w:r>
          <w:r>
            <w:rPr>
              <w:rFonts w:hint="eastAsia" w:ascii="方正小标宋简体" w:hAnsi="方正小标宋简体" w:eastAsia="方正小标宋简体" w:cs="方正小标宋简体"/>
              <w:szCs w:val="32"/>
            </w:rPr>
            <w:fldChar w:fldCharType="end"/>
          </w:r>
        </w:p>
        <w:p w14:paraId="7E2092BF">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_Toc18113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 xml:space="preserve">六、 </w:t>
          </w:r>
          <w:r>
            <w:rPr>
              <w:rFonts w:ascii="黑体" w:hAnsi="黑体" w:eastAsia="黑体" w:cs="黑体"/>
              <w:kern w:val="2"/>
            </w:rPr>
            <w:t>联系方式</w:t>
          </w:r>
          <w:r>
            <w:tab/>
          </w:r>
          <w:r>
            <w:fldChar w:fldCharType="begin"/>
          </w:r>
          <w:r>
            <w:instrText xml:space="preserve"> PAGEREF _Toc18113 \h </w:instrText>
          </w:r>
          <w:r>
            <w:fldChar w:fldCharType="separate"/>
          </w:r>
          <w:r>
            <w:t>8</w:t>
          </w:r>
          <w:r>
            <w:fldChar w:fldCharType="end"/>
          </w:r>
          <w:r>
            <w:rPr>
              <w:rFonts w:hint="eastAsia" w:ascii="方正小标宋简体" w:hAnsi="方正小标宋简体" w:eastAsia="方正小标宋简体" w:cs="方正小标宋简体"/>
              <w:szCs w:val="32"/>
            </w:rPr>
            <w:fldChar w:fldCharType="end"/>
          </w:r>
        </w:p>
        <w:p w14:paraId="43D082E7">
          <w:pPr>
            <w:pStyle w:val="14"/>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_Toc2061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t>第二章 申请人须知</w:t>
          </w:r>
          <w:r>
            <w:tab/>
          </w:r>
          <w:r>
            <w:fldChar w:fldCharType="begin"/>
          </w:r>
          <w:r>
            <w:instrText xml:space="preserve"> PAGEREF _Toc2061 \h </w:instrText>
          </w:r>
          <w:r>
            <w:fldChar w:fldCharType="separate"/>
          </w:r>
          <w:r>
            <w:t>10</w:t>
          </w:r>
          <w:r>
            <w:fldChar w:fldCharType="end"/>
          </w:r>
          <w:r>
            <w:rPr>
              <w:rFonts w:hint="eastAsia" w:ascii="方正小标宋简体" w:hAnsi="方正小标宋简体" w:eastAsia="方正小标宋简体" w:cs="方正小标宋简体"/>
              <w:szCs w:val="32"/>
            </w:rPr>
            <w:fldChar w:fldCharType="end"/>
          </w:r>
        </w:p>
        <w:p w14:paraId="5481ACF0">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_Toc15375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一、 资料要求</w:t>
          </w:r>
          <w:r>
            <w:tab/>
          </w:r>
          <w:r>
            <w:fldChar w:fldCharType="begin"/>
          </w:r>
          <w:r>
            <w:instrText xml:space="preserve"> PAGEREF _Toc15375 \h </w:instrText>
          </w:r>
          <w:r>
            <w:fldChar w:fldCharType="separate"/>
          </w:r>
          <w:r>
            <w:t>10</w:t>
          </w:r>
          <w:r>
            <w:fldChar w:fldCharType="end"/>
          </w:r>
          <w:r>
            <w:rPr>
              <w:rFonts w:hint="eastAsia" w:ascii="方正小标宋简体" w:hAnsi="方正小标宋简体" w:eastAsia="方正小标宋简体" w:cs="方正小标宋简体"/>
              <w:szCs w:val="32"/>
            </w:rPr>
            <w:fldChar w:fldCharType="end"/>
          </w:r>
        </w:p>
        <w:p w14:paraId="6EFC488A">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_Toc31242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二、 确定中选人</w:t>
          </w:r>
          <w:r>
            <w:tab/>
          </w:r>
          <w:r>
            <w:fldChar w:fldCharType="begin"/>
          </w:r>
          <w:r>
            <w:instrText xml:space="preserve"> PAGEREF _Toc31242 \h </w:instrText>
          </w:r>
          <w:r>
            <w:fldChar w:fldCharType="separate"/>
          </w:r>
          <w:r>
            <w:t>10</w:t>
          </w:r>
          <w:r>
            <w:fldChar w:fldCharType="end"/>
          </w:r>
          <w:r>
            <w:rPr>
              <w:rFonts w:hint="eastAsia" w:ascii="方正小标宋简体" w:hAnsi="方正小标宋简体" w:eastAsia="方正小标宋简体" w:cs="方正小标宋简体"/>
              <w:szCs w:val="32"/>
            </w:rPr>
            <w:fldChar w:fldCharType="end"/>
          </w:r>
        </w:p>
        <w:p w14:paraId="2931BB31">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_Toc11523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三</w:t>
          </w:r>
          <w:r>
            <w:rPr>
              <w:rFonts w:hint="eastAsia" w:ascii="黑体" w:hAnsi="黑体" w:eastAsia="黑体" w:cs="黑体"/>
              <w:kern w:val="2"/>
              <w:lang w:eastAsia="zh-CN"/>
            </w:rPr>
            <w:t>、</w:t>
          </w:r>
          <w:r>
            <w:rPr>
              <w:rFonts w:hint="eastAsia" w:ascii="黑体" w:hAnsi="黑体" w:eastAsia="黑体" w:cs="黑体"/>
              <w:kern w:val="2"/>
            </w:rPr>
            <w:t>报价保证金</w:t>
          </w:r>
          <w:r>
            <w:tab/>
          </w:r>
          <w:r>
            <w:fldChar w:fldCharType="begin"/>
          </w:r>
          <w:r>
            <w:instrText xml:space="preserve"> PAGEREF _Toc11523 \h </w:instrText>
          </w:r>
          <w:r>
            <w:fldChar w:fldCharType="separate"/>
          </w:r>
          <w:r>
            <w:t>11</w:t>
          </w:r>
          <w:r>
            <w:fldChar w:fldCharType="end"/>
          </w:r>
          <w:r>
            <w:rPr>
              <w:rFonts w:hint="eastAsia" w:ascii="方正小标宋简体" w:hAnsi="方正小标宋简体" w:eastAsia="方正小标宋简体" w:cs="方正小标宋简体"/>
              <w:szCs w:val="32"/>
            </w:rPr>
            <w:fldChar w:fldCharType="end"/>
          </w:r>
        </w:p>
        <w:p w14:paraId="40B2D25A">
          <w:pPr>
            <w:pStyle w:val="14"/>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_Toc7307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t>第三章 合同条款及格式</w:t>
          </w:r>
          <w:r>
            <w:tab/>
          </w:r>
          <w:r>
            <w:fldChar w:fldCharType="begin"/>
          </w:r>
          <w:r>
            <w:instrText xml:space="preserve"> PAGEREF _Toc7307 \h </w:instrText>
          </w:r>
          <w:r>
            <w:fldChar w:fldCharType="separate"/>
          </w:r>
          <w:r>
            <w:t>12</w:t>
          </w:r>
          <w:r>
            <w:fldChar w:fldCharType="end"/>
          </w:r>
          <w:r>
            <w:rPr>
              <w:rFonts w:hint="eastAsia" w:ascii="方正小标宋简体" w:hAnsi="方正小标宋简体" w:eastAsia="方正小标宋简体" w:cs="方正小标宋简体"/>
              <w:szCs w:val="32"/>
            </w:rPr>
            <w:fldChar w:fldCharType="end"/>
          </w:r>
        </w:p>
        <w:p w14:paraId="7925C800">
          <w:pPr>
            <w:ind w:firstLine="0" w:firstLineChars="0"/>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fldChar w:fldCharType="end"/>
          </w:r>
        </w:p>
      </w:sdtContent>
    </w:sdt>
    <w:p w14:paraId="3976A6EE">
      <w:pP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br w:type="page"/>
      </w:r>
    </w:p>
    <w:p w14:paraId="17EEC6EA">
      <w:pP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br w:type="page"/>
      </w:r>
    </w:p>
    <w:p w14:paraId="3E51B94D">
      <w:pPr>
        <w:numPr>
          <w:ilvl w:val="0"/>
          <w:numId w:val="1"/>
        </w:numPr>
        <w:ind w:firstLineChars="0"/>
        <w:jc w:val="center"/>
        <w:outlineLvl w:val="0"/>
        <w:rPr>
          <w:rFonts w:ascii="方正小标宋简体" w:hAnsi="方正小标宋简体" w:eastAsia="方正小标宋简体" w:cs="方正小标宋简体"/>
          <w:szCs w:val="32"/>
        </w:rPr>
      </w:pPr>
      <w:bookmarkStart w:id="1" w:name="_Toc25850"/>
      <w:r>
        <w:rPr>
          <w:rFonts w:hint="eastAsia" w:ascii="方正小标宋简体" w:hAnsi="方正小标宋简体" w:eastAsia="方正小标宋简体" w:cs="方正小标宋简体"/>
          <w:szCs w:val="32"/>
        </w:rPr>
        <w:t>询价公告</w:t>
      </w:r>
      <w:bookmarkEnd w:id="1"/>
    </w:p>
    <w:p w14:paraId="603EA4F3">
      <w:pPr>
        <w:pStyle w:val="18"/>
        <w:spacing w:beforeAutospacing="0" w:afterAutospacing="0"/>
        <w:ind w:firstLine="560"/>
        <w:jc w:val="both"/>
        <w:rPr>
          <w:rFonts w:ascii="黑体" w:hAnsi="黑体" w:eastAsia="黑体" w:cs="黑体"/>
          <w:kern w:val="2"/>
          <w:sz w:val="28"/>
        </w:rPr>
      </w:pPr>
    </w:p>
    <w:p w14:paraId="5E4AE048">
      <w:pPr>
        <w:pStyle w:val="18"/>
        <w:numPr>
          <w:ilvl w:val="0"/>
          <w:numId w:val="2"/>
        </w:numPr>
        <w:spacing w:beforeAutospacing="0" w:afterAutospacing="0"/>
        <w:ind w:firstLine="560"/>
        <w:jc w:val="both"/>
        <w:outlineLvl w:val="1"/>
        <w:rPr>
          <w:rFonts w:ascii="黑体" w:hAnsi="黑体" w:eastAsia="黑体" w:cs="黑体"/>
          <w:kern w:val="2"/>
          <w:sz w:val="28"/>
        </w:rPr>
      </w:pPr>
      <w:bookmarkStart w:id="2" w:name="_Toc18089"/>
      <w:bookmarkStart w:id="3" w:name="_Toc28409"/>
      <w:r>
        <w:rPr>
          <w:rFonts w:hint="eastAsia" w:ascii="黑体" w:hAnsi="黑体" w:eastAsia="黑体" w:cs="黑体"/>
          <w:kern w:val="2"/>
          <w:sz w:val="28"/>
        </w:rPr>
        <w:t>采购条件</w:t>
      </w:r>
      <w:bookmarkEnd w:id="2"/>
      <w:bookmarkEnd w:id="3"/>
    </w:p>
    <w:p w14:paraId="798B1A78">
      <w:pPr>
        <w:spacing w:line="600" w:lineRule="exact"/>
        <w:ind w:right="160" w:rightChars="50" w:firstLine="560"/>
        <w:rPr>
          <w:sz w:val="28"/>
        </w:rPr>
      </w:pPr>
      <w:r>
        <w:rPr>
          <w:rFonts w:hint="eastAsia"/>
          <w:sz w:val="28"/>
        </w:rPr>
        <w:t>加工事业部物资公开询价采购项目（</w:t>
      </w:r>
      <w:r>
        <w:rPr>
          <w:rFonts w:hint="eastAsia"/>
          <w:sz w:val="28"/>
          <w:lang w:val="en-US" w:eastAsia="zh-CN"/>
        </w:rPr>
        <w:t>三</w:t>
      </w:r>
      <w:r>
        <w:rPr>
          <w:rFonts w:hint="eastAsia"/>
          <w:sz w:val="28"/>
        </w:rPr>
        <w:t>）(以下称</w:t>
      </w:r>
      <w:r>
        <w:rPr>
          <w:sz w:val="28"/>
        </w:rPr>
        <w:t>“</w:t>
      </w:r>
      <w:r>
        <w:rPr>
          <w:rFonts w:hint="eastAsia"/>
          <w:sz w:val="28"/>
        </w:rPr>
        <w:t>本项目</w:t>
      </w:r>
      <w:r>
        <w:rPr>
          <w:sz w:val="28"/>
        </w:rPr>
        <w:t>”)</w:t>
      </w:r>
      <w:r>
        <w:rPr>
          <w:rFonts w:hint="eastAsia"/>
          <w:sz w:val="28"/>
        </w:rPr>
        <w:t>采购人为四川蜀物兴川物流发展有限公司，采购人为满足我司项目建设所需混凝土物资供应，拟通过公开询价方式就上述项目确定1家供应商，现邀请符合条件单位进行报价。</w:t>
      </w:r>
    </w:p>
    <w:p w14:paraId="68837882">
      <w:pPr>
        <w:pStyle w:val="18"/>
        <w:numPr>
          <w:ilvl w:val="0"/>
          <w:numId w:val="2"/>
        </w:numPr>
        <w:spacing w:beforeAutospacing="0" w:afterAutospacing="0"/>
        <w:ind w:firstLine="560"/>
        <w:jc w:val="both"/>
        <w:outlineLvl w:val="1"/>
        <w:rPr>
          <w:rFonts w:ascii="黑体" w:hAnsi="黑体" w:eastAsia="黑体" w:cs="黑体"/>
          <w:kern w:val="2"/>
          <w:sz w:val="28"/>
        </w:rPr>
      </w:pPr>
      <w:bookmarkStart w:id="4" w:name="_Toc16003"/>
      <w:bookmarkStart w:id="5" w:name="_Toc6821"/>
      <w:r>
        <w:rPr>
          <w:rFonts w:ascii="黑体" w:hAnsi="黑体" w:eastAsia="黑体" w:cs="黑体"/>
          <w:kern w:val="2"/>
          <w:sz w:val="28"/>
        </w:rPr>
        <w:t>项目概况</w:t>
      </w:r>
      <w:bookmarkEnd w:id="4"/>
      <w:bookmarkEnd w:id="5"/>
    </w:p>
    <w:p w14:paraId="16B30A71">
      <w:pPr>
        <w:pStyle w:val="18"/>
        <w:spacing w:beforeAutospacing="0" w:afterAutospacing="0"/>
        <w:ind w:firstLine="560"/>
        <w:jc w:val="both"/>
        <w:rPr>
          <w:kern w:val="2"/>
          <w:sz w:val="28"/>
        </w:rPr>
      </w:pPr>
      <w:r>
        <w:rPr>
          <w:rFonts w:hint="eastAsia"/>
          <w:kern w:val="2"/>
          <w:sz w:val="28"/>
        </w:rPr>
        <w:t>（一）物资品种：混凝土。</w:t>
      </w:r>
    </w:p>
    <w:p w14:paraId="6DA44426">
      <w:pPr>
        <w:pStyle w:val="18"/>
        <w:spacing w:beforeAutospacing="0" w:afterAutospacing="0"/>
        <w:ind w:firstLine="560"/>
        <w:jc w:val="both"/>
        <w:rPr>
          <w:kern w:val="2"/>
          <w:sz w:val="28"/>
        </w:rPr>
      </w:pPr>
      <w:r>
        <w:rPr>
          <w:rFonts w:hint="eastAsia"/>
          <w:kern w:val="2"/>
          <w:sz w:val="28"/>
        </w:rPr>
        <w:t>（二）</w:t>
      </w:r>
      <w:r>
        <w:rPr>
          <w:kern w:val="2"/>
          <w:sz w:val="28"/>
        </w:rPr>
        <w:t>采购范围</w:t>
      </w:r>
    </w:p>
    <w:p w14:paraId="51D7615C">
      <w:pPr>
        <w:pStyle w:val="18"/>
        <w:spacing w:beforeAutospacing="0" w:afterAutospacing="0"/>
        <w:ind w:firstLine="560"/>
        <w:jc w:val="both"/>
        <w:rPr>
          <w:kern w:val="2"/>
          <w:sz w:val="28"/>
        </w:rPr>
      </w:pPr>
      <w:r>
        <w:rPr>
          <w:rFonts w:hint="eastAsia"/>
          <w:kern w:val="2"/>
          <w:sz w:val="28"/>
        </w:rPr>
        <w:t>本项目共计1</w:t>
      </w:r>
      <w:r>
        <w:rPr>
          <w:kern w:val="2"/>
          <w:sz w:val="28"/>
        </w:rPr>
        <w:t>个</w:t>
      </w:r>
      <w:r>
        <w:rPr>
          <w:rFonts w:hint="eastAsia"/>
          <w:kern w:val="2"/>
          <w:sz w:val="28"/>
        </w:rPr>
        <w:t>包件，包件</w:t>
      </w:r>
      <w:r>
        <w:rPr>
          <w:kern w:val="2"/>
          <w:sz w:val="28"/>
        </w:rPr>
        <w:t>如下</w:t>
      </w:r>
      <w:r>
        <w:rPr>
          <w:rFonts w:hint="eastAsia"/>
          <w:kern w:val="2"/>
          <w:sz w:val="28"/>
        </w:rPr>
        <w:t>：</w:t>
      </w:r>
    </w:p>
    <w:tbl>
      <w:tblPr>
        <w:tblStyle w:val="21"/>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275"/>
        <w:gridCol w:w="2013"/>
        <w:gridCol w:w="1415"/>
        <w:gridCol w:w="1333"/>
        <w:gridCol w:w="1470"/>
        <w:gridCol w:w="1771"/>
      </w:tblGrid>
      <w:tr w14:paraId="27C9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87" w:type="dxa"/>
            <w:shd w:val="clear" w:color="auto" w:fill="auto"/>
            <w:vAlign w:val="center"/>
          </w:tcPr>
          <w:p w14:paraId="4EBEF47E">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包件号</w:t>
            </w:r>
          </w:p>
        </w:tc>
        <w:tc>
          <w:tcPr>
            <w:tcW w:w="1275" w:type="dxa"/>
            <w:shd w:val="clear" w:color="auto" w:fill="auto"/>
            <w:vAlign w:val="center"/>
          </w:tcPr>
          <w:p w14:paraId="0EB65919">
            <w:pPr>
              <w:widowControl/>
              <w:snapToGrid w:val="0"/>
              <w:spacing w:line="240" w:lineRule="auto"/>
              <w:ind w:firstLine="0" w:firstLineChars="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项目名称</w:t>
            </w:r>
          </w:p>
        </w:tc>
        <w:tc>
          <w:tcPr>
            <w:tcW w:w="2013" w:type="dxa"/>
            <w:shd w:val="clear" w:color="auto" w:fill="auto"/>
            <w:vAlign w:val="center"/>
          </w:tcPr>
          <w:p w14:paraId="0484C6F6">
            <w:pPr>
              <w:widowControl/>
              <w:snapToGrid w:val="0"/>
              <w:spacing w:line="240" w:lineRule="auto"/>
              <w:ind w:firstLine="0" w:firstLineChars="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收货地址</w:t>
            </w:r>
          </w:p>
        </w:tc>
        <w:tc>
          <w:tcPr>
            <w:tcW w:w="1415" w:type="dxa"/>
            <w:shd w:val="clear" w:color="auto" w:fill="auto"/>
            <w:vAlign w:val="center"/>
          </w:tcPr>
          <w:p w14:paraId="74D18BA7">
            <w:pPr>
              <w:widowControl/>
              <w:snapToGrid w:val="0"/>
              <w:spacing w:line="240" w:lineRule="auto"/>
              <w:ind w:firstLine="0" w:firstLineChars="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材料名称</w:t>
            </w:r>
          </w:p>
        </w:tc>
        <w:tc>
          <w:tcPr>
            <w:tcW w:w="1333" w:type="dxa"/>
            <w:shd w:val="clear" w:color="auto" w:fill="auto"/>
            <w:vAlign w:val="center"/>
          </w:tcPr>
          <w:p w14:paraId="25E78007">
            <w:pPr>
              <w:widowControl/>
              <w:snapToGrid w:val="0"/>
              <w:spacing w:line="240" w:lineRule="auto"/>
              <w:ind w:firstLine="0" w:firstLineChars="0"/>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cs="仿宋_GB2312"/>
                <w:color w:val="000000"/>
                <w:kern w:val="0"/>
                <w:sz w:val="22"/>
                <w:szCs w:val="22"/>
                <w:lang w:val="en-US" w:eastAsia="zh-CN" w:bidi="ar"/>
              </w:rPr>
              <w:t>强度等级</w:t>
            </w:r>
          </w:p>
        </w:tc>
        <w:tc>
          <w:tcPr>
            <w:tcW w:w="1470" w:type="dxa"/>
            <w:shd w:val="clear" w:color="auto" w:fill="auto"/>
            <w:vAlign w:val="center"/>
          </w:tcPr>
          <w:p w14:paraId="3D2757D9">
            <w:pPr>
              <w:widowControl/>
              <w:snapToGrid w:val="0"/>
              <w:spacing w:line="240" w:lineRule="auto"/>
              <w:ind w:firstLine="0" w:firstLineChars="0"/>
              <w:jc w:val="center"/>
              <w:textAlignment w:val="center"/>
              <w:rPr>
                <w:rFonts w:hint="default" w:ascii="仿宋_GB2312" w:hAnsi="仿宋_GB2312" w:eastAsia="仿宋_GB2312" w:cs="仿宋_GB2312"/>
                <w:color w:val="000000"/>
                <w:sz w:val="22"/>
                <w:szCs w:val="22"/>
                <w:lang w:val="en-US" w:eastAsia="zh-CN"/>
              </w:rPr>
            </w:pPr>
            <w:r>
              <w:rPr>
                <w:rFonts w:hint="eastAsia" w:ascii="仿宋_GB2312" w:hAnsi="仿宋_GB2312" w:cs="仿宋_GB2312"/>
                <w:color w:val="000000"/>
                <w:kern w:val="0"/>
                <w:sz w:val="22"/>
                <w:szCs w:val="22"/>
                <w:lang w:val="en-US" w:eastAsia="zh-CN" w:bidi="ar"/>
              </w:rPr>
              <w:t>预估数量</w:t>
            </w:r>
          </w:p>
        </w:tc>
        <w:tc>
          <w:tcPr>
            <w:tcW w:w="1771" w:type="dxa"/>
            <w:shd w:val="clear" w:color="auto" w:fill="auto"/>
            <w:vAlign w:val="center"/>
          </w:tcPr>
          <w:p w14:paraId="7E424FB9">
            <w:pPr>
              <w:widowControl/>
              <w:snapToGrid w:val="0"/>
              <w:spacing w:line="240" w:lineRule="auto"/>
              <w:ind w:firstLine="0" w:firstLineChars="0"/>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cs="仿宋_GB2312"/>
                <w:color w:val="000000"/>
                <w:kern w:val="0"/>
                <w:sz w:val="22"/>
                <w:szCs w:val="22"/>
                <w:lang w:val="en-US" w:eastAsia="zh-CN" w:bidi="ar"/>
              </w:rPr>
              <w:t>计量单位</w:t>
            </w:r>
          </w:p>
        </w:tc>
      </w:tr>
      <w:tr w14:paraId="401C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87" w:type="dxa"/>
            <w:vMerge w:val="restart"/>
            <w:shd w:val="clear" w:color="auto" w:fill="auto"/>
            <w:vAlign w:val="center"/>
          </w:tcPr>
          <w:p w14:paraId="2C1C0B08">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包件1</w:t>
            </w:r>
          </w:p>
        </w:tc>
        <w:tc>
          <w:tcPr>
            <w:tcW w:w="1275" w:type="dxa"/>
            <w:vMerge w:val="restart"/>
            <w:shd w:val="clear" w:color="auto" w:fill="auto"/>
            <w:vAlign w:val="center"/>
          </w:tcPr>
          <w:p w14:paraId="4AE0042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加工事业部物资公开询价采购项目（</w:t>
            </w:r>
            <w:r>
              <w:rPr>
                <w:rFonts w:hint="eastAsia" w:ascii="仿宋_GB2312" w:hAnsi="仿宋_GB2312" w:eastAsia="仿宋_GB2312" w:cs="仿宋_GB2312"/>
                <w:color w:val="000000"/>
                <w:kern w:val="0"/>
                <w:sz w:val="22"/>
                <w:szCs w:val="22"/>
                <w:lang w:val="en-US" w:eastAsia="zh-CN" w:bidi="ar"/>
              </w:rPr>
              <w:t>三</w:t>
            </w:r>
            <w:r>
              <w:rPr>
                <w:rFonts w:hint="eastAsia" w:ascii="仿宋_GB2312" w:hAnsi="仿宋_GB2312" w:eastAsia="仿宋_GB2312" w:cs="仿宋_GB2312"/>
                <w:color w:val="000000"/>
                <w:kern w:val="0"/>
                <w:sz w:val="22"/>
                <w:szCs w:val="22"/>
                <w:lang w:bidi="ar"/>
              </w:rPr>
              <w:t>）</w:t>
            </w:r>
          </w:p>
        </w:tc>
        <w:tc>
          <w:tcPr>
            <w:tcW w:w="2013" w:type="dxa"/>
            <w:vMerge w:val="restart"/>
            <w:shd w:val="clear" w:color="auto" w:fill="auto"/>
            <w:vAlign w:val="center"/>
          </w:tcPr>
          <w:p w14:paraId="0F0D1D20">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G5京昆高速广元至绵阳段扩容工程FJ合同段项目经理部施工范围内，最终位置以招标方指定地点为准</w:t>
            </w:r>
          </w:p>
        </w:tc>
        <w:tc>
          <w:tcPr>
            <w:tcW w:w="1415" w:type="dxa"/>
            <w:shd w:val="clear" w:color="auto" w:fill="auto"/>
            <w:vAlign w:val="center"/>
          </w:tcPr>
          <w:p w14:paraId="052301E3">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商砼</w:t>
            </w:r>
          </w:p>
        </w:tc>
        <w:tc>
          <w:tcPr>
            <w:tcW w:w="1333" w:type="dxa"/>
            <w:shd w:val="clear" w:color="auto" w:fill="auto"/>
            <w:vAlign w:val="center"/>
          </w:tcPr>
          <w:p w14:paraId="2B0C09DA">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C20</w:t>
            </w:r>
          </w:p>
        </w:tc>
        <w:tc>
          <w:tcPr>
            <w:tcW w:w="1470" w:type="dxa"/>
            <w:shd w:val="clear" w:color="auto" w:fill="auto"/>
            <w:vAlign w:val="center"/>
          </w:tcPr>
          <w:p w14:paraId="07E2C65E">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3995</w:t>
            </w:r>
          </w:p>
        </w:tc>
        <w:tc>
          <w:tcPr>
            <w:tcW w:w="1771" w:type="dxa"/>
            <w:shd w:val="clear" w:color="auto" w:fill="auto"/>
            <w:vAlign w:val="center"/>
          </w:tcPr>
          <w:p w14:paraId="321A1186">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m³</w:t>
            </w:r>
          </w:p>
        </w:tc>
      </w:tr>
      <w:tr w14:paraId="7FB1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444A8E4C">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275" w:type="dxa"/>
            <w:vMerge w:val="continue"/>
            <w:shd w:val="clear" w:color="auto" w:fill="auto"/>
            <w:vAlign w:val="center"/>
          </w:tcPr>
          <w:p w14:paraId="7B41DBD6">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2013" w:type="dxa"/>
            <w:vMerge w:val="continue"/>
            <w:shd w:val="clear" w:color="auto" w:fill="auto"/>
            <w:vAlign w:val="center"/>
          </w:tcPr>
          <w:p w14:paraId="289BA5F7">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15" w:type="dxa"/>
            <w:shd w:val="clear" w:color="auto" w:fill="auto"/>
            <w:vAlign w:val="center"/>
          </w:tcPr>
          <w:p w14:paraId="763ACD11">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商砼</w:t>
            </w:r>
          </w:p>
        </w:tc>
        <w:tc>
          <w:tcPr>
            <w:tcW w:w="1333" w:type="dxa"/>
            <w:shd w:val="clear" w:color="auto" w:fill="auto"/>
            <w:vAlign w:val="center"/>
          </w:tcPr>
          <w:p w14:paraId="48DA0B4C">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C20细石</w:t>
            </w:r>
          </w:p>
        </w:tc>
        <w:tc>
          <w:tcPr>
            <w:tcW w:w="1470" w:type="dxa"/>
            <w:shd w:val="clear" w:color="auto" w:fill="auto"/>
            <w:vAlign w:val="center"/>
          </w:tcPr>
          <w:p w14:paraId="6FF041D7">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675</w:t>
            </w:r>
          </w:p>
        </w:tc>
        <w:tc>
          <w:tcPr>
            <w:tcW w:w="1771" w:type="dxa"/>
            <w:shd w:val="clear" w:color="auto" w:fill="auto"/>
            <w:vAlign w:val="center"/>
          </w:tcPr>
          <w:p w14:paraId="1A949997">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m³</w:t>
            </w:r>
          </w:p>
        </w:tc>
      </w:tr>
      <w:tr w14:paraId="07BA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72AFB271">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275" w:type="dxa"/>
            <w:vMerge w:val="continue"/>
            <w:shd w:val="clear" w:color="auto" w:fill="auto"/>
            <w:vAlign w:val="center"/>
          </w:tcPr>
          <w:p w14:paraId="595D9043">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2013" w:type="dxa"/>
            <w:vMerge w:val="continue"/>
            <w:shd w:val="clear" w:color="auto" w:fill="auto"/>
            <w:vAlign w:val="center"/>
          </w:tcPr>
          <w:p w14:paraId="757433E0">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15" w:type="dxa"/>
            <w:shd w:val="clear" w:color="auto" w:fill="auto"/>
            <w:vAlign w:val="center"/>
          </w:tcPr>
          <w:p w14:paraId="05F71AE7">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商砼</w:t>
            </w:r>
          </w:p>
        </w:tc>
        <w:tc>
          <w:tcPr>
            <w:tcW w:w="1333" w:type="dxa"/>
            <w:shd w:val="clear" w:color="auto" w:fill="auto"/>
            <w:vAlign w:val="center"/>
          </w:tcPr>
          <w:p w14:paraId="73CFD393">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C25</w:t>
            </w:r>
          </w:p>
        </w:tc>
        <w:tc>
          <w:tcPr>
            <w:tcW w:w="1470" w:type="dxa"/>
            <w:shd w:val="clear" w:color="auto" w:fill="auto"/>
            <w:vAlign w:val="center"/>
          </w:tcPr>
          <w:p w14:paraId="06F4AF6F">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1570</w:t>
            </w:r>
          </w:p>
        </w:tc>
        <w:tc>
          <w:tcPr>
            <w:tcW w:w="1771" w:type="dxa"/>
            <w:shd w:val="clear" w:color="auto" w:fill="auto"/>
            <w:vAlign w:val="center"/>
          </w:tcPr>
          <w:p w14:paraId="29528320">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m³</w:t>
            </w:r>
          </w:p>
        </w:tc>
      </w:tr>
      <w:tr w14:paraId="4048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7A8B601C">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275" w:type="dxa"/>
            <w:vMerge w:val="continue"/>
            <w:shd w:val="clear" w:color="auto" w:fill="auto"/>
            <w:vAlign w:val="center"/>
          </w:tcPr>
          <w:p w14:paraId="4FF302CA">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2013" w:type="dxa"/>
            <w:vMerge w:val="continue"/>
            <w:shd w:val="clear" w:color="auto" w:fill="auto"/>
            <w:vAlign w:val="center"/>
          </w:tcPr>
          <w:p w14:paraId="38BED986">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15" w:type="dxa"/>
            <w:shd w:val="clear" w:color="auto" w:fill="auto"/>
            <w:vAlign w:val="center"/>
          </w:tcPr>
          <w:p w14:paraId="0CABB0D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商砼</w:t>
            </w:r>
          </w:p>
        </w:tc>
        <w:tc>
          <w:tcPr>
            <w:tcW w:w="1333" w:type="dxa"/>
            <w:shd w:val="clear" w:color="auto" w:fill="auto"/>
            <w:vAlign w:val="center"/>
          </w:tcPr>
          <w:p w14:paraId="31ACD731">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C30</w:t>
            </w:r>
          </w:p>
        </w:tc>
        <w:tc>
          <w:tcPr>
            <w:tcW w:w="1470" w:type="dxa"/>
            <w:shd w:val="clear" w:color="auto" w:fill="auto"/>
            <w:vAlign w:val="center"/>
          </w:tcPr>
          <w:p w14:paraId="4EC84286">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35400</w:t>
            </w:r>
          </w:p>
        </w:tc>
        <w:tc>
          <w:tcPr>
            <w:tcW w:w="1771" w:type="dxa"/>
            <w:shd w:val="clear" w:color="auto" w:fill="auto"/>
            <w:vAlign w:val="center"/>
          </w:tcPr>
          <w:p w14:paraId="5F7EC0DB">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m³</w:t>
            </w:r>
          </w:p>
        </w:tc>
      </w:tr>
      <w:tr w14:paraId="2891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4CE7F666">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275" w:type="dxa"/>
            <w:vMerge w:val="continue"/>
            <w:shd w:val="clear" w:color="auto" w:fill="auto"/>
            <w:vAlign w:val="center"/>
          </w:tcPr>
          <w:p w14:paraId="79E48F94">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2013" w:type="dxa"/>
            <w:vMerge w:val="continue"/>
            <w:shd w:val="clear" w:color="auto" w:fill="auto"/>
            <w:vAlign w:val="center"/>
          </w:tcPr>
          <w:p w14:paraId="50650984">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15" w:type="dxa"/>
            <w:shd w:val="clear" w:color="auto" w:fill="auto"/>
            <w:vAlign w:val="center"/>
          </w:tcPr>
          <w:p w14:paraId="4F2AE465">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商砼</w:t>
            </w:r>
          </w:p>
        </w:tc>
        <w:tc>
          <w:tcPr>
            <w:tcW w:w="1333" w:type="dxa"/>
            <w:shd w:val="clear" w:color="auto" w:fill="auto"/>
            <w:vAlign w:val="center"/>
          </w:tcPr>
          <w:p w14:paraId="3B88CF8F">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C30P8</w:t>
            </w:r>
          </w:p>
        </w:tc>
        <w:tc>
          <w:tcPr>
            <w:tcW w:w="1470" w:type="dxa"/>
            <w:shd w:val="clear" w:color="auto" w:fill="auto"/>
            <w:vAlign w:val="center"/>
          </w:tcPr>
          <w:p w14:paraId="0A8F64C3">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5750</w:t>
            </w:r>
          </w:p>
        </w:tc>
        <w:tc>
          <w:tcPr>
            <w:tcW w:w="1771" w:type="dxa"/>
            <w:shd w:val="clear" w:color="auto" w:fill="auto"/>
            <w:vAlign w:val="center"/>
          </w:tcPr>
          <w:p w14:paraId="73A3F035">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m³</w:t>
            </w:r>
          </w:p>
        </w:tc>
      </w:tr>
      <w:tr w14:paraId="136F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55F51903">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275" w:type="dxa"/>
            <w:vMerge w:val="continue"/>
            <w:shd w:val="clear" w:color="auto" w:fill="auto"/>
            <w:vAlign w:val="center"/>
          </w:tcPr>
          <w:p w14:paraId="0601741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2013" w:type="dxa"/>
            <w:vMerge w:val="continue"/>
            <w:shd w:val="clear" w:color="auto" w:fill="auto"/>
            <w:vAlign w:val="center"/>
          </w:tcPr>
          <w:p w14:paraId="35013452">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15" w:type="dxa"/>
            <w:shd w:val="clear" w:color="auto" w:fill="auto"/>
            <w:vAlign w:val="center"/>
          </w:tcPr>
          <w:p w14:paraId="3252FD81">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商砼</w:t>
            </w:r>
          </w:p>
        </w:tc>
        <w:tc>
          <w:tcPr>
            <w:tcW w:w="1333" w:type="dxa"/>
            <w:shd w:val="clear" w:color="auto" w:fill="auto"/>
            <w:vAlign w:val="center"/>
          </w:tcPr>
          <w:p w14:paraId="23BA378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C30细石</w:t>
            </w:r>
          </w:p>
        </w:tc>
        <w:tc>
          <w:tcPr>
            <w:tcW w:w="1470" w:type="dxa"/>
            <w:shd w:val="clear" w:color="auto" w:fill="auto"/>
            <w:vAlign w:val="center"/>
          </w:tcPr>
          <w:p w14:paraId="78FB9BA0">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1184</w:t>
            </w:r>
          </w:p>
        </w:tc>
        <w:tc>
          <w:tcPr>
            <w:tcW w:w="1771" w:type="dxa"/>
            <w:shd w:val="clear" w:color="auto" w:fill="auto"/>
            <w:vAlign w:val="center"/>
          </w:tcPr>
          <w:p w14:paraId="0C819AD1">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bidi="ar"/>
              </w:rPr>
              <w:t>m³</w:t>
            </w:r>
          </w:p>
        </w:tc>
      </w:tr>
      <w:tr w14:paraId="3C95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626AFDCF">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275" w:type="dxa"/>
            <w:vMerge w:val="continue"/>
            <w:shd w:val="clear" w:color="auto" w:fill="auto"/>
            <w:vAlign w:val="center"/>
          </w:tcPr>
          <w:p w14:paraId="712F252C">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2013" w:type="dxa"/>
            <w:vMerge w:val="continue"/>
            <w:shd w:val="clear" w:color="auto" w:fill="auto"/>
            <w:vAlign w:val="center"/>
          </w:tcPr>
          <w:p w14:paraId="4D5C4A26">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15" w:type="dxa"/>
            <w:shd w:val="clear" w:color="auto" w:fill="auto"/>
            <w:vAlign w:val="center"/>
          </w:tcPr>
          <w:p w14:paraId="1078DD94">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商砼</w:t>
            </w:r>
          </w:p>
        </w:tc>
        <w:tc>
          <w:tcPr>
            <w:tcW w:w="1333" w:type="dxa"/>
            <w:shd w:val="clear" w:color="auto" w:fill="auto"/>
            <w:vAlign w:val="center"/>
          </w:tcPr>
          <w:p w14:paraId="62BD552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C35</w:t>
            </w:r>
          </w:p>
        </w:tc>
        <w:tc>
          <w:tcPr>
            <w:tcW w:w="1470" w:type="dxa"/>
            <w:shd w:val="clear" w:color="auto" w:fill="auto"/>
            <w:vAlign w:val="center"/>
          </w:tcPr>
          <w:p w14:paraId="2CFF3948">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846</w:t>
            </w:r>
          </w:p>
        </w:tc>
        <w:tc>
          <w:tcPr>
            <w:tcW w:w="1771" w:type="dxa"/>
            <w:shd w:val="clear" w:color="auto" w:fill="auto"/>
            <w:vAlign w:val="center"/>
          </w:tcPr>
          <w:p w14:paraId="1ADD6BA0">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bidi="ar"/>
              </w:rPr>
              <w:t>m³</w:t>
            </w:r>
          </w:p>
        </w:tc>
      </w:tr>
      <w:tr w14:paraId="4713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4831B001">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275" w:type="dxa"/>
            <w:vMerge w:val="continue"/>
            <w:shd w:val="clear" w:color="auto" w:fill="auto"/>
            <w:vAlign w:val="center"/>
          </w:tcPr>
          <w:p w14:paraId="0A4216F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2013" w:type="dxa"/>
            <w:vMerge w:val="continue"/>
            <w:shd w:val="clear" w:color="auto" w:fill="auto"/>
            <w:vAlign w:val="center"/>
          </w:tcPr>
          <w:p w14:paraId="0927777A">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15" w:type="dxa"/>
            <w:shd w:val="clear" w:color="auto" w:fill="auto"/>
            <w:vAlign w:val="center"/>
          </w:tcPr>
          <w:p w14:paraId="7CED3501">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商砼</w:t>
            </w:r>
          </w:p>
        </w:tc>
        <w:tc>
          <w:tcPr>
            <w:tcW w:w="1333" w:type="dxa"/>
            <w:shd w:val="clear" w:color="auto" w:fill="auto"/>
            <w:vAlign w:val="center"/>
          </w:tcPr>
          <w:p w14:paraId="160AD7CA">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C40微膨胀细石</w:t>
            </w:r>
          </w:p>
        </w:tc>
        <w:tc>
          <w:tcPr>
            <w:tcW w:w="1470" w:type="dxa"/>
            <w:shd w:val="clear" w:color="auto" w:fill="auto"/>
            <w:vAlign w:val="center"/>
          </w:tcPr>
          <w:p w14:paraId="2C4A3E15">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368</w:t>
            </w:r>
          </w:p>
        </w:tc>
        <w:tc>
          <w:tcPr>
            <w:tcW w:w="1771" w:type="dxa"/>
            <w:shd w:val="clear" w:color="auto" w:fill="auto"/>
            <w:vAlign w:val="center"/>
          </w:tcPr>
          <w:p w14:paraId="1F99D25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bidi="ar"/>
              </w:rPr>
              <w:t>m³</w:t>
            </w:r>
          </w:p>
        </w:tc>
      </w:tr>
      <w:tr w14:paraId="4663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3E60B85A">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275" w:type="dxa"/>
            <w:vMerge w:val="continue"/>
            <w:shd w:val="clear" w:color="auto" w:fill="auto"/>
            <w:vAlign w:val="center"/>
          </w:tcPr>
          <w:p w14:paraId="4F0028A5">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2013" w:type="dxa"/>
            <w:vMerge w:val="continue"/>
            <w:shd w:val="clear" w:color="auto" w:fill="auto"/>
            <w:vAlign w:val="center"/>
          </w:tcPr>
          <w:p w14:paraId="09CFA9D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15" w:type="dxa"/>
            <w:shd w:val="clear" w:color="auto" w:fill="auto"/>
            <w:vAlign w:val="center"/>
          </w:tcPr>
          <w:p w14:paraId="2D844B5C">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商砼</w:t>
            </w:r>
          </w:p>
        </w:tc>
        <w:tc>
          <w:tcPr>
            <w:tcW w:w="1333" w:type="dxa"/>
            <w:shd w:val="clear" w:color="auto" w:fill="auto"/>
            <w:vAlign w:val="center"/>
          </w:tcPr>
          <w:p w14:paraId="7C9B460E">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C50</w:t>
            </w:r>
          </w:p>
        </w:tc>
        <w:tc>
          <w:tcPr>
            <w:tcW w:w="1470" w:type="dxa"/>
            <w:shd w:val="clear" w:color="auto" w:fill="auto"/>
            <w:vAlign w:val="center"/>
          </w:tcPr>
          <w:p w14:paraId="193A9C2A">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2200</w:t>
            </w:r>
          </w:p>
        </w:tc>
        <w:tc>
          <w:tcPr>
            <w:tcW w:w="1771" w:type="dxa"/>
            <w:shd w:val="clear" w:color="auto" w:fill="auto"/>
            <w:vAlign w:val="center"/>
          </w:tcPr>
          <w:p w14:paraId="74095416">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bidi="ar"/>
              </w:rPr>
              <w:t>m³</w:t>
            </w:r>
          </w:p>
        </w:tc>
      </w:tr>
      <w:tr w14:paraId="5153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6C8CEB6C">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275" w:type="dxa"/>
            <w:vMerge w:val="continue"/>
            <w:shd w:val="clear" w:color="auto" w:fill="auto"/>
            <w:vAlign w:val="center"/>
          </w:tcPr>
          <w:p w14:paraId="58E7B50F">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2013" w:type="dxa"/>
            <w:vMerge w:val="continue"/>
            <w:shd w:val="clear" w:color="auto" w:fill="auto"/>
            <w:vAlign w:val="center"/>
          </w:tcPr>
          <w:p w14:paraId="5F8FBCB6">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15" w:type="dxa"/>
            <w:shd w:val="clear" w:color="auto" w:fill="auto"/>
            <w:vAlign w:val="center"/>
          </w:tcPr>
          <w:p w14:paraId="71286924">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37米天泵至52 米天泵</w:t>
            </w:r>
          </w:p>
        </w:tc>
        <w:tc>
          <w:tcPr>
            <w:tcW w:w="1333" w:type="dxa"/>
            <w:shd w:val="clear" w:color="auto" w:fill="auto"/>
            <w:vAlign w:val="center"/>
          </w:tcPr>
          <w:p w14:paraId="1A62A79F">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不超过80方</w:t>
            </w:r>
          </w:p>
        </w:tc>
        <w:tc>
          <w:tcPr>
            <w:tcW w:w="1470" w:type="dxa"/>
            <w:shd w:val="clear" w:color="auto" w:fill="auto"/>
            <w:vAlign w:val="center"/>
          </w:tcPr>
          <w:p w14:paraId="69D1E517">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30</w:t>
            </w:r>
          </w:p>
        </w:tc>
        <w:tc>
          <w:tcPr>
            <w:tcW w:w="1771" w:type="dxa"/>
            <w:shd w:val="clear" w:color="auto" w:fill="auto"/>
            <w:vAlign w:val="center"/>
          </w:tcPr>
          <w:p w14:paraId="1670B47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天</w:t>
            </w:r>
          </w:p>
        </w:tc>
      </w:tr>
      <w:tr w14:paraId="5787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4005CC63">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275" w:type="dxa"/>
            <w:vMerge w:val="continue"/>
            <w:shd w:val="clear" w:color="auto" w:fill="auto"/>
            <w:vAlign w:val="center"/>
          </w:tcPr>
          <w:p w14:paraId="2DD695BF">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2013" w:type="dxa"/>
            <w:vMerge w:val="continue"/>
            <w:shd w:val="clear" w:color="auto" w:fill="auto"/>
            <w:vAlign w:val="center"/>
          </w:tcPr>
          <w:p w14:paraId="10D7EDAB">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15" w:type="dxa"/>
            <w:shd w:val="clear" w:color="auto" w:fill="auto"/>
            <w:vAlign w:val="center"/>
          </w:tcPr>
          <w:p w14:paraId="03E66662">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37米天泵至52 米天泵</w:t>
            </w:r>
          </w:p>
        </w:tc>
        <w:tc>
          <w:tcPr>
            <w:tcW w:w="1333" w:type="dxa"/>
            <w:shd w:val="clear" w:color="auto" w:fill="auto"/>
            <w:vAlign w:val="center"/>
          </w:tcPr>
          <w:p w14:paraId="0E85BA6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超过80方</w:t>
            </w:r>
          </w:p>
        </w:tc>
        <w:tc>
          <w:tcPr>
            <w:tcW w:w="1470" w:type="dxa"/>
            <w:shd w:val="clear" w:color="auto" w:fill="auto"/>
            <w:vAlign w:val="center"/>
          </w:tcPr>
          <w:p w14:paraId="7CD0E0F3">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22000</w:t>
            </w:r>
          </w:p>
        </w:tc>
        <w:tc>
          <w:tcPr>
            <w:tcW w:w="1771" w:type="dxa"/>
            <w:shd w:val="clear" w:color="auto" w:fill="auto"/>
            <w:vAlign w:val="center"/>
          </w:tcPr>
          <w:p w14:paraId="344F32E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 </w:t>
            </w:r>
            <w:r>
              <w:rPr>
                <w:rFonts w:hint="eastAsia" w:ascii="仿宋_GB2312" w:hAnsi="仿宋_GB2312" w:eastAsia="仿宋_GB2312" w:cs="仿宋_GB2312"/>
                <w:color w:val="000000"/>
                <w:kern w:val="0"/>
                <w:sz w:val="22"/>
                <w:szCs w:val="22"/>
                <w:lang w:bidi="ar"/>
              </w:rPr>
              <w:t>m³</w:t>
            </w:r>
          </w:p>
        </w:tc>
      </w:tr>
      <w:tr w14:paraId="3E6B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3F35B3A1">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275" w:type="dxa"/>
            <w:vMerge w:val="continue"/>
            <w:shd w:val="clear" w:color="auto" w:fill="auto"/>
            <w:vAlign w:val="center"/>
          </w:tcPr>
          <w:p w14:paraId="26126650">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2013" w:type="dxa"/>
            <w:vMerge w:val="continue"/>
            <w:shd w:val="clear" w:color="auto" w:fill="auto"/>
            <w:vAlign w:val="center"/>
          </w:tcPr>
          <w:p w14:paraId="46D1CA7F">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15" w:type="dxa"/>
            <w:shd w:val="clear" w:color="auto" w:fill="auto"/>
            <w:vAlign w:val="center"/>
          </w:tcPr>
          <w:p w14:paraId="658A7675">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53 米以上天泵</w:t>
            </w:r>
          </w:p>
        </w:tc>
        <w:tc>
          <w:tcPr>
            <w:tcW w:w="1333" w:type="dxa"/>
            <w:shd w:val="clear" w:color="auto" w:fill="auto"/>
            <w:vAlign w:val="center"/>
          </w:tcPr>
          <w:p w14:paraId="5294D5DB">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不超过80方</w:t>
            </w:r>
          </w:p>
        </w:tc>
        <w:tc>
          <w:tcPr>
            <w:tcW w:w="1470" w:type="dxa"/>
            <w:shd w:val="clear" w:color="auto" w:fill="auto"/>
            <w:vAlign w:val="center"/>
          </w:tcPr>
          <w:p w14:paraId="0A27A4F2">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50</w:t>
            </w:r>
          </w:p>
        </w:tc>
        <w:tc>
          <w:tcPr>
            <w:tcW w:w="1771" w:type="dxa"/>
            <w:shd w:val="clear" w:color="auto" w:fill="auto"/>
            <w:vAlign w:val="center"/>
          </w:tcPr>
          <w:p w14:paraId="37D11F54">
            <w:pPr>
              <w:widowControl/>
              <w:snapToGrid w:val="0"/>
              <w:spacing w:line="240" w:lineRule="auto"/>
              <w:ind w:firstLine="0" w:firstLineChars="0"/>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天</w:t>
            </w:r>
          </w:p>
        </w:tc>
      </w:tr>
      <w:tr w14:paraId="06AF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01280C1E">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275" w:type="dxa"/>
            <w:vMerge w:val="continue"/>
            <w:shd w:val="clear" w:color="auto" w:fill="auto"/>
            <w:vAlign w:val="center"/>
          </w:tcPr>
          <w:p w14:paraId="400E10EF">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2013" w:type="dxa"/>
            <w:vMerge w:val="continue"/>
            <w:shd w:val="clear" w:color="auto" w:fill="auto"/>
            <w:vAlign w:val="center"/>
          </w:tcPr>
          <w:p w14:paraId="646507C9">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15" w:type="dxa"/>
            <w:shd w:val="clear" w:color="auto" w:fill="auto"/>
            <w:vAlign w:val="center"/>
          </w:tcPr>
          <w:p w14:paraId="287E168A">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53 米以上天泵</w:t>
            </w:r>
          </w:p>
        </w:tc>
        <w:tc>
          <w:tcPr>
            <w:tcW w:w="1333" w:type="dxa"/>
            <w:shd w:val="clear" w:color="auto" w:fill="auto"/>
            <w:vAlign w:val="center"/>
          </w:tcPr>
          <w:p w14:paraId="540D30C3">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超过80方</w:t>
            </w:r>
          </w:p>
        </w:tc>
        <w:tc>
          <w:tcPr>
            <w:tcW w:w="1470" w:type="dxa"/>
            <w:shd w:val="clear" w:color="auto" w:fill="auto"/>
            <w:vAlign w:val="center"/>
          </w:tcPr>
          <w:p w14:paraId="44FF0037">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700</w:t>
            </w:r>
          </w:p>
        </w:tc>
        <w:tc>
          <w:tcPr>
            <w:tcW w:w="1771" w:type="dxa"/>
            <w:shd w:val="clear" w:color="auto" w:fill="auto"/>
            <w:vAlign w:val="center"/>
          </w:tcPr>
          <w:p w14:paraId="28E8E0FA">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bidi="ar"/>
              </w:rPr>
              <w:t>m³</w:t>
            </w:r>
          </w:p>
        </w:tc>
      </w:tr>
      <w:tr w14:paraId="5C3B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068BD544">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275" w:type="dxa"/>
            <w:vMerge w:val="continue"/>
            <w:shd w:val="clear" w:color="auto" w:fill="auto"/>
            <w:vAlign w:val="center"/>
          </w:tcPr>
          <w:p w14:paraId="5867C6DB">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2013" w:type="dxa"/>
            <w:vMerge w:val="continue"/>
            <w:shd w:val="clear" w:color="auto" w:fill="auto"/>
            <w:vAlign w:val="center"/>
          </w:tcPr>
          <w:p w14:paraId="6E31AD7B">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15" w:type="dxa"/>
            <w:shd w:val="clear" w:color="auto" w:fill="auto"/>
            <w:vAlign w:val="center"/>
          </w:tcPr>
          <w:p w14:paraId="35089C4A">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抗裂</w:t>
            </w:r>
          </w:p>
        </w:tc>
        <w:tc>
          <w:tcPr>
            <w:tcW w:w="1333" w:type="dxa"/>
            <w:shd w:val="clear" w:color="auto" w:fill="auto"/>
            <w:vAlign w:val="center"/>
          </w:tcPr>
          <w:p w14:paraId="08501D66">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在对应标号混凝土价格基础上价加价</w:t>
            </w:r>
          </w:p>
        </w:tc>
        <w:tc>
          <w:tcPr>
            <w:tcW w:w="1470" w:type="dxa"/>
            <w:shd w:val="clear" w:color="auto" w:fill="auto"/>
            <w:vAlign w:val="center"/>
          </w:tcPr>
          <w:p w14:paraId="0895144F">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10</w:t>
            </w:r>
          </w:p>
        </w:tc>
        <w:tc>
          <w:tcPr>
            <w:tcW w:w="1771" w:type="dxa"/>
            <w:shd w:val="clear" w:color="auto" w:fill="auto"/>
            <w:vAlign w:val="center"/>
          </w:tcPr>
          <w:p w14:paraId="1BBEDA66">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bidi="ar"/>
              </w:rPr>
              <w:t>m³</w:t>
            </w:r>
          </w:p>
        </w:tc>
      </w:tr>
      <w:tr w14:paraId="43D0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4071B05B">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275" w:type="dxa"/>
            <w:vMerge w:val="continue"/>
            <w:shd w:val="clear" w:color="auto" w:fill="auto"/>
            <w:vAlign w:val="center"/>
          </w:tcPr>
          <w:p w14:paraId="48B43966">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2013" w:type="dxa"/>
            <w:vMerge w:val="continue"/>
            <w:shd w:val="clear" w:color="auto" w:fill="auto"/>
            <w:vAlign w:val="center"/>
          </w:tcPr>
          <w:p w14:paraId="0C8376D5">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15" w:type="dxa"/>
            <w:shd w:val="clear" w:color="auto" w:fill="auto"/>
            <w:vAlign w:val="center"/>
          </w:tcPr>
          <w:p w14:paraId="7009B298">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水下砼</w:t>
            </w:r>
          </w:p>
        </w:tc>
        <w:tc>
          <w:tcPr>
            <w:tcW w:w="1333" w:type="dxa"/>
            <w:shd w:val="clear" w:color="auto" w:fill="auto"/>
            <w:vAlign w:val="center"/>
          </w:tcPr>
          <w:p w14:paraId="169C017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在对应标号混凝土价格基础上价加价</w:t>
            </w:r>
          </w:p>
        </w:tc>
        <w:tc>
          <w:tcPr>
            <w:tcW w:w="1470" w:type="dxa"/>
            <w:shd w:val="clear" w:color="auto" w:fill="auto"/>
            <w:vAlign w:val="center"/>
          </w:tcPr>
          <w:p w14:paraId="2E80F670">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1500</w:t>
            </w:r>
          </w:p>
        </w:tc>
        <w:tc>
          <w:tcPr>
            <w:tcW w:w="1771" w:type="dxa"/>
            <w:shd w:val="clear" w:color="auto" w:fill="auto"/>
            <w:vAlign w:val="center"/>
          </w:tcPr>
          <w:p w14:paraId="2557F96A">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bidi="ar"/>
              </w:rPr>
              <w:t>m³</w:t>
            </w:r>
          </w:p>
        </w:tc>
      </w:tr>
      <w:tr w14:paraId="77F2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0F681E7B">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275" w:type="dxa"/>
            <w:vMerge w:val="continue"/>
            <w:shd w:val="clear" w:color="auto" w:fill="auto"/>
            <w:vAlign w:val="center"/>
          </w:tcPr>
          <w:p w14:paraId="342C1662">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2013" w:type="dxa"/>
            <w:vMerge w:val="continue"/>
            <w:shd w:val="clear" w:color="auto" w:fill="auto"/>
            <w:vAlign w:val="center"/>
          </w:tcPr>
          <w:p w14:paraId="5A986C0B">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15" w:type="dxa"/>
            <w:shd w:val="clear" w:color="auto" w:fill="auto"/>
            <w:vAlign w:val="center"/>
          </w:tcPr>
          <w:p w14:paraId="6574232B">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补方费</w:t>
            </w:r>
          </w:p>
        </w:tc>
        <w:tc>
          <w:tcPr>
            <w:tcW w:w="1333" w:type="dxa"/>
            <w:shd w:val="clear" w:color="auto" w:fill="auto"/>
            <w:vAlign w:val="center"/>
          </w:tcPr>
          <w:p w14:paraId="7ABD9E98">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二次补方不足6方按6方算</w:t>
            </w:r>
          </w:p>
        </w:tc>
        <w:tc>
          <w:tcPr>
            <w:tcW w:w="1470" w:type="dxa"/>
            <w:shd w:val="clear" w:color="auto" w:fill="auto"/>
            <w:vAlign w:val="center"/>
          </w:tcPr>
          <w:p w14:paraId="4B38AEF4">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100</w:t>
            </w:r>
          </w:p>
        </w:tc>
        <w:tc>
          <w:tcPr>
            <w:tcW w:w="1771" w:type="dxa"/>
            <w:shd w:val="clear" w:color="auto" w:fill="auto"/>
            <w:vAlign w:val="center"/>
          </w:tcPr>
          <w:p w14:paraId="4869A0C8">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bidi="ar"/>
              </w:rPr>
              <w:t>m³</w:t>
            </w:r>
          </w:p>
        </w:tc>
      </w:tr>
      <w:tr w14:paraId="16EE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61B848C6">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275" w:type="dxa"/>
            <w:vMerge w:val="continue"/>
            <w:shd w:val="clear" w:color="auto" w:fill="auto"/>
            <w:vAlign w:val="center"/>
          </w:tcPr>
          <w:p w14:paraId="6E10EC14">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2013" w:type="dxa"/>
            <w:vMerge w:val="continue"/>
            <w:shd w:val="clear" w:color="auto" w:fill="auto"/>
            <w:vAlign w:val="center"/>
          </w:tcPr>
          <w:p w14:paraId="60BDFD9C">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15" w:type="dxa"/>
            <w:shd w:val="clear" w:color="auto" w:fill="auto"/>
            <w:vAlign w:val="center"/>
          </w:tcPr>
          <w:p w14:paraId="1A5E8188">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水车费</w:t>
            </w:r>
          </w:p>
        </w:tc>
        <w:tc>
          <w:tcPr>
            <w:tcW w:w="1333" w:type="dxa"/>
            <w:shd w:val="clear" w:color="auto" w:fill="auto"/>
            <w:vAlign w:val="center"/>
          </w:tcPr>
          <w:p w14:paraId="51C19527">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w:t>
            </w:r>
          </w:p>
        </w:tc>
        <w:tc>
          <w:tcPr>
            <w:tcW w:w="1470" w:type="dxa"/>
            <w:shd w:val="clear" w:color="auto" w:fill="auto"/>
            <w:vAlign w:val="center"/>
          </w:tcPr>
          <w:p w14:paraId="5FA41B2F">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100</w:t>
            </w:r>
          </w:p>
        </w:tc>
        <w:tc>
          <w:tcPr>
            <w:tcW w:w="1771" w:type="dxa"/>
            <w:shd w:val="clear" w:color="auto" w:fill="auto"/>
            <w:vAlign w:val="center"/>
          </w:tcPr>
          <w:p w14:paraId="0C4BBE17">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车</w:t>
            </w:r>
          </w:p>
        </w:tc>
      </w:tr>
      <w:tr w14:paraId="3671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4A6EDE2C">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275" w:type="dxa"/>
            <w:vMerge w:val="continue"/>
            <w:shd w:val="clear" w:color="auto" w:fill="auto"/>
            <w:vAlign w:val="center"/>
          </w:tcPr>
          <w:p w14:paraId="7F1C331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2013" w:type="dxa"/>
            <w:vMerge w:val="continue"/>
            <w:shd w:val="clear" w:color="auto" w:fill="auto"/>
            <w:vAlign w:val="center"/>
          </w:tcPr>
          <w:p w14:paraId="250F0F8F">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15" w:type="dxa"/>
            <w:shd w:val="clear" w:color="auto" w:fill="auto"/>
            <w:vAlign w:val="center"/>
          </w:tcPr>
          <w:p w14:paraId="6B114B8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超运距费用</w:t>
            </w:r>
          </w:p>
        </w:tc>
        <w:tc>
          <w:tcPr>
            <w:tcW w:w="1333" w:type="dxa"/>
            <w:shd w:val="clear" w:color="auto" w:fill="auto"/>
            <w:vAlign w:val="center"/>
          </w:tcPr>
          <w:p w14:paraId="43F2B34E">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超出20公里每增加1公里</w:t>
            </w:r>
          </w:p>
        </w:tc>
        <w:tc>
          <w:tcPr>
            <w:tcW w:w="1470" w:type="dxa"/>
            <w:shd w:val="clear" w:color="auto" w:fill="auto"/>
            <w:vAlign w:val="center"/>
          </w:tcPr>
          <w:p w14:paraId="77C6AC9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10000</w:t>
            </w:r>
          </w:p>
        </w:tc>
        <w:tc>
          <w:tcPr>
            <w:tcW w:w="1771" w:type="dxa"/>
            <w:shd w:val="clear" w:color="auto" w:fill="auto"/>
            <w:vAlign w:val="center"/>
          </w:tcPr>
          <w:p w14:paraId="06AEB797">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bidi="ar"/>
              </w:rPr>
              <w:t>m³</w:t>
            </w:r>
          </w:p>
        </w:tc>
      </w:tr>
    </w:tbl>
    <w:p w14:paraId="09D91A38">
      <w:pPr>
        <w:pStyle w:val="18"/>
        <w:spacing w:beforeAutospacing="0" w:afterAutospacing="0"/>
        <w:ind w:firstLine="560"/>
        <w:jc w:val="both"/>
        <w:rPr>
          <w:kern w:val="2"/>
          <w:sz w:val="28"/>
        </w:rPr>
      </w:pPr>
      <w:r>
        <w:rPr>
          <w:rFonts w:hint="eastAsia"/>
          <w:kern w:val="2"/>
          <w:sz w:val="28"/>
        </w:rPr>
        <w:t>上述数量为暂定数量，采购人不承诺采购量。采购人可根据本项目的实际施工用量及供应商对本项目物资供应的实际情况（产品质量及其相关售后服务等）对物资供应数量作相应调整。因本项目施工需求变化等因素可能导致实际供货数量与采购计划不符的，以实际供货数量为准。若采购人采购数量与本合同暂定数量不符，供应商不得以任何理由就此主张采购人的违约责任，不得直</w:t>
      </w:r>
      <w:r>
        <w:rPr>
          <w:kern w:val="2"/>
          <w:sz w:val="28"/>
        </w:rPr>
        <w:t>接</w:t>
      </w:r>
      <w:r>
        <w:rPr>
          <w:rFonts w:hint="eastAsia"/>
          <w:kern w:val="2"/>
          <w:sz w:val="28"/>
        </w:rPr>
        <w:t>或</w:t>
      </w:r>
      <w:r>
        <w:rPr>
          <w:kern w:val="2"/>
          <w:sz w:val="28"/>
        </w:rPr>
        <w:t>间接</w:t>
      </w:r>
      <w:r>
        <w:rPr>
          <w:rFonts w:hint="eastAsia"/>
          <w:kern w:val="2"/>
          <w:sz w:val="28"/>
        </w:rPr>
        <w:t>向采购人索赔，申请人不以采购文件的合同预估数量作为预期可得利益。</w:t>
      </w:r>
    </w:p>
    <w:p w14:paraId="68CF955B">
      <w:pPr>
        <w:pStyle w:val="18"/>
        <w:spacing w:beforeAutospacing="0" w:afterAutospacing="0"/>
        <w:ind w:firstLine="560"/>
        <w:jc w:val="both"/>
        <w:rPr>
          <w:kern w:val="2"/>
          <w:sz w:val="28"/>
        </w:rPr>
      </w:pPr>
      <w:r>
        <w:rPr>
          <w:rFonts w:hint="eastAsia"/>
          <w:kern w:val="2"/>
          <w:sz w:val="28"/>
        </w:rPr>
        <w:t>（三）</w:t>
      </w:r>
      <w:r>
        <w:rPr>
          <w:kern w:val="2"/>
          <w:sz w:val="28"/>
        </w:rPr>
        <w:t>报价须知</w:t>
      </w:r>
    </w:p>
    <w:p w14:paraId="525C0740">
      <w:pPr>
        <w:pStyle w:val="18"/>
        <w:spacing w:beforeAutospacing="0" w:afterAutospacing="0"/>
        <w:ind w:firstLine="560"/>
        <w:jc w:val="both"/>
        <w:rPr>
          <w:rFonts w:hint="eastAsia"/>
          <w:kern w:val="2"/>
          <w:sz w:val="28"/>
        </w:rPr>
      </w:pPr>
      <w:r>
        <w:rPr>
          <w:rFonts w:hint="eastAsia"/>
          <w:kern w:val="2"/>
          <w:sz w:val="28"/>
          <w:lang w:val="en-US" w:eastAsia="zh-CN"/>
        </w:rPr>
        <w:t>1</w:t>
      </w:r>
      <w:r>
        <w:rPr>
          <w:rFonts w:hint="eastAsia"/>
          <w:kern w:val="2"/>
          <w:sz w:val="28"/>
        </w:rPr>
        <w:t>.混凝土</w:t>
      </w:r>
    </w:p>
    <w:p w14:paraId="6EB9787B">
      <w:pPr>
        <w:pStyle w:val="18"/>
        <w:spacing w:beforeAutospacing="0" w:afterAutospacing="0"/>
        <w:ind w:firstLine="560"/>
        <w:jc w:val="both"/>
        <w:rPr>
          <w:rFonts w:hint="eastAsia" w:ascii="仿宋_GB2312" w:hAnsi="仿宋_GB2312" w:eastAsia="仿宋_GB2312" w:cs="仿宋_GB2312"/>
          <w:kern w:val="2"/>
          <w:sz w:val="28"/>
          <w:lang w:eastAsia="zh-CN"/>
        </w:rPr>
      </w:pPr>
      <w:r>
        <w:rPr>
          <w:rFonts w:hint="eastAsia" w:ascii="仿宋_GB2312" w:hAnsi="仿宋_GB2312" w:cs="仿宋_GB2312"/>
          <w:kern w:val="2"/>
          <w:sz w:val="28"/>
        </w:rPr>
        <w:t>（1）定价机制：以招标人确定的最低合理中标单价为依据，混凝土</w:t>
      </w:r>
      <w:r>
        <w:rPr>
          <w:rFonts w:hint="eastAsia" w:ascii="仿宋_GB2312" w:hAnsi="仿宋_GB2312" w:cs="仿宋_GB2312"/>
          <w:kern w:val="2"/>
          <w:sz w:val="28"/>
          <w:lang w:val="en-US" w:eastAsia="zh-CN"/>
        </w:rPr>
        <w:t>执行价格</w:t>
      </w:r>
      <w:r>
        <w:rPr>
          <w:rFonts w:hint="eastAsia" w:ascii="仿宋_GB2312" w:hAnsi="仿宋_GB2312" w:cs="仿宋_GB2312"/>
          <w:kern w:val="2"/>
          <w:sz w:val="28"/>
        </w:rPr>
        <w:t>不随地材（碎石、砂）价格涨跌调整，只随水泥价格变动而调整，具体调整方法如下</w:t>
      </w:r>
      <w:r>
        <w:rPr>
          <w:rFonts w:hint="eastAsia" w:ascii="仿宋_GB2312" w:hAnsi="仿宋_GB2312" w:cs="仿宋_GB2312"/>
          <w:kern w:val="2"/>
          <w:sz w:val="28"/>
          <w:lang w:eastAsia="zh-CN"/>
        </w:rPr>
        <w:t>：</w:t>
      </w:r>
    </w:p>
    <w:p w14:paraId="7592C042">
      <w:pPr>
        <w:pStyle w:val="18"/>
        <w:spacing w:beforeAutospacing="0" w:afterAutospacing="0"/>
        <w:ind w:firstLine="560"/>
        <w:jc w:val="both"/>
        <w:rPr>
          <w:rFonts w:hint="eastAsia" w:ascii="仿宋_GB2312" w:hAnsi="仿宋_GB2312" w:cs="仿宋_GB2312"/>
          <w:kern w:val="2"/>
          <w:sz w:val="28"/>
        </w:rPr>
      </w:pPr>
      <w:r>
        <w:rPr>
          <w:rFonts w:hint="eastAsia" w:ascii="仿宋_GB2312" w:hAnsi="仿宋_GB2312" w:cs="仿宋_GB2312"/>
          <w:kern w:val="2"/>
          <w:sz w:val="28"/>
        </w:rPr>
        <w:t>水泥基础价格参考“中国水泥网”（网址：https://www.ccement.com）四川省绵阳区域（四川国大水泥有限公司、四川省女娲建材有限公司、江油红狮水泥有限公司）2025年9月散装水泥“P.0 42.5R 参考价”均价：403元/吨（含税价）。水泥价格涨跌在50元/吨范围时，混凝土、砂浆价格不做调整；超过50元/吨时，混凝土、砂浆超出部分价格均按照实际情况调整。四川省广元区域（广元市高力水泥实业有限公司）2025年9月散装水泥“P.0 42.5R 参考价”均价：378元/吨（含税价）。水泥价格涨跌在50元/吨范围时，混凝土、砂浆价格不做调整；超过50元/吨时，混凝土、砂浆超出部分价格均按照实际情况调整。</w:t>
      </w:r>
    </w:p>
    <w:p w14:paraId="23D1F6C4">
      <w:pPr>
        <w:pStyle w:val="18"/>
        <w:spacing w:beforeAutospacing="0" w:afterAutospacing="0"/>
        <w:ind w:firstLine="560"/>
        <w:jc w:val="both"/>
        <w:rPr>
          <w:rFonts w:hint="eastAsia" w:ascii="仿宋_GB2312" w:hAnsi="仿宋_GB2312" w:cs="仿宋_GB2312"/>
          <w:kern w:val="2"/>
          <w:sz w:val="28"/>
        </w:rPr>
      </w:pPr>
      <w:r>
        <w:rPr>
          <w:rFonts w:hint="eastAsia" w:ascii="仿宋_GB2312" w:hAnsi="仿宋_GB2312" w:cs="仿宋_GB2312"/>
          <w:kern w:val="2"/>
          <w:sz w:val="28"/>
        </w:rPr>
        <w:t>合同期内每日的商品混凝土C30 的不含增值税到场单价=商品混凝土C30的不含增值税到场中标价+（当日“中国水泥网 ”（网址：https://www.ccement.com）公布的四川绵阳区域，四川国大水泥有限公司、四川省女娲建材有限公司、江油红狮水泥有限公司的 P.0 42.5R 散装水泥平均价格403元/吨）/1000/1.13*生产配合比中 P.042.5R 水泥用量（水泥含税单价涨跌在50 元/吨范围时不调价），其他强度等级的商砼以此类推。</w:t>
      </w:r>
    </w:p>
    <w:p w14:paraId="42799750">
      <w:pPr>
        <w:pStyle w:val="18"/>
        <w:spacing w:beforeAutospacing="0" w:afterAutospacing="0"/>
        <w:ind w:firstLine="560"/>
        <w:jc w:val="both"/>
        <w:rPr>
          <w:rFonts w:hint="eastAsia" w:ascii="仿宋_GB2312" w:hAnsi="仿宋_GB2312" w:cs="仿宋_GB2312"/>
          <w:kern w:val="2"/>
          <w:sz w:val="28"/>
        </w:rPr>
      </w:pPr>
      <w:r>
        <w:rPr>
          <w:rFonts w:hint="eastAsia" w:ascii="仿宋_GB2312" w:hAnsi="仿宋_GB2312" w:cs="仿宋_GB2312"/>
          <w:kern w:val="2"/>
          <w:sz w:val="28"/>
        </w:rPr>
        <w:t>若当日“中国水泥网”（网址：https://www.ccement.com）公布的四川绵阳区域/四川广元区域，四川国大水泥有限公司、四川省女娲建材有限公司、江油红狮水泥有限公司、广元市高力水泥实业有限公司的 P.0 42.5R 散装水泥价无挂牌价，则以前一日最近的挂牌价作为基础价；若当日挂牌指导价有多个报价的，则以当日最后一次挂牌价作为基础价。其中生产配合比以甲方签字确认的开盘报告数据为准。</w:t>
      </w:r>
    </w:p>
    <w:p w14:paraId="141A11F2">
      <w:pPr>
        <w:pStyle w:val="18"/>
        <w:spacing w:beforeAutospacing="0" w:afterAutospacing="0"/>
        <w:ind w:firstLine="560"/>
        <w:jc w:val="both"/>
        <w:rPr>
          <w:rFonts w:hint="eastAsia" w:eastAsia="仿宋_GB2312"/>
          <w:kern w:val="2"/>
          <w:sz w:val="28"/>
          <w:lang w:eastAsia="zh-CN"/>
        </w:rPr>
      </w:pPr>
      <w:r>
        <w:rPr>
          <w:rFonts w:hint="eastAsia" w:ascii="仿宋_GB2312" w:hAnsi="仿宋_GB2312" w:cs="仿宋_GB2312"/>
          <w:kern w:val="2"/>
          <w:sz w:val="28"/>
        </w:rPr>
        <w:t>在实际结算中，魏城收费站、卧龙收费站、两弹城收费站、演武收费站、许州收费站、梓潼服务区、七曲山停车区站点参考四川绵阳区域，武连收费站、柳沟收费站、普安收费站、红岩收费站、剑门关收费站、垂泉服务区、普安服务区、红岩停车区站点参考四川广元区域。</w:t>
      </w:r>
    </w:p>
    <w:p w14:paraId="2BEC2A4F">
      <w:pPr>
        <w:ind w:firstLine="560"/>
        <w:rPr>
          <w:rFonts w:hint="eastAsia"/>
          <w:sz w:val="28"/>
          <w:highlight w:val="none"/>
        </w:rPr>
      </w:pPr>
      <w:r>
        <w:rPr>
          <w:rFonts w:hint="eastAsia"/>
          <w:sz w:val="28"/>
          <w:highlight w:val="none"/>
        </w:rPr>
        <w:t>（</w:t>
      </w:r>
      <w:r>
        <w:rPr>
          <w:rFonts w:hint="eastAsia"/>
          <w:sz w:val="28"/>
          <w:highlight w:val="none"/>
          <w:lang w:val="en-US" w:eastAsia="zh-CN"/>
        </w:rPr>
        <w:t>2</w:t>
      </w:r>
      <w:r>
        <w:rPr>
          <w:rFonts w:hint="eastAsia"/>
          <w:sz w:val="28"/>
          <w:highlight w:val="none"/>
        </w:rPr>
        <w:t>）最高限价：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0"/>
        <w:gridCol w:w="1991"/>
        <w:gridCol w:w="1991"/>
        <w:gridCol w:w="1991"/>
        <w:gridCol w:w="1991"/>
      </w:tblGrid>
      <w:tr w14:paraId="4D1A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48EA6A7B">
            <w:pPr>
              <w:widowControl/>
              <w:snapToGrid w:val="0"/>
              <w:spacing w:line="240" w:lineRule="auto"/>
              <w:ind w:firstLine="0" w:firstLineChars="0"/>
              <w:jc w:val="center"/>
              <w:textAlignment w:val="center"/>
              <w:rPr>
                <w:rFonts w:hint="eastAsia" w:ascii="仿宋_GB2312" w:hAnsi="仿宋" w:cs="仿宋"/>
                <w:color w:val="000000"/>
                <w:kern w:val="0"/>
                <w:sz w:val="22"/>
                <w:szCs w:val="22"/>
                <w:lang w:bidi="ar"/>
              </w:rPr>
            </w:pPr>
            <w:r>
              <w:rPr>
                <w:rFonts w:hint="eastAsia" w:ascii="仿宋_GB2312" w:hAnsi="仿宋" w:cs="仿宋"/>
                <w:color w:val="000000"/>
                <w:kern w:val="0"/>
                <w:sz w:val="22"/>
                <w:szCs w:val="22"/>
                <w:lang w:bidi="ar"/>
              </w:rPr>
              <w:t>材料名称</w:t>
            </w:r>
          </w:p>
        </w:tc>
        <w:tc>
          <w:tcPr>
            <w:tcW w:w="1991" w:type="dxa"/>
            <w:vAlign w:val="center"/>
          </w:tcPr>
          <w:p w14:paraId="4AE02FC4">
            <w:pPr>
              <w:widowControl/>
              <w:snapToGrid w:val="0"/>
              <w:spacing w:line="240" w:lineRule="auto"/>
              <w:ind w:firstLine="0" w:firstLineChars="0"/>
              <w:jc w:val="center"/>
              <w:textAlignment w:val="center"/>
              <w:rPr>
                <w:rFonts w:hint="eastAsia" w:ascii="仿宋_GB2312" w:hAnsi="仿宋" w:cs="仿宋"/>
                <w:color w:val="000000"/>
                <w:kern w:val="0"/>
                <w:sz w:val="22"/>
                <w:szCs w:val="22"/>
                <w:lang w:bidi="ar"/>
              </w:rPr>
            </w:pPr>
            <w:r>
              <w:rPr>
                <w:rFonts w:hint="eastAsia" w:ascii="仿宋_GB2312" w:hAnsi="仿宋" w:cs="仿宋"/>
                <w:color w:val="000000"/>
                <w:kern w:val="0"/>
                <w:sz w:val="22"/>
                <w:szCs w:val="22"/>
                <w:lang w:bidi="ar"/>
              </w:rPr>
              <w:t>规格型号</w:t>
            </w:r>
          </w:p>
        </w:tc>
        <w:tc>
          <w:tcPr>
            <w:tcW w:w="1991" w:type="dxa"/>
            <w:vAlign w:val="center"/>
          </w:tcPr>
          <w:p w14:paraId="09CDAC61">
            <w:pPr>
              <w:widowControl/>
              <w:snapToGrid w:val="0"/>
              <w:spacing w:line="240" w:lineRule="auto"/>
              <w:ind w:firstLine="0" w:firstLineChars="0"/>
              <w:jc w:val="center"/>
              <w:textAlignment w:val="center"/>
              <w:rPr>
                <w:rFonts w:hint="eastAsia" w:ascii="仿宋_GB2312" w:hAnsi="仿宋" w:cs="仿宋"/>
                <w:color w:val="000000"/>
                <w:kern w:val="0"/>
                <w:sz w:val="22"/>
                <w:szCs w:val="22"/>
                <w:lang w:bidi="ar"/>
              </w:rPr>
            </w:pPr>
            <w:r>
              <w:rPr>
                <w:rFonts w:hint="eastAsia" w:ascii="仿宋_GB2312" w:hAnsi="仿宋" w:cs="仿宋"/>
                <w:color w:val="000000"/>
                <w:kern w:val="0"/>
                <w:sz w:val="22"/>
                <w:szCs w:val="22"/>
                <w:lang w:bidi="ar"/>
              </w:rPr>
              <w:t>预估数量</w:t>
            </w:r>
          </w:p>
        </w:tc>
        <w:tc>
          <w:tcPr>
            <w:tcW w:w="1991" w:type="dxa"/>
            <w:vAlign w:val="center"/>
          </w:tcPr>
          <w:p w14:paraId="63D5838C">
            <w:pPr>
              <w:widowControl/>
              <w:snapToGrid w:val="0"/>
              <w:spacing w:line="240" w:lineRule="auto"/>
              <w:ind w:firstLine="0" w:firstLineChars="0"/>
              <w:jc w:val="center"/>
              <w:textAlignment w:val="center"/>
              <w:rPr>
                <w:rFonts w:hint="default" w:ascii="仿宋_GB2312" w:hAnsi="仿宋" w:eastAsia="仿宋_GB2312"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计量单位</w:t>
            </w:r>
          </w:p>
        </w:tc>
        <w:tc>
          <w:tcPr>
            <w:tcW w:w="1991" w:type="dxa"/>
          </w:tcPr>
          <w:p w14:paraId="0598C444">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最高限价（不含税单价/元）</w:t>
            </w:r>
          </w:p>
        </w:tc>
      </w:tr>
      <w:tr w14:paraId="094B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1909BE26">
            <w:pPr>
              <w:widowControl/>
              <w:snapToGrid w:val="0"/>
              <w:spacing w:line="240" w:lineRule="auto"/>
              <w:ind w:firstLine="0" w:firstLineChars="0"/>
              <w:jc w:val="center"/>
              <w:textAlignment w:val="center"/>
              <w:rPr>
                <w:rFonts w:hint="eastAsia" w:ascii="仿宋_GB2312" w:hAnsi="仿宋" w:cs="仿宋"/>
                <w:color w:val="000000"/>
                <w:kern w:val="0"/>
                <w:sz w:val="22"/>
                <w:szCs w:val="22"/>
                <w:lang w:bidi="ar"/>
              </w:rPr>
            </w:pPr>
            <w:r>
              <w:rPr>
                <w:rFonts w:hint="eastAsia" w:ascii="仿宋_GB2312" w:hAnsi="仿宋" w:cs="仿宋"/>
                <w:color w:val="000000"/>
                <w:kern w:val="0"/>
                <w:sz w:val="22"/>
                <w:szCs w:val="22"/>
                <w:lang w:val="en-US" w:eastAsia="zh-CN" w:bidi="ar"/>
              </w:rPr>
              <w:t>商砼</w:t>
            </w:r>
          </w:p>
        </w:tc>
        <w:tc>
          <w:tcPr>
            <w:tcW w:w="1991" w:type="dxa"/>
            <w:vAlign w:val="center"/>
          </w:tcPr>
          <w:p w14:paraId="63DE8CCA">
            <w:pPr>
              <w:widowControl/>
              <w:snapToGrid w:val="0"/>
              <w:spacing w:line="240" w:lineRule="auto"/>
              <w:ind w:firstLine="0" w:firstLineChars="0"/>
              <w:jc w:val="center"/>
              <w:textAlignment w:val="center"/>
              <w:rPr>
                <w:rFonts w:hint="eastAsia" w:ascii="仿宋_GB2312" w:hAnsi="仿宋" w:cs="仿宋"/>
                <w:color w:val="000000"/>
                <w:kern w:val="0"/>
                <w:sz w:val="22"/>
                <w:szCs w:val="22"/>
                <w:lang w:bidi="ar"/>
              </w:rPr>
            </w:pPr>
            <w:r>
              <w:rPr>
                <w:rFonts w:hint="eastAsia" w:ascii="仿宋_GB2312" w:hAnsi="仿宋" w:cs="仿宋"/>
                <w:color w:val="000000"/>
                <w:kern w:val="0"/>
                <w:sz w:val="22"/>
                <w:szCs w:val="22"/>
                <w:lang w:val="en-US" w:eastAsia="zh-CN" w:bidi="ar"/>
              </w:rPr>
              <w:t>C20</w:t>
            </w:r>
          </w:p>
        </w:tc>
        <w:tc>
          <w:tcPr>
            <w:tcW w:w="1991" w:type="dxa"/>
            <w:vAlign w:val="center"/>
          </w:tcPr>
          <w:p w14:paraId="18D21A78">
            <w:pPr>
              <w:widowControl/>
              <w:snapToGrid w:val="0"/>
              <w:spacing w:line="240" w:lineRule="auto"/>
              <w:ind w:firstLine="0" w:firstLineChars="0"/>
              <w:jc w:val="center"/>
              <w:textAlignment w:val="center"/>
              <w:rPr>
                <w:rFonts w:hint="eastAsia" w:ascii="仿宋_GB2312" w:hAnsi="仿宋" w:cs="仿宋"/>
                <w:color w:val="000000"/>
                <w:kern w:val="0"/>
                <w:sz w:val="22"/>
                <w:szCs w:val="22"/>
                <w:lang w:bidi="ar"/>
              </w:rPr>
            </w:pPr>
            <w:r>
              <w:rPr>
                <w:rFonts w:hint="eastAsia" w:ascii="仿宋_GB2312" w:hAnsi="仿宋" w:cs="仿宋"/>
                <w:color w:val="000000"/>
                <w:kern w:val="0"/>
                <w:sz w:val="22"/>
                <w:szCs w:val="22"/>
                <w:lang w:val="en-US" w:eastAsia="zh-CN" w:bidi="ar"/>
              </w:rPr>
              <w:t>3995</w:t>
            </w:r>
          </w:p>
        </w:tc>
        <w:tc>
          <w:tcPr>
            <w:tcW w:w="1991" w:type="dxa"/>
            <w:vAlign w:val="center"/>
          </w:tcPr>
          <w:p w14:paraId="50D6E892">
            <w:pPr>
              <w:widowControl/>
              <w:snapToGrid w:val="0"/>
              <w:spacing w:line="240" w:lineRule="auto"/>
              <w:ind w:firstLine="0" w:firstLineChars="0"/>
              <w:jc w:val="center"/>
              <w:textAlignment w:val="center"/>
              <w:rPr>
                <w:rFonts w:hint="default" w:ascii="仿宋_GB2312" w:hAnsi="仿宋" w:cs="仿宋"/>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991" w:type="dxa"/>
          </w:tcPr>
          <w:p w14:paraId="6F0E9E4A">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374.5</w:t>
            </w:r>
          </w:p>
        </w:tc>
      </w:tr>
      <w:tr w14:paraId="1D24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990" w:type="dxa"/>
            <w:vAlign w:val="center"/>
          </w:tcPr>
          <w:p w14:paraId="2E1049E4">
            <w:pPr>
              <w:widowControl/>
              <w:snapToGrid w:val="0"/>
              <w:spacing w:line="240" w:lineRule="auto"/>
              <w:ind w:firstLine="0" w:firstLineChars="0"/>
              <w:jc w:val="center"/>
              <w:textAlignment w:val="center"/>
              <w:rPr>
                <w:rFonts w:hint="eastAsia" w:ascii="仿宋_GB2312" w:hAnsi="仿宋" w:cs="仿宋"/>
                <w:color w:val="000000"/>
                <w:kern w:val="0"/>
                <w:sz w:val="22"/>
                <w:szCs w:val="22"/>
                <w:lang w:bidi="ar"/>
              </w:rPr>
            </w:pPr>
            <w:r>
              <w:rPr>
                <w:rFonts w:hint="eastAsia" w:ascii="仿宋_GB2312" w:hAnsi="仿宋" w:cs="仿宋"/>
                <w:color w:val="000000"/>
                <w:kern w:val="0"/>
                <w:sz w:val="22"/>
                <w:szCs w:val="22"/>
                <w:lang w:val="en-US" w:eastAsia="zh-CN" w:bidi="ar"/>
              </w:rPr>
              <w:t>商砼</w:t>
            </w:r>
          </w:p>
        </w:tc>
        <w:tc>
          <w:tcPr>
            <w:tcW w:w="1991" w:type="dxa"/>
            <w:vAlign w:val="center"/>
          </w:tcPr>
          <w:p w14:paraId="7FF6EDF2">
            <w:pPr>
              <w:widowControl/>
              <w:snapToGrid w:val="0"/>
              <w:spacing w:line="240" w:lineRule="auto"/>
              <w:ind w:firstLine="0" w:firstLineChars="0"/>
              <w:jc w:val="center"/>
              <w:textAlignment w:val="center"/>
              <w:rPr>
                <w:rFonts w:hint="eastAsia" w:ascii="仿宋_GB2312" w:hAnsi="仿宋" w:cs="仿宋"/>
                <w:color w:val="000000"/>
                <w:kern w:val="0"/>
                <w:sz w:val="22"/>
                <w:szCs w:val="22"/>
                <w:lang w:bidi="ar"/>
              </w:rPr>
            </w:pPr>
            <w:r>
              <w:rPr>
                <w:rFonts w:hint="eastAsia" w:ascii="仿宋_GB2312" w:hAnsi="仿宋" w:cs="仿宋"/>
                <w:color w:val="000000"/>
                <w:kern w:val="0"/>
                <w:sz w:val="22"/>
                <w:szCs w:val="22"/>
                <w:lang w:val="en-US" w:eastAsia="zh-CN" w:bidi="ar"/>
              </w:rPr>
              <w:t>C20细石</w:t>
            </w:r>
          </w:p>
        </w:tc>
        <w:tc>
          <w:tcPr>
            <w:tcW w:w="1991" w:type="dxa"/>
            <w:vAlign w:val="center"/>
          </w:tcPr>
          <w:p w14:paraId="4A1E610D">
            <w:pPr>
              <w:widowControl/>
              <w:snapToGrid w:val="0"/>
              <w:spacing w:line="240" w:lineRule="auto"/>
              <w:ind w:firstLine="0" w:firstLineChars="0"/>
              <w:jc w:val="center"/>
              <w:textAlignment w:val="center"/>
              <w:rPr>
                <w:rFonts w:hint="eastAsia" w:ascii="仿宋_GB2312" w:hAnsi="仿宋" w:cs="仿宋"/>
                <w:color w:val="000000"/>
                <w:kern w:val="0"/>
                <w:sz w:val="22"/>
                <w:szCs w:val="22"/>
                <w:lang w:bidi="ar"/>
              </w:rPr>
            </w:pPr>
            <w:r>
              <w:rPr>
                <w:rFonts w:hint="eastAsia" w:ascii="仿宋_GB2312" w:hAnsi="仿宋" w:cs="仿宋"/>
                <w:color w:val="000000"/>
                <w:kern w:val="0"/>
                <w:sz w:val="22"/>
                <w:szCs w:val="22"/>
                <w:lang w:val="en-US" w:eastAsia="zh-CN" w:bidi="ar"/>
              </w:rPr>
              <w:t>675</w:t>
            </w:r>
          </w:p>
        </w:tc>
        <w:tc>
          <w:tcPr>
            <w:tcW w:w="1991" w:type="dxa"/>
            <w:vAlign w:val="center"/>
          </w:tcPr>
          <w:p w14:paraId="77DDFB48">
            <w:pPr>
              <w:widowControl/>
              <w:snapToGrid w:val="0"/>
              <w:spacing w:line="240" w:lineRule="auto"/>
              <w:ind w:firstLine="0" w:firstLineChars="0"/>
              <w:jc w:val="center"/>
              <w:textAlignment w:val="center"/>
              <w:rPr>
                <w:rFonts w:hint="default" w:ascii="仿宋_GB2312" w:hAnsi="仿宋" w:cs="仿宋"/>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991" w:type="dxa"/>
          </w:tcPr>
          <w:p w14:paraId="3B80CBC6">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394.5</w:t>
            </w:r>
          </w:p>
        </w:tc>
      </w:tr>
      <w:tr w14:paraId="360A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1523901F">
            <w:pPr>
              <w:widowControl/>
              <w:snapToGrid w:val="0"/>
              <w:spacing w:line="240" w:lineRule="auto"/>
              <w:ind w:firstLine="0" w:firstLineChars="0"/>
              <w:jc w:val="center"/>
              <w:textAlignment w:val="center"/>
              <w:rPr>
                <w:rFonts w:hint="eastAsia" w:ascii="仿宋_GB2312" w:hAnsi="仿宋" w:cs="仿宋"/>
                <w:color w:val="000000"/>
                <w:kern w:val="0"/>
                <w:sz w:val="22"/>
                <w:szCs w:val="22"/>
                <w:lang w:bidi="ar"/>
              </w:rPr>
            </w:pPr>
            <w:r>
              <w:rPr>
                <w:rFonts w:hint="eastAsia" w:ascii="仿宋_GB2312" w:hAnsi="仿宋" w:cs="仿宋"/>
                <w:color w:val="000000"/>
                <w:kern w:val="0"/>
                <w:sz w:val="22"/>
                <w:szCs w:val="22"/>
                <w:lang w:val="en-US" w:eastAsia="zh-CN" w:bidi="ar"/>
              </w:rPr>
              <w:t>商砼</w:t>
            </w:r>
          </w:p>
        </w:tc>
        <w:tc>
          <w:tcPr>
            <w:tcW w:w="1991" w:type="dxa"/>
            <w:vAlign w:val="center"/>
          </w:tcPr>
          <w:p w14:paraId="6BB4B291">
            <w:pPr>
              <w:widowControl/>
              <w:snapToGrid w:val="0"/>
              <w:spacing w:line="240" w:lineRule="auto"/>
              <w:ind w:firstLine="0" w:firstLineChars="0"/>
              <w:jc w:val="center"/>
              <w:textAlignment w:val="center"/>
              <w:rPr>
                <w:rFonts w:hint="eastAsia" w:ascii="仿宋_GB2312" w:hAnsi="仿宋" w:cs="仿宋"/>
                <w:color w:val="000000"/>
                <w:kern w:val="0"/>
                <w:sz w:val="22"/>
                <w:szCs w:val="22"/>
                <w:lang w:bidi="ar"/>
              </w:rPr>
            </w:pPr>
            <w:r>
              <w:rPr>
                <w:rFonts w:hint="eastAsia" w:ascii="仿宋_GB2312" w:hAnsi="仿宋" w:cs="仿宋"/>
                <w:color w:val="000000"/>
                <w:kern w:val="0"/>
                <w:sz w:val="22"/>
                <w:szCs w:val="22"/>
                <w:lang w:val="en-US" w:eastAsia="zh-CN" w:bidi="ar"/>
              </w:rPr>
              <w:t>C25</w:t>
            </w:r>
          </w:p>
        </w:tc>
        <w:tc>
          <w:tcPr>
            <w:tcW w:w="1991" w:type="dxa"/>
            <w:vAlign w:val="center"/>
          </w:tcPr>
          <w:p w14:paraId="7DF5C283">
            <w:pPr>
              <w:widowControl/>
              <w:snapToGrid w:val="0"/>
              <w:spacing w:line="240" w:lineRule="auto"/>
              <w:ind w:firstLine="0" w:firstLineChars="0"/>
              <w:jc w:val="center"/>
              <w:textAlignment w:val="center"/>
              <w:rPr>
                <w:rFonts w:hint="eastAsia" w:ascii="仿宋_GB2312" w:hAnsi="仿宋" w:cs="仿宋"/>
                <w:color w:val="000000"/>
                <w:kern w:val="0"/>
                <w:sz w:val="22"/>
                <w:szCs w:val="22"/>
                <w:lang w:bidi="ar"/>
              </w:rPr>
            </w:pPr>
            <w:r>
              <w:rPr>
                <w:rFonts w:hint="eastAsia" w:ascii="仿宋_GB2312" w:hAnsi="仿宋" w:cs="仿宋"/>
                <w:color w:val="000000"/>
                <w:kern w:val="0"/>
                <w:sz w:val="22"/>
                <w:szCs w:val="22"/>
                <w:lang w:val="en-US" w:eastAsia="zh-CN" w:bidi="ar"/>
              </w:rPr>
              <w:t>1570</w:t>
            </w:r>
          </w:p>
        </w:tc>
        <w:tc>
          <w:tcPr>
            <w:tcW w:w="1991" w:type="dxa"/>
            <w:vAlign w:val="center"/>
          </w:tcPr>
          <w:p w14:paraId="46542B32">
            <w:pPr>
              <w:widowControl/>
              <w:snapToGrid w:val="0"/>
              <w:spacing w:line="240" w:lineRule="auto"/>
              <w:ind w:firstLine="0" w:firstLineChars="0"/>
              <w:jc w:val="center"/>
              <w:textAlignment w:val="center"/>
              <w:rPr>
                <w:rFonts w:hint="default" w:ascii="仿宋_GB2312" w:hAnsi="仿宋" w:cs="仿宋"/>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991" w:type="dxa"/>
          </w:tcPr>
          <w:p w14:paraId="5B5C65F4">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384.5</w:t>
            </w:r>
          </w:p>
        </w:tc>
      </w:tr>
      <w:tr w14:paraId="0F11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2DE23204">
            <w:pPr>
              <w:widowControl/>
              <w:snapToGrid w:val="0"/>
              <w:spacing w:line="240" w:lineRule="auto"/>
              <w:ind w:firstLine="0" w:firstLineChars="0"/>
              <w:jc w:val="center"/>
              <w:textAlignment w:val="center"/>
              <w:rPr>
                <w:rFonts w:hint="eastAsia" w:ascii="仿宋_GB2312" w:hAnsi="仿宋" w:cs="仿宋"/>
                <w:color w:val="000000"/>
                <w:kern w:val="0"/>
                <w:sz w:val="22"/>
                <w:szCs w:val="22"/>
                <w:lang w:bidi="ar"/>
              </w:rPr>
            </w:pPr>
            <w:r>
              <w:rPr>
                <w:rFonts w:hint="eastAsia" w:ascii="仿宋_GB2312" w:hAnsi="仿宋" w:cs="仿宋"/>
                <w:color w:val="000000"/>
                <w:kern w:val="0"/>
                <w:sz w:val="22"/>
                <w:szCs w:val="22"/>
                <w:lang w:val="en-US" w:eastAsia="zh-CN" w:bidi="ar"/>
              </w:rPr>
              <w:t>商砼</w:t>
            </w:r>
          </w:p>
        </w:tc>
        <w:tc>
          <w:tcPr>
            <w:tcW w:w="1991" w:type="dxa"/>
            <w:vAlign w:val="center"/>
          </w:tcPr>
          <w:p w14:paraId="388E68C5">
            <w:pPr>
              <w:widowControl/>
              <w:snapToGrid w:val="0"/>
              <w:spacing w:line="240" w:lineRule="auto"/>
              <w:ind w:firstLine="0" w:firstLineChars="0"/>
              <w:jc w:val="center"/>
              <w:textAlignment w:val="center"/>
              <w:rPr>
                <w:rFonts w:hint="eastAsia" w:ascii="仿宋_GB2312" w:hAnsi="仿宋" w:cs="仿宋"/>
                <w:color w:val="000000"/>
                <w:kern w:val="0"/>
                <w:sz w:val="22"/>
                <w:szCs w:val="22"/>
                <w:lang w:bidi="ar"/>
              </w:rPr>
            </w:pPr>
            <w:r>
              <w:rPr>
                <w:rFonts w:hint="eastAsia" w:ascii="仿宋_GB2312" w:hAnsi="仿宋" w:cs="仿宋"/>
                <w:color w:val="000000"/>
                <w:kern w:val="0"/>
                <w:sz w:val="22"/>
                <w:szCs w:val="22"/>
                <w:lang w:val="en-US" w:eastAsia="zh-CN" w:bidi="ar"/>
              </w:rPr>
              <w:t>C30</w:t>
            </w:r>
          </w:p>
        </w:tc>
        <w:tc>
          <w:tcPr>
            <w:tcW w:w="1991" w:type="dxa"/>
            <w:vAlign w:val="center"/>
          </w:tcPr>
          <w:p w14:paraId="017595E2">
            <w:pPr>
              <w:widowControl/>
              <w:snapToGrid w:val="0"/>
              <w:spacing w:line="240" w:lineRule="auto"/>
              <w:ind w:firstLine="0" w:firstLineChars="0"/>
              <w:jc w:val="center"/>
              <w:textAlignment w:val="center"/>
              <w:rPr>
                <w:rFonts w:hint="eastAsia" w:ascii="仿宋_GB2312" w:hAnsi="仿宋" w:cs="仿宋"/>
                <w:color w:val="000000"/>
                <w:kern w:val="0"/>
                <w:sz w:val="22"/>
                <w:szCs w:val="22"/>
                <w:lang w:bidi="ar"/>
              </w:rPr>
            </w:pPr>
            <w:r>
              <w:rPr>
                <w:rFonts w:hint="eastAsia" w:ascii="仿宋_GB2312" w:hAnsi="仿宋" w:cs="仿宋"/>
                <w:color w:val="000000"/>
                <w:kern w:val="0"/>
                <w:sz w:val="22"/>
                <w:szCs w:val="22"/>
                <w:lang w:val="en-US" w:eastAsia="zh-CN" w:bidi="ar"/>
              </w:rPr>
              <w:t>35400</w:t>
            </w:r>
          </w:p>
        </w:tc>
        <w:tc>
          <w:tcPr>
            <w:tcW w:w="1991" w:type="dxa"/>
            <w:vAlign w:val="center"/>
          </w:tcPr>
          <w:p w14:paraId="0DA1A12D">
            <w:pPr>
              <w:widowControl/>
              <w:snapToGrid w:val="0"/>
              <w:spacing w:line="240" w:lineRule="auto"/>
              <w:ind w:firstLine="0" w:firstLineChars="0"/>
              <w:jc w:val="center"/>
              <w:textAlignment w:val="center"/>
              <w:rPr>
                <w:rFonts w:hint="default" w:ascii="仿宋_GB2312" w:hAnsi="仿宋" w:cs="仿宋"/>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991" w:type="dxa"/>
          </w:tcPr>
          <w:p w14:paraId="6524DDF9">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394.5</w:t>
            </w:r>
          </w:p>
        </w:tc>
      </w:tr>
      <w:tr w14:paraId="5D5A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78015D01">
            <w:pPr>
              <w:widowControl/>
              <w:snapToGrid w:val="0"/>
              <w:spacing w:line="240" w:lineRule="auto"/>
              <w:ind w:firstLine="0" w:firstLineChars="0"/>
              <w:jc w:val="center"/>
              <w:textAlignment w:val="center"/>
              <w:rPr>
                <w:rFonts w:hint="eastAsia" w:ascii="仿宋_GB2312" w:hAnsi="仿宋" w:cs="仿宋"/>
                <w:color w:val="000000"/>
                <w:kern w:val="0"/>
                <w:sz w:val="22"/>
                <w:szCs w:val="22"/>
                <w:lang w:bidi="ar"/>
              </w:rPr>
            </w:pPr>
            <w:r>
              <w:rPr>
                <w:rFonts w:hint="eastAsia" w:ascii="仿宋_GB2312" w:hAnsi="仿宋" w:cs="仿宋"/>
                <w:color w:val="000000"/>
                <w:kern w:val="0"/>
                <w:sz w:val="22"/>
                <w:szCs w:val="22"/>
                <w:lang w:val="en-US" w:eastAsia="zh-CN" w:bidi="ar"/>
              </w:rPr>
              <w:t>商砼</w:t>
            </w:r>
          </w:p>
        </w:tc>
        <w:tc>
          <w:tcPr>
            <w:tcW w:w="1991" w:type="dxa"/>
            <w:vAlign w:val="center"/>
          </w:tcPr>
          <w:p w14:paraId="04EC5DB4">
            <w:pPr>
              <w:widowControl/>
              <w:snapToGrid w:val="0"/>
              <w:spacing w:line="240" w:lineRule="auto"/>
              <w:ind w:firstLine="0" w:firstLineChars="0"/>
              <w:jc w:val="center"/>
              <w:textAlignment w:val="center"/>
              <w:rPr>
                <w:rFonts w:hint="eastAsia" w:ascii="仿宋_GB2312" w:hAnsi="仿宋" w:cs="仿宋"/>
                <w:color w:val="000000"/>
                <w:kern w:val="0"/>
                <w:sz w:val="22"/>
                <w:szCs w:val="22"/>
                <w:lang w:bidi="ar"/>
              </w:rPr>
            </w:pPr>
            <w:r>
              <w:rPr>
                <w:rFonts w:hint="eastAsia" w:ascii="仿宋_GB2312" w:hAnsi="仿宋" w:cs="仿宋"/>
                <w:color w:val="000000"/>
                <w:kern w:val="0"/>
                <w:sz w:val="22"/>
                <w:szCs w:val="22"/>
                <w:lang w:val="en-US" w:eastAsia="zh-CN" w:bidi="ar"/>
              </w:rPr>
              <w:t>C30P8</w:t>
            </w:r>
          </w:p>
        </w:tc>
        <w:tc>
          <w:tcPr>
            <w:tcW w:w="1991" w:type="dxa"/>
            <w:vAlign w:val="center"/>
          </w:tcPr>
          <w:p w14:paraId="52750D80">
            <w:pPr>
              <w:widowControl/>
              <w:snapToGrid w:val="0"/>
              <w:spacing w:line="240" w:lineRule="auto"/>
              <w:ind w:firstLine="0" w:firstLineChars="0"/>
              <w:jc w:val="center"/>
              <w:textAlignment w:val="center"/>
              <w:rPr>
                <w:rFonts w:hint="eastAsia" w:ascii="仿宋_GB2312" w:hAnsi="仿宋" w:cs="仿宋"/>
                <w:color w:val="000000"/>
                <w:kern w:val="0"/>
                <w:sz w:val="22"/>
                <w:szCs w:val="22"/>
                <w:lang w:bidi="ar"/>
              </w:rPr>
            </w:pPr>
            <w:r>
              <w:rPr>
                <w:rFonts w:hint="eastAsia" w:ascii="仿宋_GB2312" w:hAnsi="仿宋" w:cs="仿宋"/>
                <w:color w:val="000000"/>
                <w:kern w:val="0"/>
                <w:sz w:val="22"/>
                <w:szCs w:val="22"/>
                <w:lang w:val="en-US" w:eastAsia="zh-CN" w:bidi="ar"/>
              </w:rPr>
              <w:t>5750</w:t>
            </w:r>
          </w:p>
        </w:tc>
        <w:tc>
          <w:tcPr>
            <w:tcW w:w="1991" w:type="dxa"/>
            <w:vAlign w:val="center"/>
          </w:tcPr>
          <w:p w14:paraId="52B66AB4">
            <w:pPr>
              <w:widowControl/>
              <w:snapToGrid w:val="0"/>
              <w:spacing w:line="240" w:lineRule="auto"/>
              <w:ind w:firstLine="0" w:firstLineChars="0"/>
              <w:jc w:val="center"/>
              <w:textAlignment w:val="center"/>
              <w:rPr>
                <w:rFonts w:hint="default" w:ascii="仿宋_GB2312" w:hAnsi="仿宋" w:cs="仿宋"/>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991" w:type="dxa"/>
          </w:tcPr>
          <w:p w14:paraId="36360D06">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414.5</w:t>
            </w:r>
          </w:p>
        </w:tc>
      </w:tr>
      <w:tr w14:paraId="1D78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717027B8">
            <w:pPr>
              <w:widowControl/>
              <w:snapToGrid w:val="0"/>
              <w:spacing w:line="240" w:lineRule="auto"/>
              <w:ind w:firstLine="0" w:firstLineChars="0"/>
              <w:jc w:val="center"/>
              <w:textAlignment w:val="center"/>
              <w:rPr>
                <w:rFonts w:hint="eastAsia" w:ascii="仿宋_GB2312" w:hAnsi="仿宋" w:cs="仿宋"/>
                <w:color w:val="000000"/>
                <w:kern w:val="0"/>
                <w:sz w:val="22"/>
                <w:szCs w:val="22"/>
                <w:lang w:bidi="ar"/>
              </w:rPr>
            </w:pPr>
            <w:r>
              <w:rPr>
                <w:rFonts w:hint="eastAsia" w:ascii="仿宋_GB2312" w:hAnsi="仿宋" w:cs="仿宋"/>
                <w:color w:val="000000"/>
                <w:kern w:val="0"/>
                <w:sz w:val="22"/>
                <w:szCs w:val="22"/>
                <w:lang w:val="en-US" w:eastAsia="zh-CN" w:bidi="ar"/>
              </w:rPr>
              <w:t>商砼</w:t>
            </w:r>
          </w:p>
        </w:tc>
        <w:tc>
          <w:tcPr>
            <w:tcW w:w="1991" w:type="dxa"/>
            <w:vAlign w:val="center"/>
          </w:tcPr>
          <w:p w14:paraId="711579FC">
            <w:pPr>
              <w:widowControl/>
              <w:snapToGrid w:val="0"/>
              <w:spacing w:line="240" w:lineRule="auto"/>
              <w:ind w:firstLine="0" w:firstLineChars="0"/>
              <w:jc w:val="center"/>
              <w:textAlignment w:val="center"/>
              <w:rPr>
                <w:rFonts w:hint="eastAsia" w:ascii="仿宋_GB2312" w:hAnsi="仿宋" w:cs="仿宋"/>
                <w:color w:val="000000"/>
                <w:kern w:val="0"/>
                <w:sz w:val="22"/>
                <w:szCs w:val="22"/>
                <w:lang w:bidi="ar"/>
              </w:rPr>
            </w:pPr>
            <w:r>
              <w:rPr>
                <w:rFonts w:hint="eastAsia" w:ascii="仿宋_GB2312" w:hAnsi="仿宋" w:cs="仿宋"/>
                <w:color w:val="000000"/>
                <w:kern w:val="0"/>
                <w:sz w:val="22"/>
                <w:szCs w:val="22"/>
                <w:lang w:val="en-US" w:eastAsia="zh-CN" w:bidi="ar"/>
              </w:rPr>
              <w:t>C30细石</w:t>
            </w:r>
          </w:p>
        </w:tc>
        <w:tc>
          <w:tcPr>
            <w:tcW w:w="1991" w:type="dxa"/>
            <w:vAlign w:val="center"/>
          </w:tcPr>
          <w:p w14:paraId="380B9B64">
            <w:pPr>
              <w:widowControl/>
              <w:snapToGrid w:val="0"/>
              <w:spacing w:line="240" w:lineRule="auto"/>
              <w:ind w:firstLine="0" w:firstLineChars="0"/>
              <w:jc w:val="center"/>
              <w:textAlignment w:val="center"/>
              <w:rPr>
                <w:rFonts w:hint="eastAsia" w:ascii="仿宋_GB2312" w:hAnsi="仿宋" w:cs="仿宋"/>
                <w:color w:val="000000"/>
                <w:kern w:val="0"/>
                <w:sz w:val="22"/>
                <w:szCs w:val="22"/>
                <w:lang w:bidi="ar"/>
              </w:rPr>
            </w:pPr>
            <w:r>
              <w:rPr>
                <w:rFonts w:hint="eastAsia" w:ascii="仿宋_GB2312" w:hAnsi="仿宋" w:cs="仿宋"/>
                <w:color w:val="000000"/>
                <w:kern w:val="0"/>
                <w:sz w:val="22"/>
                <w:szCs w:val="22"/>
                <w:lang w:val="en-US" w:eastAsia="zh-CN" w:bidi="ar"/>
              </w:rPr>
              <w:t>1184</w:t>
            </w:r>
          </w:p>
        </w:tc>
        <w:tc>
          <w:tcPr>
            <w:tcW w:w="1991" w:type="dxa"/>
            <w:vAlign w:val="center"/>
          </w:tcPr>
          <w:p w14:paraId="4CF9D15E">
            <w:pPr>
              <w:widowControl/>
              <w:snapToGrid w:val="0"/>
              <w:spacing w:line="240" w:lineRule="auto"/>
              <w:ind w:firstLine="0" w:firstLineChars="0"/>
              <w:jc w:val="center"/>
              <w:textAlignment w:val="center"/>
              <w:rPr>
                <w:rFonts w:hint="default" w:ascii="仿宋_GB2312" w:hAnsi="仿宋" w:cs="仿宋"/>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991" w:type="dxa"/>
          </w:tcPr>
          <w:p w14:paraId="740C9CEA">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414.5</w:t>
            </w:r>
          </w:p>
        </w:tc>
      </w:tr>
      <w:tr w14:paraId="0ADD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0B3AB5B5">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商砼</w:t>
            </w:r>
          </w:p>
        </w:tc>
        <w:tc>
          <w:tcPr>
            <w:tcW w:w="1991" w:type="dxa"/>
            <w:vAlign w:val="center"/>
          </w:tcPr>
          <w:p w14:paraId="6CAE142E">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C35</w:t>
            </w:r>
          </w:p>
        </w:tc>
        <w:tc>
          <w:tcPr>
            <w:tcW w:w="1991" w:type="dxa"/>
            <w:vAlign w:val="center"/>
          </w:tcPr>
          <w:p w14:paraId="45D31D08">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846</w:t>
            </w:r>
          </w:p>
        </w:tc>
        <w:tc>
          <w:tcPr>
            <w:tcW w:w="1991" w:type="dxa"/>
            <w:vAlign w:val="center"/>
          </w:tcPr>
          <w:p w14:paraId="51B2EB44">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991" w:type="dxa"/>
          </w:tcPr>
          <w:p w14:paraId="6FE66E84">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409.5</w:t>
            </w:r>
          </w:p>
        </w:tc>
      </w:tr>
      <w:tr w14:paraId="4C3D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3A778A39">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商砼</w:t>
            </w:r>
          </w:p>
        </w:tc>
        <w:tc>
          <w:tcPr>
            <w:tcW w:w="1991" w:type="dxa"/>
            <w:vAlign w:val="center"/>
          </w:tcPr>
          <w:p w14:paraId="3E12B2AB">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C40微膨胀细石</w:t>
            </w:r>
          </w:p>
        </w:tc>
        <w:tc>
          <w:tcPr>
            <w:tcW w:w="1991" w:type="dxa"/>
            <w:vAlign w:val="center"/>
          </w:tcPr>
          <w:p w14:paraId="5ABE1EA7">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368</w:t>
            </w:r>
          </w:p>
        </w:tc>
        <w:tc>
          <w:tcPr>
            <w:tcW w:w="1991" w:type="dxa"/>
            <w:vAlign w:val="center"/>
          </w:tcPr>
          <w:p w14:paraId="2A7DBB63">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991" w:type="dxa"/>
          </w:tcPr>
          <w:p w14:paraId="2FF187B7">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464.5</w:t>
            </w:r>
          </w:p>
        </w:tc>
      </w:tr>
      <w:tr w14:paraId="186C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373FD6FD">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商砼</w:t>
            </w:r>
          </w:p>
        </w:tc>
        <w:tc>
          <w:tcPr>
            <w:tcW w:w="1991" w:type="dxa"/>
            <w:vAlign w:val="center"/>
          </w:tcPr>
          <w:p w14:paraId="517512AE">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C50</w:t>
            </w:r>
          </w:p>
        </w:tc>
        <w:tc>
          <w:tcPr>
            <w:tcW w:w="1991" w:type="dxa"/>
            <w:vAlign w:val="center"/>
          </w:tcPr>
          <w:p w14:paraId="3DF50A36">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2200</w:t>
            </w:r>
          </w:p>
        </w:tc>
        <w:tc>
          <w:tcPr>
            <w:tcW w:w="1991" w:type="dxa"/>
            <w:vAlign w:val="center"/>
          </w:tcPr>
          <w:p w14:paraId="05D9B58A">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991" w:type="dxa"/>
          </w:tcPr>
          <w:p w14:paraId="7902F57F">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454.5</w:t>
            </w:r>
          </w:p>
        </w:tc>
      </w:tr>
      <w:tr w14:paraId="224E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19112C79">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37米天泵至52 米天泵</w:t>
            </w:r>
          </w:p>
        </w:tc>
        <w:tc>
          <w:tcPr>
            <w:tcW w:w="1991" w:type="dxa"/>
            <w:vAlign w:val="center"/>
          </w:tcPr>
          <w:p w14:paraId="5EB9FF29">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不超过80方</w:t>
            </w:r>
          </w:p>
        </w:tc>
        <w:tc>
          <w:tcPr>
            <w:tcW w:w="1991" w:type="dxa"/>
            <w:vAlign w:val="center"/>
          </w:tcPr>
          <w:p w14:paraId="0EFEE4FC">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30</w:t>
            </w:r>
          </w:p>
        </w:tc>
        <w:tc>
          <w:tcPr>
            <w:tcW w:w="1991" w:type="dxa"/>
            <w:vAlign w:val="center"/>
          </w:tcPr>
          <w:p w14:paraId="412BC182">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天</w:t>
            </w:r>
          </w:p>
        </w:tc>
        <w:tc>
          <w:tcPr>
            <w:tcW w:w="1991" w:type="dxa"/>
            <w:vAlign w:val="center"/>
          </w:tcPr>
          <w:p w14:paraId="66A61C06">
            <w:pPr>
              <w:widowControl/>
              <w:snapToGrid w:val="0"/>
              <w:spacing w:line="240" w:lineRule="auto"/>
              <w:ind w:firstLine="0" w:firstLineChars="0"/>
              <w:jc w:val="center"/>
              <w:textAlignment w:val="center"/>
              <w:rPr>
                <w:rFonts w:hint="default"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1699.5</w:t>
            </w:r>
          </w:p>
        </w:tc>
      </w:tr>
      <w:tr w14:paraId="7267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58113171">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37米天泵至52 米天泵</w:t>
            </w:r>
          </w:p>
        </w:tc>
        <w:tc>
          <w:tcPr>
            <w:tcW w:w="1991" w:type="dxa"/>
            <w:vAlign w:val="center"/>
          </w:tcPr>
          <w:p w14:paraId="52002AEA">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超过80方</w:t>
            </w:r>
          </w:p>
        </w:tc>
        <w:tc>
          <w:tcPr>
            <w:tcW w:w="1991" w:type="dxa"/>
            <w:vAlign w:val="center"/>
          </w:tcPr>
          <w:p w14:paraId="188A68F9">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22000</w:t>
            </w:r>
          </w:p>
        </w:tc>
        <w:tc>
          <w:tcPr>
            <w:tcW w:w="1991" w:type="dxa"/>
            <w:vAlign w:val="center"/>
          </w:tcPr>
          <w:p w14:paraId="2FD26419">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 xml:space="preserve"> </w:t>
            </w:r>
            <w:r>
              <w:rPr>
                <w:rFonts w:hint="eastAsia" w:ascii="仿宋_GB2312" w:hAnsi="仿宋" w:cs="仿宋"/>
                <w:color w:val="000000"/>
                <w:kern w:val="0"/>
                <w:sz w:val="22"/>
                <w:szCs w:val="22"/>
                <w:lang w:bidi="ar"/>
              </w:rPr>
              <w:t>m³</w:t>
            </w:r>
          </w:p>
        </w:tc>
        <w:tc>
          <w:tcPr>
            <w:tcW w:w="1991" w:type="dxa"/>
            <w:vAlign w:val="center"/>
          </w:tcPr>
          <w:p w14:paraId="55C99231">
            <w:pPr>
              <w:widowControl/>
              <w:snapToGrid w:val="0"/>
              <w:spacing w:line="240" w:lineRule="auto"/>
              <w:ind w:firstLine="0" w:firstLineChars="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24.5</w:t>
            </w:r>
          </w:p>
        </w:tc>
      </w:tr>
      <w:tr w14:paraId="4ECC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33CA6427">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53 米以上天泵</w:t>
            </w:r>
          </w:p>
        </w:tc>
        <w:tc>
          <w:tcPr>
            <w:tcW w:w="1991" w:type="dxa"/>
            <w:vAlign w:val="center"/>
          </w:tcPr>
          <w:p w14:paraId="5AD5D3E4">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不超过80方</w:t>
            </w:r>
          </w:p>
        </w:tc>
        <w:tc>
          <w:tcPr>
            <w:tcW w:w="1991" w:type="dxa"/>
            <w:vAlign w:val="center"/>
          </w:tcPr>
          <w:p w14:paraId="094DFF01">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50</w:t>
            </w:r>
          </w:p>
        </w:tc>
        <w:tc>
          <w:tcPr>
            <w:tcW w:w="1991" w:type="dxa"/>
            <w:vAlign w:val="center"/>
          </w:tcPr>
          <w:p w14:paraId="21F37AD1">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天</w:t>
            </w:r>
          </w:p>
        </w:tc>
        <w:tc>
          <w:tcPr>
            <w:tcW w:w="1991" w:type="dxa"/>
          </w:tcPr>
          <w:p w14:paraId="00C8CE52">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1797</w:t>
            </w:r>
          </w:p>
        </w:tc>
      </w:tr>
      <w:tr w14:paraId="6456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33D88439">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53 米以上天泵</w:t>
            </w:r>
          </w:p>
        </w:tc>
        <w:tc>
          <w:tcPr>
            <w:tcW w:w="1991" w:type="dxa"/>
            <w:vAlign w:val="center"/>
          </w:tcPr>
          <w:p w14:paraId="14D371DD">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超过80方</w:t>
            </w:r>
          </w:p>
        </w:tc>
        <w:tc>
          <w:tcPr>
            <w:tcW w:w="1991" w:type="dxa"/>
            <w:vAlign w:val="center"/>
          </w:tcPr>
          <w:p w14:paraId="54A5FD81">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700</w:t>
            </w:r>
          </w:p>
        </w:tc>
        <w:tc>
          <w:tcPr>
            <w:tcW w:w="1991" w:type="dxa"/>
            <w:vAlign w:val="center"/>
          </w:tcPr>
          <w:p w14:paraId="6C06F02C">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991" w:type="dxa"/>
          </w:tcPr>
          <w:p w14:paraId="5284ACDA">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25</w:t>
            </w:r>
          </w:p>
        </w:tc>
      </w:tr>
      <w:tr w14:paraId="349F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0941CFFB">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抗裂</w:t>
            </w:r>
          </w:p>
        </w:tc>
        <w:tc>
          <w:tcPr>
            <w:tcW w:w="1991" w:type="dxa"/>
            <w:vAlign w:val="center"/>
          </w:tcPr>
          <w:p w14:paraId="1A2A31C9">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在对应标号混凝土价格基础上价加价</w:t>
            </w:r>
          </w:p>
        </w:tc>
        <w:tc>
          <w:tcPr>
            <w:tcW w:w="1991" w:type="dxa"/>
            <w:vAlign w:val="center"/>
          </w:tcPr>
          <w:p w14:paraId="4F02EBB4">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10</w:t>
            </w:r>
          </w:p>
        </w:tc>
        <w:tc>
          <w:tcPr>
            <w:tcW w:w="1991" w:type="dxa"/>
            <w:vAlign w:val="center"/>
          </w:tcPr>
          <w:p w14:paraId="633C66FB">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991" w:type="dxa"/>
            <w:vAlign w:val="center"/>
          </w:tcPr>
          <w:p w14:paraId="7597831B">
            <w:pPr>
              <w:widowControl/>
              <w:snapToGrid w:val="0"/>
              <w:spacing w:line="240" w:lineRule="auto"/>
              <w:ind w:firstLine="0" w:firstLineChars="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25</w:t>
            </w:r>
          </w:p>
        </w:tc>
      </w:tr>
      <w:tr w14:paraId="346A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426498EF">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水下砼</w:t>
            </w:r>
          </w:p>
        </w:tc>
        <w:tc>
          <w:tcPr>
            <w:tcW w:w="1991" w:type="dxa"/>
            <w:vAlign w:val="center"/>
          </w:tcPr>
          <w:p w14:paraId="5B642D17">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在对应标号混凝土价格基础上价加价</w:t>
            </w:r>
          </w:p>
        </w:tc>
        <w:tc>
          <w:tcPr>
            <w:tcW w:w="1991" w:type="dxa"/>
            <w:vAlign w:val="center"/>
          </w:tcPr>
          <w:p w14:paraId="7FA1D31B">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1500</w:t>
            </w:r>
          </w:p>
        </w:tc>
        <w:tc>
          <w:tcPr>
            <w:tcW w:w="1991" w:type="dxa"/>
            <w:vAlign w:val="center"/>
          </w:tcPr>
          <w:p w14:paraId="4ED0F793">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991" w:type="dxa"/>
            <w:vAlign w:val="center"/>
          </w:tcPr>
          <w:p w14:paraId="691693BC">
            <w:pPr>
              <w:widowControl/>
              <w:snapToGrid w:val="0"/>
              <w:spacing w:line="240" w:lineRule="auto"/>
              <w:ind w:firstLine="0" w:firstLineChars="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15</w:t>
            </w:r>
          </w:p>
        </w:tc>
      </w:tr>
      <w:tr w14:paraId="6185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33236586">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补方费</w:t>
            </w:r>
          </w:p>
        </w:tc>
        <w:tc>
          <w:tcPr>
            <w:tcW w:w="1991" w:type="dxa"/>
            <w:vAlign w:val="center"/>
          </w:tcPr>
          <w:p w14:paraId="304D9424">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二次补方不足6方按6方算</w:t>
            </w:r>
          </w:p>
        </w:tc>
        <w:tc>
          <w:tcPr>
            <w:tcW w:w="1991" w:type="dxa"/>
            <w:vAlign w:val="center"/>
          </w:tcPr>
          <w:p w14:paraId="16F7DB26">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100</w:t>
            </w:r>
          </w:p>
        </w:tc>
        <w:tc>
          <w:tcPr>
            <w:tcW w:w="1991" w:type="dxa"/>
            <w:vAlign w:val="center"/>
          </w:tcPr>
          <w:p w14:paraId="641437A7">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991" w:type="dxa"/>
            <w:vAlign w:val="center"/>
          </w:tcPr>
          <w:p w14:paraId="7299C5C8">
            <w:pPr>
              <w:widowControl/>
              <w:snapToGrid w:val="0"/>
              <w:spacing w:line="240" w:lineRule="auto"/>
              <w:ind w:firstLine="0" w:firstLineChars="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30</w:t>
            </w:r>
          </w:p>
        </w:tc>
      </w:tr>
      <w:tr w14:paraId="5262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6E62F6B5">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水车费</w:t>
            </w:r>
          </w:p>
        </w:tc>
        <w:tc>
          <w:tcPr>
            <w:tcW w:w="1991" w:type="dxa"/>
            <w:vAlign w:val="center"/>
          </w:tcPr>
          <w:p w14:paraId="7DDF0B68">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w:t>
            </w:r>
          </w:p>
        </w:tc>
        <w:tc>
          <w:tcPr>
            <w:tcW w:w="1991" w:type="dxa"/>
            <w:vAlign w:val="center"/>
          </w:tcPr>
          <w:p w14:paraId="39F1FB3E">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100</w:t>
            </w:r>
          </w:p>
        </w:tc>
        <w:tc>
          <w:tcPr>
            <w:tcW w:w="1991" w:type="dxa"/>
            <w:vAlign w:val="center"/>
          </w:tcPr>
          <w:p w14:paraId="7CD83F77">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车</w:t>
            </w:r>
          </w:p>
        </w:tc>
        <w:tc>
          <w:tcPr>
            <w:tcW w:w="1991" w:type="dxa"/>
          </w:tcPr>
          <w:p w14:paraId="78C8E468">
            <w:pPr>
              <w:widowControl/>
              <w:snapToGrid w:val="0"/>
              <w:spacing w:line="240" w:lineRule="auto"/>
              <w:ind w:firstLine="0" w:firstLineChars="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300</w:t>
            </w:r>
          </w:p>
        </w:tc>
      </w:tr>
      <w:tr w14:paraId="53A0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47BCB094">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超运距费用</w:t>
            </w:r>
          </w:p>
        </w:tc>
        <w:tc>
          <w:tcPr>
            <w:tcW w:w="1991" w:type="dxa"/>
            <w:vAlign w:val="center"/>
          </w:tcPr>
          <w:p w14:paraId="5227AE8C">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超出20公里每增加1公里</w:t>
            </w:r>
          </w:p>
        </w:tc>
        <w:tc>
          <w:tcPr>
            <w:tcW w:w="1991" w:type="dxa"/>
            <w:vAlign w:val="center"/>
          </w:tcPr>
          <w:p w14:paraId="4182CF4F">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10000</w:t>
            </w:r>
          </w:p>
        </w:tc>
        <w:tc>
          <w:tcPr>
            <w:tcW w:w="1991" w:type="dxa"/>
            <w:vAlign w:val="center"/>
          </w:tcPr>
          <w:p w14:paraId="5300309B">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991" w:type="dxa"/>
            <w:vAlign w:val="center"/>
          </w:tcPr>
          <w:p w14:paraId="29B25166">
            <w:pPr>
              <w:widowControl/>
              <w:snapToGrid w:val="0"/>
              <w:spacing w:line="240" w:lineRule="auto"/>
              <w:ind w:firstLine="0" w:firstLineChars="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1.4</w:t>
            </w:r>
          </w:p>
        </w:tc>
      </w:tr>
    </w:tbl>
    <w:p w14:paraId="2BBB8226">
      <w:pPr>
        <w:ind w:firstLine="560"/>
        <w:rPr>
          <w:sz w:val="28"/>
          <w:highlight w:val="none"/>
        </w:rPr>
      </w:pPr>
    </w:p>
    <w:p w14:paraId="6B4C66D4">
      <w:pPr>
        <w:pStyle w:val="18"/>
        <w:spacing w:beforeAutospacing="0" w:afterAutospacing="0"/>
        <w:ind w:firstLine="560"/>
        <w:jc w:val="both"/>
        <w:rPr>
          <w:kern w:val="2"/>
          <w:sz w:val="28"/>
        </w:rPr>
      </w:pPr>
      <w:r>
        <w:rPr>
          <w:rFonts w:hint="eastAsia"/>
          <w:kern w:val="2"/>
          <w:sz w:val="28"/>
          <w:lang w:val="en-US" w:eastAsia="zh-CN"/>
        </w:rPr>
        <w:t>2</w:t>
      </w:r>
      <w:r>
        <w:rPr>
          <w:rFonts w:hint="eastAsia"/>
          <w:kern w:val="2"/>
          <w:sz w:val="28"/>
        </w:rPr>
        <w:t>.本项目不统一组织现场考察，申请人须根据采购人提供的位置信息自行安排考察，并有责任收集一切有关编制报价和签订合同所必须的资料，现场考察费用由申请人自行承担。申请人被视为充分了解本项目所在地与履行合同有关的各种情况，包括工程施工环境、气候条件、劳动力及公用设施、交货地点、运输线路及路况（含工地施工便道）等。</w:t>
      </w:r>
    </w:p>
    <w:p w14:paraId="6D11D012">
      <w:pPr>
        <w:pStyle w:val="18"/>
        <w:spacing w:beforeAutospacing="0" w:afterAutospacing="0"/>
        <w:ind w:firstLine="560"/>
        <w:jc w:val="both"/>
        <w:rPr>
          <w:kern w:val="2"/>
          <w:sz w:val="28"/>
        </w:rPr>
      </w:pPr>
      <w:r>
        <w:rPr>
          <w:rFonts w:hint="eastAsia"/>
          <w:kern w:val="2"/>
          <w:sz w:val="28"/>
          <w:lang w:val="en-US" w:eastAsia="zh-CN"/>
        </w:rPr>
        <w:t>3</w:t>
      </w:r>
      <w:r>
        <w:rPr>
          <w:rFonts w:hint="eastAsia"/>
          <w:kern w:val="2"/>
          <w:sz w:val="28"/>
        </w:rPr>
        <w:t>.申请人须填报所有物资报价，未填报视为不合格。</w:t>
      </w:r>
    </w:p>
    <w:p w14:paraId="5F682285">
      <w:pPr>
        <w:pStyle w:val="18"/>
        <w:numPr>
          <w:ilvl w:val="0"/>
          <w:numId w:val="2"/>
        </w:numPr>
        <w:spacing w:beforeAutospacing="0" w:afterAutospacing="0"/>
        <w:ind w:firstLine="560"/>
        <w:jc w:val="both"/>
        <w:outlineLvl w:val="1"/>
        <w:rPr>
          <w:rFonts w:ascii="黑体" w:hAnsi="黑体" w:eastAsia="黑体" w:cs="黑体"/>
          <w:kern w:val="2"/>
          <w:sz w:val="28"/>
        </w:rPr>
      </w:pPr>
      <w:bookmarkStart w:id="6" w:name="_Toc24059"/>
      <w:bookmarkStart w:id="7" w:name="_Toc7134"/>
      <w:r>
        <w:rPr>
          <w:rFonts w:hint="eastAsia" w:ascii="黑体" w:hAnsi="黑体" w:eastAsia="黑体" w:cs="黑体"/>
          <w:kern w:val="2"/>
          <w:sz w:val="28"/>
        </w:rPr>
        <w:t>申请人</w:t>
      </w:r>
      <w:r>
        <w:rPr>
          <w:rFonts w:ascii="黑体" w:hAnsi="黑体" w:eastAsia="黑体" w:cs="黑体"/>
          <w:kern w:val="2"/>
          <w:sz w:val="28"/>
        </w:rPr>
        <w:t>资格条件要求</w:t>
      </w:r>
      <w:bookmarkEnd w:id="6"/>
      <w:bookmarkEnd w:id="7"/>
    </w:p>
    <w:p w14:paraId="39013C62">
      <w:pPr>
        <w:pStyle w:val="18"/>
        <w:numPr>
          <w:ilvl w:val="0"/>
          <w:numId w:val="3"/>
        </w:numPr>
        <w:spacing w:beforeAutospacing="0" w:afterAutospacing="0"/>
        <w:ind w:firstLine="560"/>
        <w:jc w:val="both"/>
        <w:rPr>
          <w:kern w:val="2"/>
          <w:sz w:val="28"/>
        </w:rPr>
      </w:pPr>
      <w:r>
        <w:rPr>
          <w:rFonts w:hint="eastAsia"/>
          <w:kern w:val="2"/>
          <w:sz w:val="28"/>
        </w:rPr>
        <w:t>申请人须具备</w:t>
      </w:r>
    </w:p>
    <w:p w14:paraId="7F763CEF">
      <w:pPr>
        <w:pStyle w:val="18"/>
        <w:spacing w:beforeAutospacing="0" w:afterAutospacing="0"/>
        <w:ind w:firstLine="560"/>
        <w:jc w:val="both"/>
        <w:rPr>
          <w:rFonts w:hint="default" w:eastAsia="仿宋_GB2312"/>
          <w:color w:val="auto"/>
          <w:kern w:val="2"/>
          <w:sz w:val="28"/>
          <w:lang w:val="en-US" w:eastAsia="zh-CN"/>
        </w:rPr>
      </w:pPr>
      <w:r>
        <w:rPr>
          <w:rFonts w:hint="eastAsia"/>
          <w:kern w:val="2"/>
          <w:sz w:val="28"/>
        </w:rPr>
        <w:t>1.资质要求：申请人为中华人民共和国境内依法注册、具有法人资格，具有合法、有效的营业执照（三证合一）证件</w:t>
      </w:r>
      <w:r>
        <w:rPr>
          <w:rFonts w:hint="eastAsia"/>
          <w:kern w:val="2"/>
          <w:sz w:val="28"/>
          <w:lang w:eastAsia="zh-CN"/>
        </w:rPr>
        <w:t>，</w:t>
      </w:r>
      <w:r>
        <w:rPr>
          <w:rFonts w:hint="eastAsia"/>
          <w:color w:val="auto"/>
          <w:kern w:val="2"/>
          <w:sz w:val="28"/>
          <w:lang w:val="en-US" w:eastAsia="zh-CN"/>
        </w:rPr>
        <w:t>需为实体生产型企业或取得实体生产企业针对本次加工事业部物资公开询价采购项目（三）唯一授权书的贸易企业。</w:t>
      </w:r>
    </w:p>
    <w:p w14:paraId="760CAC02">
      <w:pPr>
        <w:pStyle w:val="18"/>
        <w:spacing w:beforeAutospacing="0" w:afterAutospacing="0"/>
        <w:ind w:firstLine="560"/>
        <w:jc w:val="both"/>
        <w:rPr>
          <w:kern w:val="2"/>
          <w:sz w:val="28"/>
        </w:rPr>
      </w:pPr>
      <w:r>
        <w:rPr>
          <w:rFonts w:hint="eastAsia"/>
          <w:kern w:val="2"/>
          <w:sz w:val="28"/>
        </w:rPr>
        <w:t>2.材料要求：满足国家最新质量标准要求。</w:t>
      </w:r>
    </w:p>
    <w:p w14:paraId="5F2FCD6C">
      <w:pPr>
        <w:pStyle w:val="18"/>
        <w:wordWrap w:val="0"/>
        <w:spacing w:beforeAutospacing="0" w:afterAutospacing="0"/>
        <w:ind w:firstLine="560"/>
        <w:jc w:val="both"/>
        <w:rPr>
          <w:kern w:val="2"/>
          <w:sz w:val="28"/>
        </w:rPr>
      </w:pPr>
      <w:r>
        <w:rPr>
          <w:rFonts w:hint="eastAsia"/>
          <w:kern w:val="2"/>
          <w:sz w:val="28"/>
        </w:rPr>
        <w:t>3.信誉要求：</w:t>
      </w:r>
      <w:r>
        <w:rPr>
          <w:kern w:val="2"/>
          <w:sz w:val="28"/>
        </w:rPr>
        <w:t>申请人及其法定代表人近三年无行贿犯罪记录，以中国裁判文书网(www.court.gov.cn/wenshu.huml)查询结果为准；未被列入“国家企业信用信息公示系统”中严重违法失信企业名单，未被列入“信用中国”网站中失信被执行人名单（以“国家企业信用信息公示系统”http://www.gsxt.gov.cn/index.html和“信用中国”www.creditchina.gov.cn网站查询结果为准</w:t>
      </w:r>
      <w:r>
        <w:rPr>
          <w:rFonts w:hint="eastAsia"/>
          <w:kern w:val="2"/>
          <w:sz w:val="28"/>
        </w:rPr>
        <w:t>）</w:t>
      </w:r>
      <w:r>
        <w:rPr>
          <w:kern w:val="2"/>
          <w:sz w:val="28"/>
        </w:rPr>
        <w:t>，须提供网页查询截图、信用截图或信用报告，且查询时间为本项目</w:t>
      </w:r>
      <w:r>
        <w:rPr>
          <w:rFonts w:hint="eastAsia"/>
          <w:kern w:val="2"/>
          <w:sz w:val="28"/>
        </w:rPr>
        <w:t>采购</w:t>
      </w:r>
      <w:r>
        <w:rPr>
          <w:kern w:val="2"/>
          <w:sz w:val="28"/>
        </w:rPr>
        <w:t>公告发布之日起至</w:t>
      </w:r>
      <w:r>
        <w:rPr>
          <w:rFonts w:hint="eastAsia"/>
          <w:kern w:val="2"/>
          <w:sz w:val="28"/>
        </w:rPr>
        <w:t>报价</w:t>
      </w:r>
      <w:r>
        <w:rPr>
          <w:kern w:val="2"/>
          <w:sz w:val="28"/>
        </w:rPr>
        <w:t>截止时间前，如相关失信记录已失效，申请人须提供相关证明资料；如无，被列入上述名单的申请人报价将被否决。</w:t>
      </w:r>
    </w:p>
    <w:p w14:paraId="47E89C73">
      <w:pPr>
        <w:pStyle w:val="18"/>
        <w:spacing w:beforeAutospacing="0" w:afterAutospacing="0"/>
        <w:ind w:firstLine="560"/>
        <w:jc w:val="both"/>
        <w:rPr>
          <w:kern w:val="2"/>
          <w:sz w:val="28"/>
        </w:rPr>
      </w:pPr>
      <w:r>
        <w:rPr>
          <w:rFonts w:hint="eastAsia"/>
          <w:kern w:val="2"/>
          <w:sz w:val="28"/>
        </w:rPr>
        <w:t>（二）本项目不接受联合体。</w:t>
      </w:r>
    </w:p>
    <w:p w14:paraId="41C6B70D">
      <w:pPr>
        <w:pStyle w:val="18"/>
        <w:spacing w:beforeAutospacing="0" w:afterAutospacing="0"/>
        <w:ind w:firstLine="560"/>
        <w:jc w:val="both"/>
        <w:rPr>
          <w:kern w:val="2"/>
          <w:sz w:val="28"/>
        </w:rPr>
      </w:pPr>
      <w:r>
        <w:rPr>
          <w:rFonts w:hint="eastAsia"/>
          <w:kern w:val="2"/>
          <w:sz w:val="28"/>
        </w:rPr>
        <w:t>（三）单位负责人为同一人或者存在控股、管理关系的不同单位，不得进行同一包件报价，否则，相关报价均被否决。</w:t>
      </w:r>
    </w:p>
    <w:p w14:paraId="7F694E4D">
      <w:pPr>
        <w:pStyle w:val="18"/>
        <w:spacing w:beforeAutospacing="0" w:afterAutospacing="0"/>
        <w:ind w:firstLine="560"/>
        <w:jc w:val="both"/>
        <w:rPr>
          <w:kern w:val="2"/>
          <w:sz w:val="28"/>
        </w:rPr>
      </w:pPr>
      <w:r>
        <w:rPr>
          <w:rFonts w:hint="eastAsia"/>
          <w:kern w:val="2"/>
          <w:sz w:val="28"/>
        </w:rPr>
        <w:t>（四）近两年与采购人就上述包件签订临时供货合同的申请人免于资格审查，但仍须递交申请文件备案。</w:t>
      </w:r>
    </w:p>
    <w:p w14:paraId="05EDE559">
      <w:pPr>
        <w:pStyle w:val="18"/>
        <w:numPr>
          <w:ilvl w:val="0"/>
          <w:numId w:val="2"/>
        </w:numPr>
        <w:spacing w:beforeAutospacing="0" w:afterAutospacing="0"/>
        <w:ind w:firstLine="560"/>
        <w:jc w:val="both"/>
        <w:outlineLvl w:val="1"/>
        <w:rPr>
          <w:rFonts w:ascii="黑体" w:hAnsi="黑体" w:eastAsia="黑体" w:cs="黑体"/>
          <w:kern w:val="2"/>
          <w:sz w:val="28"/>
        </w:rPr>
      </w:pPr>
      <w:bookmarkStart w:id="8" w:name="_Toc10221"/>
      <w:r>
        <w:rPr>
          <w:rFonts w:hint="eastAsia" w:ascii="黑体" w:hAnsi="黑体" w:eastAsia="黑体" w:cs="黑体"/>
          <w:kern w:val="2"/>
          <w:sz w:val="28"/>
        </w:rPr>
        <w:t>报名方式</w:t>
      </w:r>
      <w:bookmarkEnd w:id="8"/>
    </w:p>
    <w:p w14:paraId="12844719">
      <w:pPr>
        <w:pStyle w:val="18"/>
        <w:spacing w:beforeAutospacing="0" w:afterAutospacing="0"/>
        <w:ind w:firstLine="560"/>
        <w:jc w:val="both"/>
        <w:rPr>
          <w:kern w:val="2"/>
          <w:sz w:val="28"/>
          <w:highlight w:val="none"/>
        </w:rPr>
      </w:pPr>
      <w:r>
        <w:rPr>
          <w:rFonts w:hint="eastAsia"/>
          <w:kern w:val="2"/>
          <w:sz w:val="28"/>
        </w:rPr>
        <w:t>（一）</w:t>
      </w:r>
      <w:r>
        <w:rPr>
          <w:rFonts w:hint="eastAsia"/>
          <w:kern w:val="2"/>
          <w:sz w:val="28"/>
          <w:highlight w:val="none"/>
        </w:rPr>
        <w:t>报名时间：</w:t>
      </w:r>
      <w:r>
        <w:rPr>
          <w:kern w:val="2"/>
          <w:sz w:val="28"/>
          <w:highlight w:val="none"/>
        </w:rPr>
        <w:t>202</w:t>
      </w:r>
      <w:r>
        <w:rPr>
          <w:rFonts w:hint="eastAsia"/>
          <w:kern w:val="2"/>
          <w:sz w:val="28"/>
          <w:highlight w:val="none"/>
        </w:rPr>
        <w:t>5</w:t>
      </w:r>
      <w:r>
        <w:rPr>
          <w:kern w:val="2"/>
          <w:sz w:val="28"/>
          <w:highlight w:val="none"/>
        </w:rPr>
        <w:t>年</w:t>
      </w:r>
      <w:r>
        <w:rPr>
          <w:rFonts w:hint="eastAsia"/>
          <w:color w:val="auto"/>
          <w:kern w:val="2"/>
          <w:sz w:val="28"/>
          <w:highlight w:val="none"/>
          <w:lang w:val="en-US" w:eastAsia="zh-CN"/>
        </w:rPr>
        <w:t>10</w:t>
      </w:r>
      <w:r>
        <w:rPr>
          <w:kern w:val="2"/>
          <w:sz w:val="28"/>
          <w:highlight w:val="none"/>
        </w:rPr>
        <w:t>月</w:t>
      </w:r>
      <w:r>
        <w:rPr>
          <w:rFonts w:hint="eastAsia"/>
          <w:kern w:val="2"/>
          <w:sz w:val="28"/>
          <w:highlight w:val="none"/>
          <w:lang w:val="en-US" w:eastAsia="zh-CN"/>
        </w:rPr>
        <w:t>21</w:t>
      </w:r>
      <w:r>
        <w:rPr>
          <w:kern w:val="2"/>
          <w:sz w:val="28"/>
          <w:highlight w:val="none"/>
        </w:rPr>
        <w:t>日</w:t>
      </w:r>
      <w:r>
        <w:rPr>
          <w:rFonts w:hint="eastAsia"/>
          <w:kern w:val="2"/>
          <w:sz w:val="28"/>
          <w:highlight w:val="none"/>
          <w:lang w:val="en-US" w:eastAsia="zh-CN"/>
        </w:rPr>
        <w:t>9</w:t>
      </w:r>
      <w:r>
        <w:rPr>
          <w:rFonts w:hint="eastAsia"/>
          <w:kern w:val="2"/>
          <w:sz w:val="28"/>
          <w:highlight w:val="none"/>
        </w:rPr>
        <w:t>时</w:t>
      </w:r>
      <w:r>
        <w:rPr>
          <w:rFonts w:hint="eastAsia"/>
          <w:kern w:val="2"/>
          <w:sz w:val="28"/>
          <w:highlight w:val="none"/>
          <w:lang w:val="en-US" w:eastAsia="zh-CN"/>
        </w:rPr>
        <w:t>00</w:t>
      </w:r>
      <w:r>
        <w:rPr>
          <w:rFonts w:hint="eastAsia"/>
          <w:kern w:val="2"/>
          <w:sz w:val="28"/>
          <w:highlight w:val="none"/>
        </w:rPr>
        <w:t>分</w:t>
      </w:r>
      <w:r>
        <w:rPr>
          <w:kern w:val="2"/>
          <w:sz w:val="28"/>
          <w:highlight w:val="none"/>
        </w:rPr>
        <w:t>至202</w:t>
      </w:r>
      <w:r>
        <w:rPr>
          <w:rFonts w:hint="eastAsia"/>
          <w:kern w:val="2"/>
          <w:sz w:val="28"/>
          <w:highlight w:val="none"/>
        </w:rPr>
        <w:t>5</w:t>
      </w:r>
      <w:r>
        <w:rPr>
          <w:kern w:val="2"/>
          <w:sz w:val="28"/>
          <w:highlight w:val="none"/>
        </w:rPr>
        <w:t>年</w:t>
      </w:r>
      <w:r>
        <w:rPr>
          <w:rFonts w:hint="eastAsia"/>
          <w:kern w:val="2"/>
          <w:sz w:val="28"/>
          <w:highlight w:val="none"/>
          <w:lang w:val="en-US" w:eastAsia="zh-CN"/>
        </w:rPr>
        <w:t>10</w:t>
      </w:r>
      <w:r>
        <w:rPr>
          <w:kern w:val="2"/>
          <w:sz w:val="28"/>
          <w:highlight w:val="none"/>
        </w:rPr>
        <w:t>月</w:t>
      </w:r>
      <w:r>
        <w:rPr>
          <w:rFonts w:hint="eastAsia"/>
          <w:kern w:val="2"/>
          <w:sz w:val="28"/>
          <w:highlight w:val="none"/>
          <w:lang w:val="en-US" w:eastAsia="zh-CN"/>
        </w:rPr>
        <w:t>23</w:t>
      </w:r>
      <w:r>
        <w:rPr>
          <w:kern w:val="2"/>
          <w:sz w:val="28"/>
          <w:highlight w:val="none"/>
        </w:rPr>
        <w:t>日</w:t>
      </w:r>
      <w:r>
        <w:rPr>
          <w:rFonts w:hint="eastAsia"/>
          <w:kern w:val="2"/>
          <w:sz w:val="28"/>
          <w:highlight w:val="none"/>
          <w:lang w:val="en-US" w:eastAsia="zh-CN"/>
        </w:rPr>
        <w:t>17</w:t>
      </w:r>
      <w:r>
        <w:rPr>
          <w:kern w:val="2"/>
          <w:sz w:val="28"/>
          <w:highlight w:val="none"/>
        </w:rPr>
        <w:t>时</w:t>
      </w:r>
      <w:r>
        <w:rPr>
          <w:rFonts w:hint="eastAsia"/>
          <w:kern w:val="2"/>
          <w:sz w:val="28"/>
          <w:highlight w:val="none"/>
          <w:lang w:val="en-US" w:eastAsia="zh-CN"/>
        </w:rPr>
        <w:t>30</w:t>
      </w:r>
      <w:r>
        <w:rPr>
          <w:rFonts w:hint="eastAsia"/>
          <w:kern w:val="2"/>
          <w:sz w:val="28"/>
          <w:highlight w:val="none"/>
        </w:rPr>
        <w:t>分（报名截止时间）。</w:t>
      </w:r>
    </w:p>
    <w:p w14:paraId="0F9E6279">
      <w:pPr>
        <w:pStyle w:val="18"/>
        <w:spacing w:beforeAutospacing="0" w:afterAutospacing="0"/>
        <w:ind w:firstLine="560"/>
        <w:jc w:val="both"/>
        <w:rPr>
          <w:kern w:val="2"/>
          <w:sz w:val="28"/>
          <w:highlight w:val="none"/>
        </w:rPr>
      </w:pPr>
      <w:r>
        <w:rPr>
          <w:rFonts w:hint="eastAsia"/>
          <w:kern w:val="2"/>
          <w:sz w:val="28"/>
          <w:highlight w:val="none"/>
        </w:rPr>
        <w:t>（二）递交申请：申请人在报名截止时间以前按照附件一格式编制申请文件并逐页盖章，扫描成PDF发送至采购人指定邮箱sdwl2023@163.com。</w:t>
      </w:r>
    </w:p>
    <w:p w14:paraId="4A347AF9">
      <w:pPr>
        <w:pStyle w:val="18"/>
        <w:numPr>
          <w:ilvl w:val="0"/>
          <w:numId w:val="2"/>
        </w:numPr>
        <w:spacing w:beforeAutospacing="0" w:afterAutospacing="0"/>
        <w:ind w:firstLine="560"/>
        <w:jc w:val="both"/>
        <w:outlineLvl w:val="1"/>
        <w:rPr>
          <w:rFonts w:ascii="黑体" w:hAnsi="黑体" w:eastAsia="黑体" w:cs="黑体"/>
          <w:kern w:val="2"/>
          <w:sz w:val="28"/>
          <w:highlight w:val="none"/>
        </w:rPr>
      </w:pPr>
      <w:bookmarkStart w:id="9" w:name="_Toc16189"/>
      <w:bookmarkStart w:id="10" w:name="_Toc26542"/>
      <w:r>
        <w:rPr>
          <w:rFonts w:ascii="黑体" w:hAnsi="黑体" w:eastAsia="黑体" w:cs="黑体"/>
          <w:kern w:val="2"/>
          <w:sz w:val="28"/>
          <w:highlight w:val="none"/>
        </w:rPr>
        <w:t>报价文件的递交</w:t>
      </w:r>
      <w:bookmarkEnd w:id="9"/>
      <w:bookmarkEnd w:id="10"/>
    </w:p>
    <w:p w14:paraId="5A5E7314">
      <w:pPr>
        <w:pStyle w:val="18"/>
        <w:spacing w:beforeAutospacing="0" w:afterAutospacing="0"/>
        <w:ind w:firstLine="560"/>
        <w:jc w:val="both"/>
        <w:rPr>
          <w:kern w:val="2"/>
          <w:sz w:val="28"/>
          <w:highlight w:val="none"/>
        </w:rPr>
      </w:pPr>
      <w:r>
        <w:rPr>
          <w:rFonts w:hint="eastAsia"/>
          <w:kern w:val="2"/>
          <w:sz w:val="28"/>
          <w:highlight w:val="none"/>
        </w:rPr>
        <w:t>（一）</w:t>
      </w:r>
      <w:r>
        <w:rPr>
          <w:kern w:val="2"/>
          <w:sz w:val="28"/>
          <w:highlight w:val="none"/>
        </w:rPr>
        <w:t>报价文件递交时间</w:t>
      </w:r>
      <w:r>
        <w:rPr>
          <w:rFonts w:hint="eastAsia"/>
          <w:kern w:val="2"/>
          <w:sz w:val="28"/>
          <w:highlight w:val="none"/>
        </w:rPr>
        <w:t>：</w:t>
      </w:r>
      <w:r>
        <w:rPr>
          <w:kern w:val="2"/>
          <w:sz w:val="28"/>
          <w:highlight w:val="none"/>
        </w:rPr>
        <w:t>202</w:t>
      </w:r>
      <w:r>
        <w:rPr>
          <w:rFonts w:hint="eastAsia"/>
          <w:kern w:val="2"/>
          <w:sz w:val="28"/>
          <w:highlight w:val="none"/>
        </w:rPr>
        <w:t>5</w:t>
      </w:r>
      <w:r>
        <w:rPr>
          <w:kern w:val="2"/>
          <w:sz w:val="28"/>
          <w:highlight w:val="none"/>
        </w:rPr>
        <w:t>年</w:t>
      </w:r>
      <w:r>
        <w:rPr>
          <w:rFonts w:hint="eastAsia"/>
          <w:kern w:val="2"/>
          <w:sz w:val="28"/>
          <w:highlight w:val="none"/>
          <w:lang w:val="en-US" w:eastAsia="zh-CN"/>
        </w:rPr>
        <w:t>10</w:t>
      </w:r>
      <w:r>
        <w:rPr>
          <w:kern w:val="2"/>
          <w:sz w:val="28"/>
          <w:highlight w:val="none"/>
        </w:rPr>
        <w:t>月</w:t>
      </w:r>
      <w:r>
        <w:rPr>
          <w:rFonts w:hint="eastAsia"/>
          <w:kern w:val="2"/>
          <w:sz w:val="28"/>
          <w:highlight w:val="none"/>
          <w:lang w:val="en-US" w:eastAsia="zh-CN"/>
        </w:rPr>
        <w:t>23</w:t>
      </w:r>
      <w:r>
        <w:rPr>
          <w:kern w:val="2"/>
          <w:sz w:val="28"/>
          <w:highlight w:val="none"/>
        </w:rPr>
        <w:t>日</w:t>
      </w:r>
      <w:r>
        <w:rPr>
          <w:rFonts w:hint="eastAsia"/>
          <w:kern w:val="2"/>
          <w:sz w:val="28"/>
          <w:highlight w:val="none"/>
          <w:lang w:val="en-US" w:eastAsia="zh-CN"/>
        </w:rPr>
        <w:t>17</w:t>
      </w:r>
      <w:r>
        <w:rPr>
          <w:rFonts w:hint="eastAsia"/>
          <w:kern w:val="2"/>
          <w:sz w:val="28"/>
          <w:highlight w:val="none"/>
        </w:rPr>
        <w:t>时</w:t>
      </w:r>
      <w:r>
        <w:rPr>
          <w:rFonts w:hint="eastAsia"/>
          <w:kern w:val="2"/>
          <w:sz w:val="28"/>
          <w:highlight w:val="none"/>
          <w:lang w:val="en-US" w:eastAsia="zh-CN"/>
        </w:rPr>
        <w:t>30</w:t>
      </w:r>
      <w:r>
        <w:rPr>
          <w:rFonts w:hint="eastAsia"/>
          <w:kern w:val="2"/>
          <w:sz w:val="28"/>
          <w:highlight w:val="none"/>
        </w:rPr>
        <w:t>分</w:t>
      </w:r>
      <w:r>
        <w:rPr>
          <w:kern w:val="2"/>
          <w:sz w:val="28"/>
          <w:highlight w:val="none"/>
        </w:rPr>
        <w:t>（</w:t>
      </w:r>
      <w:r>
        <w:rPr>
          <w:rFonts w:hint="eastAsia"/>
          <w:kern w:val="2"/>
          <w:sz w:val="28"/>
          <w:highlight w:val="none"/>
        </w:rPr>
        <w:t>报价</w:t>
      </w:r>
      <w:r>
        <w:rPr>
          <w:kern w:val="2"/>
          <w:sz w:val="28"/>
          <w:highlight w:val="none"/>
        </w:rPr>
        <w:t>截止时间）。</w:t>
      </w:r>
    </w:p>
    <w:p w14:paraId="7471B12F">
      <w:pPr>
        <w:pStyle w:val="18"/>
        <w:spacing w:beforeAutospacing="0" w:afterAutospacing="0"/>
        <w:ind w:firstLine="560"/>
        <w:jc w:val="both"/>
        <w:rPr>
          <w:kern w:val="2"/>
          <w:sz w:val="28"/>
          <w:highlight w:val="none"/>
        </w:rPr>
      </w:pPr>
      <w:r>
        <w:rPr>
          <w:rFonts w:hint="eastAsia"/>
          <w:kern w:val="2"/>
          <w:sz w:val="28"/>
          <w:highlight w:val="none"/>
        </w:rPr>
        <w:t>（二）报价文件递交方式：</w:t>
      </w:r>
      <w:r>
        <w:rPr>
          <w:highlight w:val="none"/>
        </w:rPr>
        <w:fldChar w:fldCharType="begin"/>
      </w:r>
      <w:r>
        <w:rPr>
          <w:highlight w:val="none"/>
        </w:rPr>
        <w:instrText xml:space="preserve"> HYPERLINK "mailto:1.线上递交。申请人须通过邮件定时发送至采购人邮箱（sdwl2023@163.com）。" </w:instrText>
      </w:r>
      <w:r>
        <w:rPr>
          <w:highlight w:val="none"/>
        </w:rPr>
        <w:fldChar w:fldCharType="separate"/>
      </w:r>
      <w:r>
        <w:rPr>
          <w:rFonts w:hint="eastAsia"/>
          <w:kern w:val="2"/>
          <w:sz w:val="28"/>
          <w:highlight w:val="none"/>
        </w:rPr>
        <w:t>申请人须通过邮件</w:t>
      </w:r>
      <w:r>
        <w:rPr>
          <w:rFonts w:hint="eastAsia"/>
          <w:b w:val="0"/>
          <w:bCs w:val="0"/>
          <w:kern w:val="2"/>
          <w:sz w:val="28"/>
          <w:highlight w:val="none"/>
        </w:rPr>
        <w:t>定时（邮件发送时间设置为报价截止时间）</w:t>
      </w:r>
      <w:r>
        <w:rPr>
          <w:rFonts w:hint="eastAsia"/>
          <w:kern w:val="2"/>
          <w:sz w:val="28"/>
          <w:highlight w:val="none"/>
        </w:rPr>
        <w:t>发送至采购人邮箱</w:t>
      </w:r>
      <w:r>
        <w:rPr>
          <w:kern w:val="2"/>
          <w:sz w:val="28"/>
          <w:highlight w:val="none"/>
        </w:rPr>
        <w:t>sdwl2023@163.com</w:t>
      </w:r>
      <w:r>
        <w:rPr>
          <w:rFonts w:hint="eastAsia"/>
          <w:kern w:val="2"/>
          <w:sz w:val="28"/>
          <w:highlight w:val="none"/>
        </w:rPr>
        <w:t>。</w:t>
      </w:r>
      <w:r>
        <w:rPr>
          <w:rFonts w:hint="eastAsia"/>
          <w:kern w:val="2"/>
          <w:sz w:val="28"/>
          <w:highlight w:val="none"/>
        </w:rPr>
        <w:fldChar w:fldCharType="end"/>
      </w:r>
    </w:p>
    <w:p w14:paraId="48A75FFE">
      <w:pPr>
        <w:pStyle w:val="18"/>
        <w:spacing w:beforeAutospacing="0" w:afterAutospacing="0"/>
        <w:ind w:firstLine="560"/>
        <w:jc w:val="both"/>
        <w:rPr>
          <w:kern w:val="2"/>
          <w:sz w:val="28"/>
        </w:rPr>
      </w:pPr>
      <w:r>
        <w:rPr>
          <w:rFonts w:hint="eastAsia"/>
          <w:kern w:val="2"/>
          <w:sz w:val="28"/>
        </w:rPr>
        <w:t>（三）邮件发送时间早于或晚于报价截止时间的报价文件，</w:t>
      </w:r>
      <w:r>
        <w:rPr>
          <w:kern w:val="2"/>
          <w:sz w:val="28"/>
        </w:rPr>
        <w:t>采购人</w:t>
      </w:r>
      <w:r>
        <w:rPr>
          <w:rFonts w:hint="eastAsia"/>
          <w:kern w:val="2"/>
          <w:sz w:val="28"/>
        </w:rPr>
        <w:t>有权</w:t>
      </w:r>
      <w:r>
        <w:rPr>
          <w:kern w:val="2"/>
          <w:sz w:val="28"/>
        </w:rPr>
        <w:t>予以拒收。</w:t>
      </w:r>
    </w:p>
    <w:p w14:paraId="581A804B">
      <w:pPr>
        <w:pStyle w:val="18"/>
        <w:numPr>
          <w:ilvl w:val="0"/>
          <w:numId w:val="2"/>
        </w:numPr>
        <w:spacing w:beforeAutospacing="0" w:afterAutospacing="0"/>
        <w:ind w:firstLine="560"/>
        <w:jc w:val="both"/>
        <w:outlineLvl w:val="1"/>
        <w:rPr>
          <w:rFonts w:ascii="黑体" w:hAnsi="黑体" w:eastAsia="黑体" w:cs="黑体"/>
          <w:kern w:val="2"/>
          <w:sz w:val="28"/>
        </w:rPr>
      </w:pPr>
      <w:bookmarkStart w:id="11" w:name="_Toc2457"/>
      <w:bookmarkStart w:id="12" w:name="_Toc18113"/>
      <w:r>
        <w:rPr>
          <w:rFonts w:ascii="黑体" w:hAnsi="黑体" w:eastAsia="黑体" w:cs="黑体"/>
          <w:kern w:val="2"/>
          <w:sz w:val="28"/>
        </w:rPr>
        <w:t>联系方式</w:t>
      </w:r>
      <w:bookmarkEnd w:id="11"/>
      <w:bookmarkEnd w:id="12"/>
    </w:p>
    <w:p w14:paraId="0BB8A21A">
      <w:pPr>
        <w:pStyle w:val="18"/>
        <w:spacing w:beforeAutospacing="0" w:afterAutospacing="0" w:line="540" w:lineRule="exact"/>
        <w:ind w:firstLine="560"/>
        <w:jc w:val="both"/>
        <w:rPr>
          <w:kern w:val="2"/>
          <w:sz w:val="28"/>
        </w:rPr>
      </w:pPr>
      <w:r>
        <w:rPr>
          <w:rFonts w:hint="eastAsia"/>
          <w:kern w:val="2"/>
          <w:sz w:val="28"/>
        </w:rPr>
        <w:t>采购</w:t>
      </w:r>
      <w:r>
        <w:rPr>
          <w:kern w:val="2"/>
          <w:sz w:val="28"/>
        </w:rPr>
        <w:t>人：</w:t>
      </w:r>
      <w:r>
        <w:rPr>
          <w:rFonts w:hint="eastAsia"/>
          <w:kern w:val="2"/>
          <w:sz w:val="28"/>
        </w:rPr>
        <w:t>四川蜀物兴川物流发展有限公司</w:t>
      </w:r>
    </w:p>
    <w:p w14:paraId="452F85A7">
      <w:pPr>
        <w:pStyle w:val="18"/>
        <w:spacing w:beforeAutospacing="0" w:afterAutospacing="0" w:line="540" w:lineRule="exact"/>
        <w:ind w:firstLine="560"/>
        <w:jc w:val="both"/>
        <w:rPr>
          <w:kern w:val="2"/>
          <w:sz w:val="28"/>
        </w:rPr>
      </w:pPr>
      <w:r>
        <w:rPr>
          <w:kern w:val="2"/>
          <w:sz w:val="28"/>
        </w:rPr>
        <w:t>地  址：成都市青羊区光华北五路266号蜀道物流集团</w:t>
      </w:r>
      <w:r>
        <w:rPr>
          <w:rFonts w:hint="eastAsia"/>
          <w:kern w:val="2"/>
          <w:sz w:val="28"/>
        </w:rPr>
        <w:t>11</w:t>
      </w:r>
      <w:r>
        <w:rPr>
          <w:kern w:val="2"/>
          <w:sz w:val="28"/>
        </w:rPr>
        <w:t>楼</w:t>
      </w:r>
    </w:p>
    <w:p w14:paraId="4B273913">
      <w:pPr>
        <w:pStyle w:val="18"/>
        <w:spacing w:beforeAutospacing="0" w:afterAutospacing="0" w:line="540" w:lineRule="exact"/>
        <w:ind w:firstLine="560"/>
        <w:jc w:val="both"/>
        <w:rPr>
          <w:rFonts w:hint="default" w:eastAsia="仿宋_GB2312"/>
          <w:kern w:val="2"/>
          <w:sz w:val="28"/>
          <w:lang w:val="en-US" w:eastAsia="zh-CN"/>
        </w:rPr>
      </w:pPr>
      <w:r>
        <w:rPr>
          <w:kern w:val="2"/>
          <w:sz w:val="28"/>
        </w:rPr>
        <w:t>联系人：</w:t>
      </w:r>
      <w:r>
        <w:rPr>
          <w:rFonts w:hint="eastAsia"/>
          <w:kern w:val="2"/>
          <w:sz w:val="28"/>
          <w:lang w:val="en-US" w:eastAsia="zh-CN"/>
        </w:rPr>
        <w:t>李远博 19981490513</w:t>
      </w:r>
    </w:p>
    <w:p w14:paraId="3AC56CD6">
      <w:pPr>
        <w:pStyle w:val="18"/>
        <w:spacing w:beforeAutospacing="0" w:afterAutospacing="0" w:line="540" w:lineRule="exact"/>
        <w:ind w:firstLine="560"/>
        <w:jc w:val="both"/>
        <w:rPr>
          <w:kern w:val="2"/>
          <w:sz w:val="28"/>
        </w:rPr>
      </w:pPr>
      <w:r>
        <w:rPr>
          <w:rFonts w:hint="eastAsia"/>
          <w:kern w:val="2"/>
          <w:sz w:val="28"/>
        </w:rPr>
        <w:t>邮  箱</w:t>
      </w:r>
      <w:r>
        <w:rPr>
          <w:kern w:val="2"/>
          <w:sz w:val="28"/>
        </w:rPr>
        <w:t>：sdwl2023@163.com</w:t>
      </w:r>
    </w:p>
    <w:p w14:paraId="42ED2CE7">
      <w:pPr>
        <w:ind w:firstLine="560"/>
        <w:jc w:val="left"/>
        <w:rPr>
          <w:sz w:val="28"/>
        </w:rPr>
      </w:pPr>
      <w:r>
        <w:rPr>
          <w:sz w:val="28"/>
        </w:rPr>
        <w:br w:type="page"/>
      </w:r>
    </w:p>
    <w:p w14:paraId="30F7F0DA">
      <w:pPr>
        <w:ind w:firstLine="0" w:firstLineChars="0"/>
        <w:jc w:val="center"/>
        <w:rPr>
          <w:rFonts w:eastAsia="黑体"/>
          <w:szCs w:val="32"/>
        </w:rPr>
        <w:sectPr>
          <w:footerReference r:id="rId11" w:type="default"/>
          <w:pgSz w:w="11905" w:h="16838"/>
          <w:pgMar w:top="1440" w:right="1083" w:bottom="1440" w:left="1083" w:header="850" w:footer="992" w:gutter="0"/>
          <w:pgNumType w:start="1"/>
          <w:cols w:space="0" w:num="1"/>
          <w:docGrid w:type="lines" w:linePitch="436" w:charSpace="0"/>
        </w:sectPr>
      </w:pPr>
    </w:p>
    <w:p w14:paraId="66D1BFCA">
      <w:pPr>
        <w:numPr>
          <w:ilvl w:val="0"/>
          <w:numId w:val="1"/>
        </w:numPr>
        <w:ind w:firstLineChars="0"/>
        <w:jc w:val="center"/>
        <w:outlineLvl w:val="0"/>
        <w:rPr>
          <w:rFonts w:ascii="方正小标宋简体" w:hAnsi="方正小标宋简体" w:eastAsia="方正小标宋简体" w:cs="方正小标宋简体"/>
          <w:szCs w:val="32"/>
        </w:rPr>
      </w:pPr>
      <w:bookmarkStart w:id="13" w:name="_Toc2061"/>
      <w:r>
        <w:rPr>
          <w:rFonts w:hint="eastAsia" w:ascii="方正小标宋简体" w:hAnsi="方正小标宋简体" w:eastAsia="方正小标宋简体" w:cs="方正小标宋简体"/>
          <w:szCs w:val="32"/>
        </w:rPr>
        <w:t>申请人须知</w:t>
      </w:r>
      <w:bookmarkEnd w:id="13"/>
    </w:p>
    <w:p w14:paraId="17B79003">
      <w:pPr>
        <w:pStyle w:val="18"/>
        <w:spacing w:beforeAutospacing="0" w:afterAutospacing="0"/>
        <w:ind w:firstLine="0" w:firstLineChars="0"/>
        <w:jc w:val="both"/>
        <w:rPr>
          <w:rFonts w:ascii="黑体" w:hAnsi="黑体" w:eastAsia="黑体" w:cs="黑体"/>
          <w:kern w:val="2"/>
          <w:sz w:val="28"/>
        </w:rPr>
      </w:pPr>
      <w:bookmarkStart w:id="14" w:name="_bookmark13"/>
      <w:bookmarkEnd w:id="14"/>
      <w:bookmarkStart w:id="15" w:name="_bookmark14"/>
      <w:bookmarkEnd w:id="15"/>
      <w:bookmarkStart w:id="16" w:name="_bookmark11"/>
      <w:bookmarkEnd w:id="16"/>
      <w:bookmarkStart w:id="17" w:name="_Toc11495"/>
    </w:p>
    <w:bookmarkEnd w:id="17"/>
    <w:p w14:paraId="781C7E94">
      <w:pPr>
        <w:pStyle w:val="18"/>
        <w:numPr>
          <w:ilvl w:val="0"/>
          <w:numId w:val="4"/>
        </w:numPr>
        <w:spacing w:beforeAutospacing="0" w:afterAutospacing="0"/>
        <w:ind w:firstLine="560"/>
        <w:jc w:val="both"/>
        <w:outlineLvl w:val="1"/>
        <w:rPr>
          <w:rFonts w:ascii="黑体" w:hAnsi="黑体" w:eastAsia="黑体" w:cs="黑体"/>
          <w:kern w:val="2"/>
          <w:sz w:val="28"/>
        </w:rPr>
      </w:pPr>
      <w:bookmarkStart w:id="18" w:name="_Toc15375"/>
      <w:r>
        <w:rPr>
          <w:rFonts w:hint="eastAsia" w:ascii="黑体" w:hAnsi="黑体" w:eastAsia="黑体" w:cs="黑体"/>
          <w:kern w:val="2"/>
          <w:sz w:val="28"/>
        </w:rPr>
        <w:t>资料要求</w:t>
      </w:r>
      <w:bookmarkEnd w:id="18"/>
    </w:p>
    <w:p w14:paraId="7830FC82">
      <w:pPr>
        <w:pStyle w:val="18"/>
        <w:spacing w:beforeAutospacing="0" w:afterAutospacing="0"/>
        <w:ind w:firstLine="560"/>
        <w:jc w:val="both"/>
        <w:rPr>
          <w:kern w:val="2"/>
          <w:sz w:val="28"/>
        </w:rPr>
      </w:pPr>
      <w:r>
        <w:rPr>
          <w:rFonts w:hint="eastAsia"/>
          <w:kern w:val="2"/>
          <w:sz w:val="28"/>
        </w:rPr>
        <w:t>（一）申请文件1份：格式详见附件一。</w:t>
      </w:r>
    </w:p>
    <w:p w14:paraId="0A53F41A">
      <w:pPr>
        <w:pStyle w:val="18"/>
        <w:spacing w:beforeAutospacing="0" w:afterAutospacing="0"/>
        <w:ind w:firstLine="560"/>
        <w:jc w:val="both"/>
        <w:rPr>
          <w:kern w:val="2"/>
          <w:sz w:val="28"/>
        </w:rPr>
      </w:pPr>
      <w:r>
        <w:rPr>
          <w:rFonts w:hint="eastAsia"/>
          <w:kern w:val="2"/>
          <w:sz w:val="28"/>
        </w:rPr>
        <w:t>（二）报价文件1份：格式详见附件二。</w:t>
      </w:r>
    </w:p>
    <w:p w14:paraId="51C83A13">
      <w:pPr>
        <w:pStyle w:val="18"/>
        <w:spacing w:beforeAutospacing="0" w:afterAutospacing="0"/>
        <w:ind w:firstLine="560"/>
        <w:jc w:val="both"/>
        <w:rPr>
          <w:kern w:val="2"/>
          <w:sz w:val="28"/>
        </w:rPr>
      </w:pPr>
      <w:r>
        <w:rPr>
          <w:rFonts w:hint="eastAsia"/>
          <w:kern w:val="2"/>
          <w:sz w:val="28"/>
        </w:rPr>
        <w:t>（三）申请人须对上述文件逐页盖章，在被采购人确定为中选人以前仅需扫描成PDF文件并邮件递交；被采购人确定为中选人后，须将上述文件装订成册并按照采购人要求递交纸质文件。</w:t>
      </w:r>
    </w:p>
    <w:p w14:paraId="12A6E654">
      <w:pPr>
        <w:pStyle w:val="18"/>
        <w:numPr>
          <w:ilvl w:val="0"/>
          <w:numId w:val="4"/>
        </w:numPr>
        <w:spacing w:beforeAutospacing="0" w:afterAutospacing="0"/>
        <w:ind w:firstLine="560"/>
        <w:jc w:val="both"/>
        <w:outlineLvl w:val="1"/>
        <w:rPr>
          <w:rFonts w:ascii="黑体" w:hAnsi="黑体" w:eastAsia="黑体" w:cs="黑体"/>
          <w:kern w:val="2"/>
          <w:sz w:val="28"/>
        </w:rPr>
      </w:pPr>
      <w:bookmarkStart w:id="19" w:name="_Toc31242"/>
      <w:r>
        <w:rPr>
          <w:rFonts w:hint="eastAsia" w:ascii="黑体" w:hAnsi="黑体" w:eastAsia="黑体" w:cs="黑体"/>
          <w:kern w:val="2"/>
          <w:sz w:val="28"/>
        </w:rPr>
        <w:t>确定中选人</w:t>
      </w:r>
      <w:bookmarkEnd w:id="19"/>
    </w:p>
    <w:p w14:paraId="27DEE482">
      <w:pPr>
        <w:pStyle w:val="18"/>
        <w:spacing w:beforeAutospacing="0" w:afterAutospacing="0"/>
        <w:ind w:firstLine="560"/>
        <w:jc w:val="both"/>
        <w:rPr>
          <w:kern w:val="2"/>
          <w:sz w:val="28"/>
        </w:rPr>
      </w:pPr>
      <w:r>
        <w:rPr>
          <w:rFonts w:hint="eastAsia"/>
          <w:kern w:val="2"/>
          <w:sz w:val="28"/>
        </w:rPr>
        <w:t>（一）申请人</w:t>
      </w:r>
      <w:r>
        <w:rPr>
          <w:kern w:val="2"/>
          <w:sz w:val="28"/>
        </w:rPr>
        <w:t>应当对有关</w:t>
      </w:r>
      <w:r>
        <w:rPr>
          <w:rFonts w:hint="eastAsia"/>
          <w:kern w:val="2"/>
          <w:sz w:val="28"/>
        </w:rPr>
        <w:t>服务</w:t>
      </w:r>
      <w:r>
        <w:rPr>
          <w:kern w:val="2"/>
          <w:sz w:val="28"/>
        </w:rPr>
        <w:t>期、</w:t>
      </w:r>
      <w:r>
        <w:rPr>
          <w:rFonts w:hint="eastAsia"/>
          <w:kern w:val="2"/>
          <w:sz w:val="28"/>
        </w:rPr>
        <w:t>报价限价、报价</w:t>
      </w:r>
      <w:r>
        <w:rPr>
          <w:kern w:val="2"/>
          <w:sz w:val="28"/>
        </w:rPr>
        <w:t>有效期、</w:t>
      </w:r>
      <w:r>
        <w:rPr>
          <w:rFonts w:hint="eastAsia"/>
          <w:kern w:val="2"/>
          <w:sz w:val="28"/>
        </w:rPr>
        <w:t>采购</w:t>
      </w:r>
      <w:r>
        <w:rPr>
          <w:kern w:val="2"/>
          <w:sz w:val="28"/>
        </w:rPr>
        <w:t>范围</w:t>
      </w:r>
      <w:r>
        <w:rPr>
          <w:rFonts w:hint="eastAsia"/>
          <w:kern w:val="2"/>
          <w:sz w:val="28"/>
        </w:rPr>
        <w:t>、合同条款</w:t>
      </w:r>
      <w:r>
        <w:rPr>
          <w:kern w:val="2"/>
          <w:sz w:val="28"/>
        </w:rPr>
        <w:t>等实质性内容作出响应。在满足</w:t>
      </w:r>
      <w:r>
        <w:rPr>
          <w:rFonts w:hint="eastAsia"/>
          <w:kern w:val="2"/>
          <w:sz w:val="28"/>
        </w:rPr>
        <w:t>采购</w:t>
      </w:r>
      <w:r>
        <w:rPr>
          <w:kern w:val="2"/>
          <w:sz w:val="28"/>
        </w:rPr>
        <w:t>文件实质性要求的基础上，可以提出比</w:t>
      </w:r>
      <w:r>
        <w:rPr>
          <w:rFonts w:hint="eastAsia"/>
          <w:kern w:val="2"/>
          <w:sz w:val="28"/>
        </w:rPr>
        <w:t>采购</w:t>
      </w:r>
      <w:r>
        <w:rPr>
          <w:kern w:val="2"/>
          <w:sz w:val="28"/>
        </w:rPr>
        <w:t>文件要求更有利于</w:t>
      </w:r>
      <w:r>
        <w:rPr>
          <w:rFonts w:hint="eastAsia"/>
          <w:kern w:val="2"/>
          <w:sz w:val="28"/>
        </w:rPr>
        <w:t>采购人</w:t>
      </w:r>
      <w:r>
        <w:rPr>
          <w:kern w:val="2"/>
          <w:sz w:val="28"/>
        </w:rPr>
        <w:t>的承诺</w:t>
      </w:r>
      <w:r>
        <w:rPr>
          <w:rFonts w:hint="eastAsia"/>
          <w:kern w:val="2"/>
          <w:sz w:val="28"/>
        </w:rPr>
        <w:t>。</w:t>
      </w:r>
    </w:p>
    <w:p w14:paraId="2CF10759">
      <w:pPr>
        <w:pStyle w:val="18"/>
        <w:spacing w:beforeAutospacing="0" w:afterAutospacing="0"/>
        <w:ind w:firstLine="560"/>
        <w:jc w:val="both"/>
        <w:rPr>
          <w:kern w:val="2"/>
          <w:sz w:val="28"/>
        </w:rPr>
      </w:pPr>
      <w:r>
        <w:rPr>
          <w:rFonts w:hint="eastAsia"/>
          <w:kern w:val="2"/>
          <w:sz w:val="28"/>
        </w:rPr>
        <w:t>（二）</w:t>
      </w:r>
      <w:r>
        <w:rPr>
          <w:kern w:val="2"/>
          <w:sz w:val="28"/>
        </w:rPr>
        <w:t>本次</w:t>
      </w:r>
      <w:r>
        <w:rPr>
          <w:rFonts w:hint="eastAsia"/>
          <w:kern w:val="2"/>
          <w:sz w:val="28"/>
        </w:rPr>
        <w:t>询价</w:t>
      </w:r>
      <w:r>
        <w:rPr>
          <w:kern w:val="2"/>
          <w:sz w:val="28"/>
        </w:rPr>
        <w:t>采用</w:t>
      </w:r>
      <w:r>
        <w:rPr>
          <w:b/>
          <w:bCs/>
          <w:kern w:val="2"/>
          <w:sz w:val="28"/>
        </w:rPr>
        <w:t>最低价</w:t>
      </w:r>
      <w:r>
        <w:rPr>
          <w:rFonts w:hint="eastAsia"/>
          <w:b/>
          <w:bCs/>
          <w:kern w:val="2"/>
          <w:sz w:val="28"/>
        </w:rPr>
        <w:t>中选</w:t>
      </w:r>
      <w:r>
        <w:rPr>
          <w:b/>
          <w:bCs/>
          <w:kern w:val="2"/>
          <w:sz w:val="28"/>
        </w:rPr>
        <w:t>法</w:t>
      </w:r>
      <w:r>
        <w:rPr>
          <w:rFonts w:hint="eastAsia"/>
          <w:kern w:val="2"/>
          <w:sz w:val="28"/>
        </w:rPr>
        <w:t>。采购人</w:t>
      </w:r>
      <w:r>
        <w:rPr>
          <w:kern w:val="2"/>
          <w:sz w:val="28"/>
        </w:rPr>
        <w:t>对满足</w:t>
      </w:r>
      <w:r>
        <w:rPr>
          <w:rFonts w:hint="eastAsia"/>
          <w:kern w:val="2"/>
          <w:sz w:val="28"/>
        </w:rPr>
        <w:t>采购</w:t>
      </w:r>
      <w:r>
        <w:rPr>
          <w:kern w:val="2"/>
          <w:sz w:val="28"/>
        </w:rPr>
        <w:t>文件实质性要求的</w:t>
      </w:r>
      <w:r>
        <w:rPr>
          <w:rFonts w:hint="eastAsia"/>
          <w:kern w:val="2"/>
          <w:sz w:val="28"/>
        </w:rPr>
        <w:t>报价</w:t>
      </w:r>
      <w:r>
        <w:rPr>
          <w:kern w:val="2"/>
          <w:sz w:val="28"/>
        </w:rPr>
        <w:t>文件，按照</w:t>
      </w:r>
      <w:r>
        <w:rPr>
          <w:rFonts w:hint="eastAsia"/>
          <w:kern w:val="2"/>
          <w:sz w:val="28"/>
        </w:rPr>
        <w:t>综合报</w:t>
      </w:r>
      <w:r>
        <w:rPr>
          <w:kern w:val="2"/>
          <w:sz w:val="28"/>
        </w:rPr>
        <w:t>价由低到高的顺序推荐中</w:t>
      </w:r>
      <w:r>
        <w:rPr>
          <w:rFonts w:hint="eastAsia"/>
          <w:kern w:val="2"/>
          <w:sz w:val="28"/>
        </w:rPr>
        <w:t>选</w:t>
      </w:r>
      <w:r>
        <w:rPr>
          <w:kern w:val="2"/>
          <w:sz w:val="28"/>
        </w:rPr>
        <w:t>候选人</w:t>
      </w:r>
      <w:r>
        <w:rPr>
          <w:rFonts w:hint="eastAsia"/>
          <w:kern w:val="2"/>
          <w:sz w:val="28"/>
        </w:rPr>
        <w:t>，若第1名放弃权利，采购人可邀请第2名中选候选人谈判商定，以此类推。</w:t>
      </w:r>
    </w:p>
    <w:p w14:paraId="35B3BD0C">
      <w:pPr>
        <w:pStyle w:val="18"/>
        <w:spacing w:beforeAutospacing="0" w:afterAutospacing="0"/>
        <w:ind w:firstLine="560"/>
        <w:jc w:val="both"/>
        <w:rPr>
          <w:kern w:val="2"/>
          <w:sz w:val="28"/>
        </w:rPr>
      </w:pPr>
      <w:bookmarkStart w:id="20" w:name="_bookmark18"/>
      <w:bookmarkEnd w:id="20"/>
      <w:r>
        <w:rPr>
          <w:rFonts w:hint="eastAsia"/>
          <w:kern w:val="2"/>
          <w:sz w:val="28"/>
        </w:rPr>
        <w:t>（三）同一包件满足3家申请人及以上报价，申请人少于3家将不予开启报价文件。</w:t>
      </w:r>
    </w:p>
    <w:p w14:paraId="4B68356C">
      <w:pPr>
        <w:pStyle w:val="18"/>
        <w:spacing w:beforeAutospacing="0" w:afterAutospacing="0"/>
        <w:ind w:firstLine="560"/>
        <w:jc w:val="both"/>
        <w:rPr>
          <w:kern w:val="2"/>
          <w:sz w:val="28"/>
        </w:rPr>
      </w:pPr>
      <w:r>
        <w:rPr>
          <w:rFonts w:hint="eastAsia"/>
          <w:kern w:val="2"/>
          <w:sz w:val="28"/>
        </w:rPr>
        <w:t>（四）中选候选人公示期为1天，申请人</w:t>
      </w:r>
      <w:r>
        <w:rPr>
          <w:kern w:val="2"/>
          <w:sz w:val="28"/>
        </w:rPr>
        <w:t>对</w:t>
      </w:r>
      <w:r>
        <w:rPr>
          <w:rFonts w:hint="eastAsia"/>
          <w:kern w:val="2"/>
          <w:sz w:val="28"/>
        </w:rPr>
        <w:t>报价结果</w:t>
      </w:r>
      <w:r>
        <w:rPr>
          <w:kern w:val="2"/>
          <w:sz w:val="28"/>
        </w:rPr>
        <w:t>有异议的，应当在中</w:t>
      </w:r>
      <w:r>
        <w:rPr>
          <w:rFonts w:hint="eastAsia"/>
          <w:kern w:val="2"/>
          <w:sz w:val="28"/>
        </w:rPr>
        <w:t>选</w:t>
      </w:r>
      <w:r>
        <w:rPr>
          <w:kern w:val="2"/>
          <w:sz w:val="28"/>
        </w:rPr>
        <w:t>候选人公示期间提出。</w:t>
      </w:r>
      <w:r>
        <w:rPr>
          <w:rFonts w:hint="eastAsia"/>
          <w:kern w:val="2"/>
          <w:sz w:val="28"/>
        </w:rPr>
        <w:t>采购</w:t>
      </w:r>
      <w:r>
        <w:rPr>
          <w:kern w:val="2"/>
          <w:sz w:val="28"/>
        </w:rPr>
        <w:t>人将在收到异议</w:t>
      </w:r>
      <w:r>
        <w:rPr>
          <w:rFonts w:hint="eastAsia"/>
          <w:kern w:val="2"/>
          <w:sz w:val="28"/>
        </w:rPr>
        <w:t>两个工作日</w:t>
      </w:r>
      <w:r>
        <w:rPr>
          <w:kern w:val="2"/>
          <w:sz w:val="28"/>
        </w:rPr>
        <w:t>内作出答复</w:t>
      </w:r>
      <w:r>
        <w:rPr>
          <w:rFonts w:hint="eastAsia"/>
          <w:kern w:val="2"/>
          <w:sz w:val="28"/>
        </w:rPr>
        <w:t>，并在答复前暂停采购活动</w:t>
      </w:r>
      <w:r>
        <w:rPr>
          <w:kern w:val="2"/>
          <w:sz w:val="28"/>
        </w:rPr>
        <w:t>。</w:t>
      </w:r>
    </w:p>
    <w:p w14:paraId="77D655AF">
      <w:pPr>
        <w:pStyle w:val="18"/>
        <w:spacing w:beforeAutospacing="0" w:afterAutospacing="0"/>
        <w:ind w:firstLine="560"/>
        <w:jc w:val="both"/>
        <w:rPr>
          <w:kern w:val="2"/>
          <w:sz w:val="28"/>
        </w:rPr>
      </w:pPr>
      <w:r>
        <w:rPr>
          <w:rFonts w:hint="eastAsia"/>
          <w:kern w:val="2"/>
          <w:sz w:val="28"/>
        </w:rPr>
        <w:t>（五）履约保证金：详见合同。</w:t>
      </w:r>
    </w:p>
    <w:p w14:paraId="74A21887">
      <w:pPr>
        <w:pStyle w:val="18"/>
        <w:spacing w:beforeAutospacing="0" w:afterAutospacing="0"/>
        <w:ind w:firstLine="560"/>
        <w:jc w:val="both"/>
        <w:rPr>
          <w:kern w:val="2"/>
          <w:sz w:val="28"/>
        </w:rPr>
      </w:pPr>
      <w:r>
        <w:rPr>
          <w:rFonts w:hint="eastAsia"/>
          <w:kern w:val="2"/>
          <w:sz w:val="28"/>
        </w:rPr>
        <w:t>（五）授予合同：采购人结合询价结果，向包件最低中选候选人发送中选通知，并按采购文件合同范本签订合同。</w:t>
      </w:r>
    </w:p>
    <w:p w14:paraId="0993D9EC">
      <w:pPr>
        <w:pStyle w:val="18"/>
        <w:spacing w:beforeAutospacing="0" w:afterAutospacing="0"/>
        <w:ind w:firstLine="560"/>
        <w:jc w:val="both"/>
        <w:rPr>
          <w:kern w:val="2"/>
          <w:sz w:val="28"/>
        </w:rPr>
      </w:pPr>
    </w:p>
    <w:p w14:paraId="081BF559">
      <w:pPr>
        <w:pStyle w:val="18"/>
        <w:spacing w:beforeAutospacing="0" w:afterAutospacing="0"/>
        <w:ind w:left="640" w:leftChars="200" w:firstLine="0" w:firstLineChars="0"/>
        <w:jc w:val="both"/>
        <w:outlineLvl w:val="1"/>
        <w:rPr>
          <w:rFonts w:ascii="黑体" w:hAnsi="黑体" w:eastAsia="黑体" w:cs="黑体"/>
          <w:kern w:val="2"/>
          <w:sz w:val="28"/>
        </w:rPr>
      </w:pPr>
      <w:bookmarkStart w:id="21" w:name="_Toc11523"/>
      <w:r>
        <w:rPr>
          <w:rFonts w:hint="eastAsia" w:ascii="黑体" w:hAnsi="黑体" w:eastAsia="黑体" w:cs="黑体"/>
          <w:kern w:val="2"/>
          <w:sz w:val="28"/>
        </w:rPr>
        <w:t>三．报价保证金</w:t>
      </w:r>
      <w:bookmarkEnd w:id="21"/>
    </w:p>
    <w:p w14:paraId="33A01D2B">
      <w:pPr>
        <w:pStyle w:val="18"/>
        <w:spacing w:beforeAutospacing="0" w:afterAutospacing="0"/>
        <w:ind w:firstLine="560"/>
        <w:jc w:val="both"/>
        <w:rPr>
          <w:kern w:val="2"/>
          <w:sz w:val="28"/>
        </w:rPr>
      </w:pPr>
      <w:bookmarkStart w:id="22" w:name="_bookmark19"/>
      <w:bookmarkEnd w:id="22"/>
      <w:r>
        <w:rPr>
          <w:rFonts w:hint="eastAsia"/>
          <w:kern w:val="2"/>
          <w:sz w:val="28"/>
        </w:rPr>
        <w:t>（一）申请人需缴纳报价保证金10万元整。</w:t>
      </w:r>
      <w:r>
        <w:rPr>
          <w:kern w:val="2"/>
          <w:sz w:val="28"/>
        </w:rPr>
        <w:t>报价保证金缴纳方式为银行转账，</w:t>
      </w:r>
      <w:r>
        <w:rPr>
          <w:kern w:val="2"/>
          <w:sz w:val="28"/>
          <w:highlight w:val="none"/>
        </w:rPr>
        <w:t>支付保证金请备注：</w:t>
      </w:r>
      <w:r>
        <w:rPr>
          <w:rFonts w:hint="eastAsia"/>
          <w:b/>
          <w:bCs/>
          <w:kern w:val="2"/>
          <w:sz w:val="28"/>
          <w:highlight w:val="none"/>
        </w:rPr>
        <w:t>加工事业部物资公开询价采购项目（</w:t>
      </w:r>
      <w:r>
        <w:rPr>
          <w:rFonts w:hint="eastAsia"/>
          <w:b/>
          <w:bCs/>
          <w:kern w:val="2"/>
          <w:sz w:val="28"/>
          <w:highlight w:val="none"/>
          <w:lang w:val="en-US" w:eastAsia="zh-CN"/>
        </w:rPr>
        <w:t>三</w:t>
      </w:r>
      <w:r>
        <w:rPr>
          <w:rFonts w:hint="eastAsia"/>
          <w:b/>
          <w:bCs/>
          <w:kern w:val="2"/>
          <w:sz w:val="28"/>
          <w:highlight w:val="none"/>
        </w:rPr>
        <w:t>）</w:t>
      </w:r>
      <w:r>
        <w:rPr>
          <w:kern w:val="2"/>
          <w:sz w:val="28"/>
          <w:highlight w:val="none"/>
        </w:rPr>
        <w:t>。报价保证金必须从本单位账户汇出，以银行到账为准，截止到账时间为2025年</w:t>
      </w:r>
      <w:r>
        <w:rPr>
          <w:rFonts w:hint="eastAsia"/>
          <w:kern w:val="2"/>
          <w:sz w:val="28"/>
          <w:highlight w:val="none"/>
          <w:lang w:val="en-US" w:eastAsia="zh-CN"/>
        </w:rPr>
        <w:t>10</w:t>
      </w:r>
      <w:r>
        <w:rPr>
          <w:kern w:val="2"/>
          <w:sz w:val="28"/>
          <w:highlight w:val="none"/>
        </w:rPr>
        <w:t>月</w:t>
      </w:r>
      <w:r>
        <w:rPr>
          <w:rFonts w:hint="eastAsia"/>
          <w:kern w:val="2"/>
          <w:sz w:val="28"/>
          <w:highlight w:val="none"/>
          <w:lang w:val="en-US" w:eastAsia="zh-CN"/>
        </w:rPr>
        <w:t>23</w:t>
      </w:r>
      <w:bookmarkStart w:id="25" w:name="_GoBack"/>
      <w:bookmarkEnd w:id="25"/>
      <w:r>
        <w:rPr>
          <w:kern w:val="2"/>
          <w:sz w:val="28"/>
          <w:highlight w:val="none"/>
        </w:rPr>
        <w:t>日</w:t>
      </w:r>
      <w:r>
        <w:rPr>
          <w:rFonts w:hint="eastAsia"/>
          <w:kern w:val="2"/>
          <w:sz w:val="28"/>
          <w:highlight w:val="none"/>
          <w:lang w:val="en-US" w:eastAsia="zh-CN"/>
        </w:rPr>
        <w:t>17</w:t>
      </w:r>
      <w:r>
        <w:rPr>
          <w:rFonts w:hint="eastAsia"/>
          <w:kern w:val="2"/>
          <w:sz w:val="28"/>
          <w:highlight w:val="none"/>
        </w:rPr>
        <w:t>时</w:t>
      </w:r>
      <w:r>
        <w:rPr>
          <w:rFonts w:hint="eastAsia"/>
          <w:kern w:val="2"/>
          <w:sz w:val="28"/>
          <w:highlight w:val="none"/>
          <w:lang w:val="en-US" w:eastAsia="zh-CN"/>
        </w:rPr>
        <w:t>30</w:t>
      </w:r>
      <w:r>
        <w:rPr>
          <w:rFonts w:hint="eastAsia"/>
          <w:kern w:val="2"/>
          <w:sz w:val="28"/>
          <w:highlight w:val="none"/>
        </w:rPr>
        <w:t>分</w:t>
      </w:r>
      <w:r>
        <w:rPr>
          <w:kern w:val="2"/>
          <w:sz w:val="28"/>
          <w:highlight w:val="none"/>
        </w:rPr>
        <w:t>前。报价保证金收</w:t>
      </w:r>
      <w:r>
        <w:rPr>
          <w:kern w:val="2"/>
          <w:sz w:val="28"/>
        </w:rPr>
        <w:t>款账户：四川蜀物兴川物流发展有限公司，开户行：中国工商银行股份有限公司成都滨江支行，银行账号：4402204009100166669。行号:102651020408</w:t>
      </w:r>
      <w:r>
        <w:rPr>
          <w:rFonts w:hint="eastAsia"/>
          <w:kern w:val="2"/>
          <w:sz w:val="28"/>
        </w:rPr>
        <w:t>。</w:t>
      </w:r>
    </w:p>
    <w:p w14:paraId="208BB930">
      <w:pPr>
        <w:pStyle w:val="18"/>
        <w:spacing w:beforeAutospacing="0" w:afterAutospacing="0"/>
        <w:ind w:firstLine="560"/>
        <w:jc w:val="both"/>
        <w:rPr>
          <w:kern w:val="2"/>
          <w:sz w:val="28"/>
        </w:rPr>
      </w:pPr>
      <w:r>
        <w:rPr>
          <w:rFonts w:hint="eastAsia"/>
          <w:kern w:val="2"/>
          <w:sz w:val="28"/>
        </w:rPr>
        <w:t>（二）</w:t>
      </w:r>
      <w:r>
        <w:rPr>
          <w:kern w:val="2"/>
          <w:sz w:val="28"/>
        </w:rPr>
        <w:t>报价保证金退还：在递交报价文件后，报价保证金由采购人统一办理报价保证金退还。报价人在报价截止时间之后撤销报价或成交后不能按要求签订合同的，其报价保证金不予退还，并列为不诚信单位。</w:t>
      </w:r>
    </w:p>
    <w:p w14:paraId="2B4C339D">
      <w:pPr>
        <w:ind w:firstLine="0" w:firstLineChars="0"/>
        <w:rPr>
          <w:rFonts w:ascii="Arial"/>
          <w:sz w:val="21"/>
        </w:rPr>
      </w:pPr>
    </w:p>
    <w:p w14:paraId="2564EB53">
      <w:pPr>
        <w:spacing w:line="246" w:lineRule="auto"/>
        <w:ind w:firstLine="420"/>
        <w:rPr>
          <w:rFonts w:ascii="Arial"/>
          <w:sz w:val="21"/>
        </w:rPr>
      </w:pPr>
    </w:p>
    <w:p w14:paraId="2BA48819">
      <w:pPr>
        <w:spacing w:line="246" w:lineRule="auto"/>
        <w:ind w:firstLine="420"/>
        <w:rPr>
          <w:rFonts w:ascii="Arial"/>
          <w:sz w:val="21"/>
        </w:rPr>
      </w:pPr>
    </w:p>
    <w:p w14:paraId="620602B8">
      <w:pPr>
        <w:spacing w:line="246" w:lineRule="auto"/>
        <w:ind w:firstLine="420"/>
        <w:rPr>
          <w:rFonts w:ascii="Arial"/>
          <w:sz w:val="21"/>
        </w:rPr>
      </w:pPr>
    </w:p>
    <w:p w14:paraId="1BA32C4E">
      <w:pPr>
        <w:spacing w:line="246" w:lineRule="auto"/>
        <w:ind w:firstLine="420"/>
        <w:rPr>
          <w:rFonts w:ascii="Arial"/>
          <w:sz w:val="21"/>
        </w:rPr>
      </w:pPr>
    </w:p>
    <w:p w14:paraId="5DE76F8C">
      <w:pPr>
        <w:spacing w:line="246" w:lineRule="auto"/>
        <w:ind w:firstLine="420"/>
        <w:rPr>
          <w:rFonts w:ascii="Arial"/>
          <w:sz w:val="21"/>
        </w:rPr>
      </w:pPr>
    </w:p>
    <w:p w14:paraId="12AF2514">
      <w:pPr>
        <w:spacing w:line="246" w:lineRule="auto"/>
        <w:ind w:firstLine="420"/>
        <w:rPr>
          <w:rFonts w:ascii="Arial"/>
          <w:sz w:val="21"/>
        </w:rPr>
      </w:pPr>
    </w:p>
    <w:p w14:paraId="642E3439">
      <w:pPr>
        <w:spacing w:line="246" w:lineRule="auto"/>
        <w:ind w:firstLine="420"/>
        <w:rPr>
          <w:rFonts w:ascii="Arial"/>
          <w:sz w:val="21"/>
        </w:rPr>
      </w:pPr>
    </w:p>
    <w:p w14:paraId="5B96653E">
      <w:pPr>
        <w:spacing w:line="246" w:lineRule="auto"/>
        <w:ind w:firstLine="420"/>
        <w:rPr>
          <w:rFonts w:ascii="Arial"/>
          <w:sz w:val="21"/>
        </w:rPr>
      </w:pPr>
    </w:p>
    <w:p w14:paraId="33B6E300">
      <w:pPr>
        <w:spacing w:line="246" w:lineRule="auto"/>
        <w:ind w:firstLine="420"/>
        <w:rPr>
          <w:rFonts w:ascii="Arial"/>
          <w:sz w:val="21"/>
        </w:rPr>
      </w:pPr>
    </w:p>
    <w:p w14:paraId="0A2F4AEC">
      <w:pPr>
        <w:spacing w:line="246" w:lineRule="auto"/>
        <w:ind w:firstLine="420"/>
        <w:rPr>
          <w:rFonts w:ascii="Arial"/>
          <w:sz w:val="21"/>
        </w:rPr>
      </w:pPr>
    </w:p>
    <w:p w14:paraId="535A03FE">
      <w:pPr>
        <w:pStyle w:val="8"/>
      </w:pPr>
    </w:p>
    <w:p w14:paraId="3F581352">
      <w:pPr>
        <w:spacing w:line="246" w:lineRule="auto"/>
        <w:ind w:firstLine="420"/>
        <w:rPr>
          <w:rFonts w:ascii="Arial"/>
          <w:sz w:val="21"/>
        </w:rPr>
      </w:pPr>
    </w:p>
    <w:p w14:paraId="30EA07C8">
      <w:pPr>
        <w:spacing w:line="246" w:lineRule="auto"/>
        <w:ind w:firstLine="420"/>
        <w:rPr>
          <w:rFonts w:ascii="Arial"/>
          <w:sz w:val="21"/>
        </w:rPr>
      </w:pPr>
    </w:p>
    <w:p w14:paraId="1D395914">
      <w:pPr>
        <w:pStyle w:val="2"/>
        <w:ind w:firstLine="880"/>
        <w:rPr>
          <w:rFonts w:hint="default"/>
        </w:rPr>
      </w:pPr>
    </w:p>
    <w:p w14:paraId="746C5109">
      <w:pPr>
        <w:tabs>
          <w:tab w:val="left" w:pos="0"/>
        </w:tabs>
        <w:ind w:firstLine="0" w:firstLineChars="0"/>
        <w:rPr>
          <w:rFonts w:ascii="宋体" w:hAnsi="宋体" w:eastAsia="宋体" w:cs="宋体"/>
          <w:sz w:val="31"/>
          <w:szCs w:val="31"/>
        </w:rPr>
      </w:pPr>
    </w:p>
    <w:p w14:paraId="7A6DCB1D">
      <w:pPr>
        <w:numPr>
          <w:ilvl w:val="0"/>
          <w:numId w:val="1"/>
        </w:numPr>
        <w:ind w:firstLineChars="0"/>
        <w:jc w:val="center"/>
        <w:outlineLvl w:val="0"/>
        <w:rPr>
          <w:rFonts w:ascii="方正小标宋简体" w:hAnsi="方正小标宋简体" w:eastAsia="方正小标宋简体" w:cs="方正小标宋简体"/>
          <w:szCs w:val="32"/>
        </w:rPr>
      </w:pPr>
      <w:bookmarkStart w:id="23" w:name="_Toc29804"/>
      <w:bookmarkStart w:id="24" w:name="_Toc7307"/>
      <w:r>
        <w:rPr>
          <w:rFonts w:hint="eastAsia" w:ascii="方正小标宋简体" w:hAnsi="方正小标宋简体" w:eastAsia="方正小标宋简体" w:cs="方正小标宋简体"/>
          <w:szCs w:val="32"/>
        </w:rPr>
        <w:t>合同条款及格式</w:t>
      </w:r>
      <w:bookmarkEnd w:id="23"/>
      <w:bookmarkEnd w:id="24"/>
    </w:p>
    <w:p w14:paraId="611619AF">
      <w:pPr>
        <w:ind w:firstLine="0" w:firstLineChars="0"/>
        <w:jc w:val="left"/>
        <w:rPr>
          <w:rFonts w:eastAsia="黑体"/>
          <w:szCs w:val="32"/>
        </w:rPr>
      </w:pPr>
      <w:r>
        <w:rPr>
          <w:rFonts w:hint="eastAsia" w:ascii="仿宋_GB2312" w:hAnsi="仿宋_GB2312" w:cs="仿宋_GB2312"/>
          <w:kern w:val="0"/>
          <w:sz w:val="24"/>
        </w:rPr>
        <w:br w:type="page"/>
      </w:r>
    </w:p>
    <w:p w14:paraId="578604E6">
      <w:pPr>
        <w:tabs>
          <w:tab w:val="center" w:pos="4937"/>
          <w:tab w:val="right" w:pos="8997"/>
        </w:tabs>
        <w:spacing w:line="360" w:lineRule="auto"/>
        <w:ind w:firstLine="880"/>
        <w:jc w:val="center"/>
        <w:rPr>
          <w:rFonts w:ascii="仿宋_GB2312" w:hAnsi="仿宋_GB2312" w:cs="仿宋_GB2312"/>
          <w:b/>
          <w:bCs/>
          <w:color w:val="000000" w:themeColor="text1"/>
          <w:sz w:val="44"/>
          <w:szCs w:val="44"/>
          <w14:textFill>
            <w14:solidFill>
              <w14:schemeClr w14:val="tx1"/>
            </w14:solidFill>
          </w14:textFill>
        </w:rPr>
      </w:pPr>
      <w:r>
        <w:rPr>
          <w:rFonts w:hint="eastAsia" w:ascii="仿宋_GB2312" w:hAnsi="仿宋_GB2312" w:cs="仿宋_GB2312"/>
          <w:b/>
          <w:bCs/>
          <w:color w:val="000000" w:themeColor="text1"/>
          <w:sz w:val="44"/>
          <w:szCs w:val="44"/>
          <w14:textFill>
            <w14:solidFill>
              <w14:schemeClr w14:val="tx1"/>
            </w14:solidFill>
          </w14:textFill>
        </w:rPr>
        <w:t>预拌混凝土采购合同</w:t>
      </w:r>
    </w:p>
    <w:p w14:paraId="4B16E53E">
      <w:pPr>
        <w:spacing w:line="360" w:lineRule="auto"/>
        <w:ind w:firstLine="360"/>
        <w:jc w:val="left"/>
        <w:rPr>
          <w:rFonts w:ascii="仿宋_GB2312" w:hAnsi="仿宋_GB2312" w:cs="仿宋_GB2312"/>
          <w:color w:val="000000" w:themeColor="text1"/>
          <w:sz w:val="18"/>
          <w:szCs w:val="18"/>
          <w14:textFill>
            <w14:solidFill>
              <w14:schemeClr w14:val="tx1"/>
            </w14:solidFill>
          </w14:textFill>
        </w:rPr>
      </w:pPr>
      <w:r>
        <w:rPr>
          <w:rFonts w:hint="eastAsia" w:ascii="仿宋_GB2312" w:hAnsi="仿宋_GB2312" w:cs="仿宋_GB2312"/>
          <w:color w:val="000000" w:themeColor="text1"/>
          <w:sz w:val="18"/>
          <w:szCs w:val="18"/>
          <w14:textFill>
            <w14:solidFill>
              <w14:schemeClr w14:val="tx1"/>
            </w14:solidFill>
          </w14:textFill>
        </w:rPr>
        <w:t xml:space="preserve">                                                           </w:t>
      </w:r>
    </w:p>
    <w:p w14:paraId="17327C48">
      <w:pPr>
        <w:spacing w:line="360" w:lineRule="auto"/>
        <w:ind w:firstLine="5542" w:firstLineChars="230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合同编号</w:t>
      </w:r>
      <w:r>
        <w:rPr>
          <w:rFonts w:hint="eastAsia" w:ascii="仿宋_GB2312" w:hAnsi="仿宋_GB2312" w:cs="仿宋_GB2312"/>
          <w:color w:val="000000" w:themeColor="text1"/>
          <w:sz w:val="24"/>
          <w14:textFill>
            <w14:solidFill>
              <w14:schemeClr w14:val="tx1"/>
            </w14:solidFill>
          </w14:textFill>
        </w:rPr>
        <w:t>：</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 xml:space="preserve"> </w:t>
      </w:r>
    </w:p>
    <w:p w14:paraId="5DE2F7B3">
      <w:pPr>
        <w:spacing w:line="360" w:lineRule="auto"/>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 xml:space="preserve">                                         </w:t>
      </w:r>
      <w:r>
        <w:rPr>
          <w:rFonts w:hint="eastAsia" w:ascii="仿宋_GB2312" w:hAnsi="仿宋_GB2312" w:cs="仿宋_GB2312"/>
          <w:b/>
          <w:bCs/>
          <w:color w:val="000000" w:themeColor="text1"/>
          <w:sz w:val="24"/>
          <w14:textFill>
            <w14:solidFill>
              <w14:schemeClr w14:val="tx1"/>
            </w14:solidFill>
          </w14:textFill>
        </w:rPr>
        <w:t>合同签订地点：</w:t>
      </w:r>
      <w:r>
        <w:rPr>
          <w:rFonts w:hint="eastAsia" w:ascii="仿宋_GB2312" w:hAnsi="仿宋_GB2312" w:cs="仿宋_GB2312"/>
          <w:color w:val="000000" w:themeColor="text1"/>
          <w:sz w:val="24"/>
          <w:u w:val="single"/>
          <w14:textFill>
            <w14:solidFill>
              <w14:schemeClr w14:val="tx1"/>
            </w14:solidFill>
          </w14:textFill>
        </w:rPr>
        <w:t xml:space="preserve">               </w:t>
      </w:r>
    </w:p>
    <w:p w14:paraId="73161FE9">
      <w:pPr>
        <w:spacing w:line="360" w:lineRule="auto"/>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 xml:space="preserve">                                         </w:t>
      </w:r>
      <w:r>
        <w:rPr>
          <w:rFonts w:hint="eastAsia" w:ascii="仿宋_GB2312" w:hAnsi="仿宋_GB2312" w:cs="仿宋_GB2312"/>
          <w:b/>
          <w:bCs/>
          <w:color w:val="000000" w:themeColor="text1"/>
          <w:sz w:val="24"/>
          <w14:textFill>
            <w14:solidFill>
              <w14:schemeClr w14:val="tx1"/>
            </w14:solidFill>
          </w14:textFill>
        </w:rPr>
        <w:t>签订时间：</w:t>
      </w:r>
      <w:r>
        <w:rPr>
          <w:rFonts w:hint="eastAsia" w:ascii="仿宋_GB2312" w:hAnsi="仿宋_GB2312" w:cs="仿宋_GB2312"/>
          <w:color w:val="000000" w:themeColor="text1"/>
          <w:sz w:val="24"/>
          <w:u w:val="single"/>
          <w14:textFill>
            <w14:solidFill>
              <w14:schemeClr w14:val="tx1"/>
            </w14:solidFill>
          </w14:textFill>
        </w:rPr>
        <w:t xml:space="preserve"> 2025 </w:t>
      </w:r>
      <w:r>
        <w:rPr>
          <w:rFonts w:hint="eastAsia" w:ascii="仿宋_GB2312" w:hAnsi="仿宋_GB2312" w:cs="仿宋_GB2312"/>
          <w:color w:val="000000" w:themeColor="text1"/>
          <w:sz w:val="24"/>
          <w14:textFill>
            <w14:solidFill>
              <w14:schemeClr w14:val="tx1"/>
            </w14:solidFill>
          </w14:textFill>
        </w:rPr>
        <w:t>年</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月</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日</w:t>
      </w:r>
    </w:p>
    <w:p w14:paraId="1B23A3B6">
      <w:pPr>
        <w:spacing w:line="360" w:lineRule="auto"/>
        <w:ind w:left="708" w:hanging="711" w:hangingChars="295"/>
        <w:rPr>
          <w:rFonts w:ascii="仿宋_GB2312" w:hAnsi="仿宋_GB2312" w:cs="仿宋_GB2312"/>
          <w:b/>
          <w:color w:val="000000" w:themeColor="text1"/>
          <w:sz w:val="24"/>
          <w:u w:val="single"/>
          <w14:textFill>
            <w14:solidFill>
              <w14:schemeClr w14:val="tx1"/>
            </w14:solidFill>
          </w14:textFill>
        </w:rPr>
      </w:pPr>
      <w:r>
        <w:rPr>
          <w:rFonts w:hint="eastAsia" w:ascii="仿宋_GB2312" w:hAnsi="仿宋_GB2312" w:cs="仿宋_GB2312"/>
          <w:b/>
          <w:color w:val="000000" w:themeColor="text1"/>
          <w:sz w:val="24"/>
          <w14:textFill>
            <w14:solidFill>
              <w14:schemeClr w14:val="tx1"/>
            </w14:solidFill>
          </w14:textFill>
        </w:rPr>
        <w:t>甲方：</w:t>
      </w:r>
      <w:r>
        <w:rPr>
          <w:rFonts w:hint="eastAsia" w:ascii="仿宋_GB2312" w:hAnsi="仿宋_GB2312" w:cs="仿宋_GB2312"/>
          <w:color w:val="000000" w:themeColor="text1"/>
          <w:sz w:val="24"/>
          <w:u w:val="single"/>
          <w14:textFill>
            <w14:solidFill>
              <w14:schemeClr w14:val="tx1"/>
            </w14:solidFill>
          </w14:textFill>
        </w:rPr>
        <w:t>四川蜀物兴川物流发展有限公司</w:t>
      </w:r>
    </w:p>
    <w:p w14:paraId="51387033">
      <w:pPr>
        <w:spacing w:line="360" w:lineRule="auto"/>
        <w:ind w:firstLine="0" w:firstLineChars="0"/>
        <w:jc w:val="left"/>
        <w:rPr>
          <w:rFonts w:ascii="仿宋_GB2312" w:hAnsi="仿宋_GB2312" w:cs="仿宋_GB2312"/>
          <w:b/>
          <w:color w:val="000000" w:themeColor="text1"/>
          <w:sz w:val="24"/>
          <w14:textFill>
            <w14:solidFill>
              <w14:schemeClr w14:val="tx1"/>
            </w14:solidFill>
          </w14:textFill>
        </w:rPr>
      </w:pPr>
      <w:r>
        <w:rPr>
          <w:rFonts w:hint="eastAsia" w:ascii="仿宋_GB2312" w:hAnsi="仿宋_GB2312" w:cs="仿宋_GB2312"/>
          <w:b/>
          <w:color w:val="000000" w:themeColor="text1"/>
          <w:sz w:val="24"/>
          <w14:textFill>
            <w14:solidFill>
              <w14:schemeClr w14:val="tx1"/>
            </w14:solidFill>
          </w14:textFill>
        </w:rPr>
        <w:t>乙方：</w:t>
      </w:r>
      <w:r>
        <w:rPr>
          <w:rFonts w:hint="eastAsia" w:ascii="仿宋_GB2312" w:hAnsi="仿宋_GB2312" w:cs="仿宋_GB2312"/>
          <w:color w:val="000000" w:themeColor="text1"/>
          <w:spacing w:val="14"/>
          <w:sz w:val="24"/>
          <w:u w:val="single"/>
          <w14:textFill>
            <w14:solidFill>
              <w14:schemeClr w14:val="tx1"/>
            </w14:solidFill>
          </w14:textFill>
        </w:rPr>
        <w:t xml:space="preserve">                   </w:t>
      </w:r>
    </w:p>
    <w:p w14:paraId="386F4529">
      <w:pPr>
        <w:spacing w:line="360" w:lineRule="auto"/>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根据甲方</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采购文件（文件编号：</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中华人民共和国民法典》及相关法律法规的规定，为明确双方的权利和义务，在平等互利、诚实守信、自愿协商的基础上，经甲、乙双方协商一致，就甲方采购预拌混凝土、预拌砂浆材料事宜达成如下合同条款：</w:t>
      </w:r>
    </w:p>
    <w:p w14:paraId="51866083">
      <w:pPr>
        <w:numPr>
          <w:ilvl w:val="0"/>
          <w:numId w:val="5"/>
        </w:numPr>
        <w:spacing w:line="360" w:lineRule="auto"/>
        <w:ind w:firstLine="0" w:firstLineChars="0"/>
        <w:jc w:val="left"/>
        <w:rPr>
          <w:rFonts w:hint="eastAsia" w:ascii="仿宋_GB2312" w:hAnsi="仿宋_GB2312" w:cs="仿宋_GB2312"/>
          <w:b/>
          <w:color w:val="000000" w:themeColor="text1"/>
          <w:sz w:val="24"/>
          <w14:textFill>
            <w14:solidFill>
              <w14:schemeClr w14:val="tx1"/>
            </w14:solidFill>
          </w14:textFill>
        </w:rPr>
      </w:pPr>
      <w:r>
        <w:rPr>
          <w:rFonts w:hint="eastAsia" w:ascii="仿宋_GB2312" w:hAnsi="仿宋_GB2312" w:cs="仿宋_GB2312"/>
          <w:b/>
          <w:color w:val="000000" w:themeColor="text1"/>
          <w:sz w:val="24"/>
          <w14:textFill>
            <w14:solidFill>
              <w14:schemeClr w14:val="tx1"/>
            </w14:solidFill>
          </w14:textFill>
        </w:rPr>
        <w:t>材料名称、规格型号、数量、金额</w:t>
      </w:r>
    </w:p>
    <w:p w14:paraId="10AF0301">
      <w:pPr>
        <w:numPr>
          <w:ilvl w:val="-1"/>
          <w:numId w:val="0"/>
        </w:numPr>
        <w:spacing w:line="360" w:lineRule="auto"/>
        <w:ind w:firstLine="0" w:firstLineChars="0"/>
        <w:jc w:val="left"/>
        <w:rPr>
          <w:rFonts w:hint="eastAsia" w:ascii="仿宋_GB2312" w:hAnsi="仿宋_GB2312" w:cs="仿宋_GB2312"/>
          <w:b/>
          <w:color w:val="000000" w:themeColor="text1"/>
          <w:sz w:val="24"/>
          <w14:textFill>
            <w14:solidFill>
              <w14:schemeClr w14:val="tx1"/>
            </w14:solidFill>
          </w14:textFill>
        </w:rPr>
      </w:pPr>
    </w:p>
    <w:tbl>
      <w:tblPr>
        <w:tblStyle w:val="21"/>
        <w:tblpPr w:leftFromText="180" w:rightFromText="180" w:vertAnchor="text" w:horzAnchor="page" w:tblpX="419" w:tblpY="238"/>
        <w:tblOverlap w:val="never"/>
        <w:tblW w:w="11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629"/>
        <w:gridCol w:w="1586"/>
        <w:gridCol w:w="621"/>
        <w:gridCol w:w="1085"/>
        <w:gridCol w:w="1546"/>
        <w:gridCol w:w="1375"/>
        <w:gridCol w:w="778"/>
        <w:gridCol w:w="1651"/>
        <w:gridCol w:w="909"/>
      </w:tblGrid>
      <w:tr w14:paraId="0794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trPr>
        <w:tc>
          <w:tcPr>
            <w:tcW w:w="1629" w:type="dxa"/>
            <w:vAlign w:val="center"/>
          </w:tcPr>
          <w:p w14:paraId="4CA43764">
            <w:pPr>
              <w:pStyle w:val="50"/>
              <w:spacing w:line="360" w:lineRule="auto"/>
              <w:ind w:firstLine="0" w:firstLineChars="0"/>
              <w:jc w:val="center"/>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材料名称</w:t>
            </w:r>
          </w:p>
        </w:tc>
        <w:tc>
          <w:tcPr>
            <w:tcW w:w="1586" w:type="dxa"/>
            <w:vAlign w:val="center"/>
          </w:tcPr>
          <w:p w14:paraId="0B310C55">
            <w:pPr>
              <w:pStyle w:val="50"/>
              <w:spacing w:line="360" w:lineRule="auto"/>
              <w:ind w:firstLine="0" w:firstLineChars="0"/>
              <w:jc w:val="center"/>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snapToGrid/>
                <w:color w:val="000000" w:themeColor="text1"/>
                <w:spacing w:val="0"/>
                <w:kern w:val="2"/>
                <w:sz w:val="24"/>
                <w:szCs w:val="24"/>
                <w:lang w:val="zh-CN"/>
                <w14:textFill>
                  <w14:solidFill>
                    <w14:schemeClr w14:val="tx1"/>
                  </w14:solidFill>
                </w14:textFill>
              </w:rPr>
              <w:t>强度等级</w:t>
            </w:r>
          </w:p>
        </w:tc>
        <w:tc>
          <w:tcPr>
            <w:tcW w:w="621" w:type="dxa"/>
            <w:vAlign w:val="center"/>
          </w:tcPr>
          <w:p w14:paraId="171DBFB8">
            <w:pPr>
              <w:pStyle w:val="50"/>
              <w:spacing w:line="300" w:lineRule="exact"/>
              <w:ind w:firstLine="0" w:firstLineChars="0"/>
              <w:jc w:val="center"/>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计量单位</w:t>
            </w:r>
          </w:p>
        </w:tc>
        <w:tc>
          <w:tcPr>
            <w:tcW w:w="1085" w:type="dxa"/>
            <w:vAlign w:val="center"/>
          </w:tcPr>
          <w:p w14:paraId="0705777C">
            <w:pPr>
              <w:pStyle w:val="50"/>
              <w:spacing w:line="300" w:lineRule="exact"/>
              <w:ind w:firstLine="0" w:firstLineChars="0"/>
              <w:jc w:val="center"/>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预估数量</w:t>
            </w:r>
          </w:p>
        </w:tc>
        <w:tc>
          <w:tcPr>
            <w:tcW w:w="1546" w:type="dxa"/>
            <w:vAlign w:val="center"/>
          </w:tcPr>
          <w:p w14:paraId="7662FFBF">
            <w:pPr>
              <w:widowControl/>
              <w:spacing w:line="540" w:lineRule="exact"/>
              <w:ind w:firstLine="0" w:firstLineChars="0"/>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不含税到场单价（元/m3）</w:t>
            </w:r>
          </w:p>
        </w:tc>
        <w:tc>
          <w:tcPr>
            <w:tcW w:w="1375" w:type="dxa"/>
            <w:vAlign w:val="center"/>
          </w:tcPr>
          <w:p w14:paraId="2BB0817A">
            <w:pPr>
              <w:widowControl/>
              <w:spacing w:line="540" w:lineRule="exact"/>
              <w:ind w:firstLine="0" w:firstLineChars="0"/>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不含税到场合价（元）</w:t>
            </w:r>
          </w:p>
        </w:tc>
        <w:tc>
          <w:tcPr>
            <w:tcW w:w="778" w:type="dxa"/>
            <w:vAlign w:val="center"/>
          </w:tcPr>
          <w:p w14:paraId="3904A14E">
            <w:pPr>
              <w:widowControl/>
              <w:spacing w:line="540" w:lineRule="exact"/>
              <w:ind w:firstLine="0" w:firstLineChars="0"/>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税率</w:t>
            </w:r>
          </w:p>
          <w:p w14:paraId="6402D890">
            <w:pPr>
              <w:widowControl/>
              <w:spacing w:line="540" w:lineRule="exact"/>
              <w:ind w:firstLine="0" w:firstLineChars="0"/>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w:t>
            </w:r>
          </w:p>
        </w:tc>
        <w:tc>
          <w:tcPr>
            <w:tcW w:w="1651" w:type="dxa"/>
            <w:vAlign w:val="center"/>
          </w:tcPr>
          <w:p w14:paraId="10252312">
            <w:pPr>
              <w:widowControl/>
              <w:spacing w:line="540" w:lineRule="exact"/>
              <w:ind w:firstLine="0" w:firstLineChars="0"/>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含税到场合价（元）</w:t>
            </w:r>
          </w:p>
        </w:tc>
        <w:tc>
          <w:tcPr>
            <w:tcW w:w="909" w:type="dxa"/>
            <w:vAlign w:val="center"/>
          </w:tcPr>
          <w:p w14:paraId="3FFFA3E6">
            <w:pPr>
              <w:widowControl/>
              <w:spacing w:line="540" w:lineRule="exact"/>
              <w:ind w:firstLine="0" w:firstLineChars="0"/>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备注</w:t>
            </w:r>
          </w:p>
        </w:tc>
      </w:tr>
      <w:tr w14:paraId="1D35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9" w:hRule="atLeast"/>
        </w:trPr>
        <w:tc>
          <w:tcPr>
            <w:tcW w:w="1629" w:type="dxa"/>
            <w:vAlign w:val="center"/>
          </w:tcPr>
          <w:p w14:paraId="50FB36F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商砼</w:t>
            </w:r>
          </w:p>
        </w:tc>
        <w:tc>
          <w:tcPr>
            <w:tcW w:w="1586" w:type="dxa"/>
            <w:vAlign w:val="center"/>
          </w:tcPr>
          <w:p w14:paraId="18CB9EF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C20</w:t>
            </w:r>
          </w:p>
        </w:tc>
        <w:tc>
          <w:tcPr>
            <w:tcW w:w="621" w:type="dxa"/>
            <w:vAlign w:val="center"/>
          </w:tcPr>
          <w:p w14:paraId="63E2DE0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m³</w:t>
            </w:r>
          </w:p>
        </w:tc>
        <w:tc>
          <w:tcPr>
            <w:tcW w:w="1085" w:type="dxa"/>
            <w:vAlign w:val="center"/>
          </w:tcPr>
          <w:p w14:paraId="2E8F41B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3995</w:t>
            </w:r>
          </w:p>
        </w:tc>
        <w:tc>
          <w:tcPr>
            <w:tcW w:w="1546" w:type="dxa"/>
            <w:vAlign w:val="center"/>
          </w:tcPr>
          <w:p w14:paraId="706F27EC">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1375" w:type="dxa"/>
            <w:vAlign w:val="center"/>
          </w:tcPr>
          <w:p w14:paraId="0FA79E5B">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778" w:type="dxa"/>
            <w:vAlign w:val="center"/>
          </w:tcPr>
          <w:p w14:paraId="60A8CF3B">
            <w:pPr>
              <w:widowControl/>
              <w:ind w:firstLine="0" w:firstLineChars="0"/>
              <w:jc w:val="center"/>
              <w:textAlignment w:val="center"/>
              <w:rPr>
                <w:rFonts w:hint="eastAsia" w:ascii="仿宋" w:hAnsi="仿宋" w:eastAsia="仿宋" w:cs="仿宋"/>
                <w:color w:val="000000"/>
                <w:kern w:val="0"/>
                <w:sz w:val="22"/>
                <w:szCs w:val="22"/>
                <w:u w:val="none"/>
                <w:lang w:bidi="ar"/>
              </w:rPr>
            </w:pPr>
            <w:r>
              <w:rPr>
                <w:rFonts w:hint="eastAsia" w:ascii="仿宋" w:hAnsi="仿宋" w:eastAsia="仿宋" w:cs="仿宋"/>
                <w:color w:val="000000"/>
                <w:kern w:val="0"/>
                <w:sz w:val="22"/>
                <w:szCs w:val="22"/>
                <w:u w:val="none"/>
                <w:lang w:val="en-US" w:eastAsia="zh-CN" w:bidi="ar"/>
              </w:rPr>
              <w:t>1</w:t>
            </w:r>
            <w:r>
              <w:rPr>
                <w:rFonts w:hint="eastAsia" w:ascii="仿宋" w:hAnsi="仿宋" w:eastAsia="仿宋" w:cs="仿宋"/>
                <w:color w:val="000000"/>
                <w:kern w:val="0"/>
                <w:sz w:val="22"/>
                <w:szCs w:val="22"/>
                <w:u w:val="none"/>
                <w:lang w:bidi="ar"/>
              </w:rPr>
              <w:t>3%</w:t>
            </w:r>
          </w:p>
        </w:tc>
        <w:tc>
          <w:tcPr>
            <w:tcW w:w="1651" w:type="dxa"/>
            <w:vAlign w:val="center"/>
          </w:tcPr>
          <w:p w14:paraId="642A2A44">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909" w:type="dxa"/>
            <w:vAlign w:val="center"/>
          </w:tcPr>
          <w:p w14:paraId="7E9484EB">
            <w:pPr>
              <w:pStyle w:val="50"/>
              <w:spacing w:line="360" w:lineRule="auto"/>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r>
      <w:tr w14:paraId="5854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9" w:hRule="atLeast"/>
        </w:trPr>
        <w:tc>
          <w:tcPr>
            <w:tcW w:w="1629" w:type="dxa"/>
            <w:vAlign w:val="center"/>
          </w:tcPr>
          <w:p w14:paraId="60F318F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商砼</w:t>
            </w:r>
          </w:p>
        </w:tc>
        <w:tc>
          <w:tcPr>
            <w:tcW w:w="1586" w:type="dxa"/>
            <w:vAlign w:val="center"/>
          </w:tcPr>
          <w:p w14:paraId="66492CF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C20细石</w:t>
            </w:r>
          </w:p>
        </w:tc>
        <w:tc>
          <w:tcPr>
            <w:tcW w:w="621" w:type="dxa"/>
            <w:vAlign w:val="center"/>
          </w:tcPr>
          <w:p w14:paraId="0CA2735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m³</w:t>
            </w:r>
          </w:p>
        </w:tc>
        <w:tc>
          <w:tcPr>
            <w:tcW w:w="1085" w:type="dxa"/>
            <w:vAlign w:val="center"/>
          </w:tcPr>
          <w:p w14:paraId="59E647B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675</w:t>
            </w:r>
          </w:p>
        </w:tc>
        <w:tc>
          <w:tcPr>
            <w:tcW w:w="1546" w:type="dxa"/>
            <w:vAlign w:val="center"/>
          </w:tcPr>
          <w:p w14:paraId="47516B2A">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1375" w:type="dxa"/>
            <w:vAlign w:val="center"/>
          </w:tcPr>
          <w:p w14:paraId="71610B6C">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778" w:type="dxa"/>
            <w:vAlign w:val="center"/>
          </w:tcPr>
          <w:p w14:paraId="02426667">
            <w:pPr>
              <w:widowControl/>
              <w:ind w:firstLine="0" w:firstLineChars="0"/>
              <w:jc w:val="center"/>
              <w:textAlignment w:val="center"/>
              <w:rPr>
                <w:rFonts w:hint="eastAsia" w:ascii="仿宋" w:hAnsi="仿宋" w:eastAsia="仿宋" w:cs="仿宋"/>
                <w:color w:val="000000"/>
                <w:kern w:val="0"/>
                <w:sz w:val="22"/>
                <w:szCs w:val="22"/>
                <w:u w:val="none"/>
                <w:lang w:bidi="ar"/>
              </w:rPr>
            </w:pPr>
            <w:r>
              <w:rPr>
                <w:rFonts w:hint="eastAsia" w:ascii="仿宋" w:hAnsi="仿宋" w:eastAsia="仿宋" w:cs="仿宋"/>
                <w:color w:val="000000"/>
                <w:kern w:val="0"/>
                <w:sz w:val="22"/>
                <w:szCs w:val="22"/>
                <w:u w:val="none"/>
                <w:lang w:val="en-US" w:eastAsia="zh-CN" w:bidi="ar"/>
              </w:rPr>
              <w:t>1</w:t>
            </w:r>
            <w:r>
              <w:rPr>
                <w:rFonts w:hint="eastAsia" w:ascii="仿宋" w:hAnsi="仿宋" w:eastAsia="仿宋" w:cs="仿宋"/>
                <w:color w:val="000000"/>
                <w:kern w:val="0"/>
                <w:sz w:val="22"/>
                <w:szCs w:val="22"/>
                <w:u w:val="none"/>
                <w:lang w:bidi="ar"/>
              </w:rPr>
              <w:t>3%</w:t>
            </w:r>
          </w:p>
        </w:tc>
        <w:tc>
          <w:tcPr>
            <w:tcW w:w="1651" w:type="dxa"/>
            <w:vAlign w:val="center"/>
          </w:tcPr>
          <w:p w14:paraId="6C2714CA">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909" w:type="dxa"/>
            <w:vAlign w:val="center"/>
          </w:tcPr>
          <w:p w14:paraId="0582182B">
            <w:pPr>
              <w:pStyle w:val="50"/>
              <w:spacing w:line="360" w:lineRule="auto"/>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r>
      <w:tr w14:paraId="326F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9" w:hRule="atLeast"/>
        </w:trPr>
        <w:tc>
          <w:tcPr>
            <w:tcW w:w="1629" w:type="dxa"/>
            <w:vAlign w:val="center"/>
          </w:tcPr>
          <w:p w14:paraId="472C23C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商砼</w:t>
            </w:r>
          </w:p>
        </w:tc>
        <w:tc>
          <w:tcPr>
            <w:tcW w:w="1586" w:type="dxa"/>
            <w:vAlign w:val="center"/>
          </w:tcPr>
          <w:p w14:paraId="48645C7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C25</w:t>
            </w:r>
          </w:p>
        </w:tc>
        <w:tc>
          <w:tcPr>
            <w:tcW w:w="621" w:type="dxa"/>
            <w:vAlign w:val="center"/>
          </w:tcPr>
          <w:p w14:paraId="290F6B1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m³</w:t>
            </w:r>
          </w:p>
        </w:tc>
        <w:tc>
          <w:tcPr>
            <w:tcW w:w="1085" w:type="dxa"/>
            <w:vAlign w:val="center"/>
          </w:tcPr>
          <w:p w14:paraId="4E545CE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1570</w:t>
            </w:r>
          </w:p>
        </w:tc>
        <w:tc>
          <w:tcPr>
            <w:tcW w:w="1546" w:type="dxa"/>
            <w:vAlign w:val="center"/>
          </w:tcPr>
          <w:p w14:paraId="08A97424">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1375" w:type="dxa"/>
            <w:vAlign w:val="center"/>
          </w:tcPr>
          <w:p w14:paraId="3101F933">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778" w:type="dxa"/>
            <w:vAlign w:val="center"/>
          </w:tcPr>
          <w:p w14:paraId="05D3D9D0">
            <w:pPr>
              <w:widowControl/>
              <w:ind w:firstLine="0" w:firstLineChars="0"/>
              <w:jc w:val="center"/>
              <w:textAlignment w:val="center"/>
              <w:rPr>
                <w:rFonts w:hint="eastAsia" w:ascii="仿宋" w:hAnsi="仿宋" w:eastAsia="仿宋" w:cs="仿宋"/>
                <w:color w:val="000000"/>
                <w:kern w:val="0"/>
                <w:sz w:val="22"/>
                <w:szCs w:val="22"/>
                <w:u w:val="none"/>
                <w:lang w:bidi="ar"/>
              </w:rPr>
            </w:pPr>
            <w:r>
              <w:rPr>
                <w:rFonts w:hint="eastAsia" w:ascii="仿宋" w:hAnsi="仿宋" w:eastAsia="仿宋" w:cs="仿宋"/>
                <w:color w:val="000000"/>
                <w:kern w:val="0"/>
                <w:sz w:val="22"/>
                <w:szCs w:val="22"/>
                <w:u w:val="none"/>
                <w:lang w:val="en-US" w:eastAsia="zh-CN" w:bidi="ar"/>
              </w:rPr>
              <w:t>1</w:t>
            </w:r>
            <w:r>
              <w:rPr>
                <w:rFonts w:hint="eastAsia" w:ascii="仿宋" w:hAnsi="仿宋" w:eastAsia="仿宋" w:cs="仿宋"/>
                <w:color w:val="000000"/>
                <w:kern w:val="0"/>
                <w:sz w:val="22"/>
                <w:szCs w:val="22"/>
                <w:u w:val="none"/>
                <w:lang w:bidi="ar"/>
              </w:rPr>
              <w:t>3%</w:t>
            </w:r>
            <w:r>
              <w:rPr>
                <w:rFonts w:hint="eastAsia" w:ascii="仿宋" w:hAnsi="仿宋" w:eastAsia="仿宋" w:cs="仿宋"/>
                <w:color w:val="000000"/>
                <w:kern w:val="0"/>
                <w:sz w:val="22"/>
                <w:szCs w:val="22"/>
                <w:u w:val="none"/>
                <w:lang w:eastAsia="zh-CN" w:bidi="ar"/>
              </w:rPr>
              <w:tab/>
            </w:r>
          </w:p>
        </w:tc>
        <w:tc>
          <w:tcPr>
            <w:tcW w:w="1651" w:type="dxa"/>
            <w:vAlign w:val="center"/>
          </w:tcPr>
          <w:p w14:paraId="2F694F32">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909" w:type="dxa"/>
            <w:vAlign w:val="center"/>
          </w:tcPr>
          <w:p w14:paraId="127B3283">
            <w:pPr>
              <w:pStyle w:val="50"/>
              <w:spacing w:line="360" w:lineRule="auto"/>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r>
      <w:tr w14:paraId="0AF2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9" w:hRule="atLeast"/>
        </w:trPr>
        <w:tc>
          <w:tcPr>
            <w:tcW w:w="1629" w:type="dxa"/>
            <w:vAlign w:val="center"/>
          </w:tcPr>
          <w:p w14:paraId="50CA67C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商砼</w:t>
            </w:r>
          </w:p>
        </w:tc>
        <w:tc>
          <w:tcPr>
            <w:tcW w:w="1586" w:type="dxa"/>
            <w:vAlign w:val="center"/>
          </w:tcPr>
          <w:p w14:paraId="01675B8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C30</w:t>
            </w:r>
          </w:p>
        </w:tc>
        <w:tc>
          <w:tcPr>
            <w:tcW w:w="621" w:type="dxa"/>
            <w:vAlign w:val="center"/>
          </w:tcPr>
          <w:p w14:paraId="28E2BB9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m³</w:t>
            </w:r>
          </w:p>
        </w:tc>
        <w:tc>
          <w:tcPr>
            <w:tcW w:w="1085" w:type="dxa"/>
            <w:vAlign w:val="center"/>
          </w:tcPr>
          <w:p w14:paraId="3DC3DDB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35400</w:t>
            </w:r>
          </w:p>
        </w:tc>
        <w:tc>
          <w:tcPr>
            <w:tcW w:w="1546" w:type="dxa"/>
            <w:vAlign w:val="center"/>
          </w:tcPr>
          <w:p w14:paraId="3C54956A">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1375" w:type="dxa"/>
            <w:vAlign w:val="center"/>
          </w:tcPr>
          <w:p w14:paraId="56C770E8">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778" w:type="dxa"/>
            <w:vAlign w:val="center"/>
          </w:tcPr>
          <w:p w14:paraId="43039C2F">
            <w:pPr>
              <w:widowControl/>
              <w:ind w:firstLine="0" w:firstLineChars="0"/>
              <w:jc w:val="center"/>
              <w:textAlignment w:val="center"/>
              <w:rPr>
                <w:rFonts w:hint="eastAsia" w:ascii="仿宋" w:hAnsi="仿宋" w:eastAsia="仿宋" w:cs="仿宋"/>
                <w:color w:val="000000"/>
                <w:kern w:val="0"/>
                <w:sz w:val="22"/>
                <w:szCs w:val="22"/>
                <w:u w:val="none"/>
                <w:lang w:bidi="ar"/>
              </w:rPr>
            </w:pPr>
            <w:r>
              <w:rPr>
                <w:rFonts w:hint="eastAsia" w:ascii="仿宋" w:hAnsi="仿宋" w:eastAsia="仿宋" w:cs="仿宋"/>
                <w:color w:val="000000"/>
                <w:kern w:val="0"/>
                <w:sz w:val="22"/>
                <w:szCs w:val="22"/>
                <w:u w:val="none"/>
                <w:lang w:val="en-US" w:eastAsia="zh-CN" w:bidi="ar"/>
              </w:rPr>
              <w:t>1</w:t>
            </w:r>
            <w:r>
              <w:rPr>
                <w:rFonts w:hint="eastAsia" w:ascii="仿宋" w:hAnsi="仿宋" w:eastAsia="仿宋" w:cs="仿宋"/>
                <w:color w:val="000000"/>
                <w:kern w:val="0"/>
                <w:sz w:val="22"/>
                <w:szCs w:val="22"/>
                <w:u w:val="none"/>
                <w:lang w:bidi="ar"/>
              </w:rPr>
              <w:t>3%</w:t>
            </w:r>
          </w:p>
        </w:tc>
        <w:tc>
          <w:tcPr>
            <w:tcW w:w="1651" w:type="dxa"/>
            <w:vAlign w:val="center"/>
          </w:tcPr>
          <w:p w14:paraId="23A972A7">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909" w:type="dxa"/>
            <w:vAlign w:val="center"/>
          </w:tcPr>
          <w:p w14:paraId="69DC147F">
            <w:pPr>
              <w:pStyle w:val="50"/>
              <w:spacing w:line="360" w:lineRule="auto"/>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r>
      <w:tr w14:paraId="5576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9" w:hRule="atLeast"/>
        </w:trPr>
        <w:tc>
          <w:tcPr>
            <w:tcW w:w="1629" w:type="dxa"/>
            <w:vAlign w:val="center"/>
          </w:tcPr>
          <w:p w14:paraId="491A692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商砼</w:t>
            </w:r>
          </w:p>
        </w:tc>
        <w:tc>
          <w:tcPr>
            <w:tcW w:w="1586" w:type="dxa"/>
            <w:vAlign w:val="center"/>
          </w:tcPr>
          <w:p w14:paraId="4E92C0A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C30P8</w:t>
            </w:r>
          </w:p>
        </w:tc>
        <w:tc>
          <w:tcPr>
            <w:tcW w:w="621" w:type="dxa"/>
            <w:vAlign w:val="center"/>
          </w:tcPr>
          <w:p w14:paraId="3DA0FFC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m³</w:t>
            </w:r>
          </w:p>
        </w:tc>
        <w:tc>
          <w:tcPr>
            <w:tcW w:w="1085" w:type="dxa"/>
            <w:vAlign w:val="center"/>
          </w:tcPr>
          <w:p w14:paraId="3AA02C5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5750</w:t>
            </w:r>
          </w:p>
        </w:tc>
        <w:tc>
          <w:tcPr>
            <w:tcW w:w="1546" w:type="dxa"/>
            <w:vAlign w:val="center"/>
          </w:tcPr>
          <w:p w14:paraId="45F9151B">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1375" w:type="dxa"/>
            <w:vAlign w:val="center"/>
          </w:tcPr>
          <w:p w14:paraId="6E488AB4">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778" w:type="dxa"/>
            <w:vAlign w:val="center"/>
          </w:tcPr>
          <w:p w14:paraId="5479D089">
            <w:pPr>
              <w:widowControl/>
              <w:ind w:firstLine="0" w:firstLineChars="0"/>
              <w:jc w:val="center"/>
              <w:textAlignment w:val="center"/>
              <w:rPr>
                <w:rFonts w:hint="eastAsia" w:ascii="仿宋" w:hAnsi="仿宋" w:eastAsia="仿宋" w:cs="仿宋"/>
                <w:color w:val="000000"/>
                <w:kern w:val="0"/>
                <w:sz w:val="22"/>
                <w:szCs w:val="22"/>
                <w:u w:val="none"/>
                <w:lang w:bidi="ar"/>
              </w:rPr>
            </w:pPr>
            <w:r>
              <w:rPr>
                <w:rFonts w:hint="eastAsia" w:ascii="仿宋" w:hAnsi="仿宋" w:eastAsia="仿宋" w:cs="仿宋"/>
                <w:color w:val="000000"/>
                <w:kern w:val="0"/>
                <w:sz w:val="22"/>
                <w:szCs w:val="22"/>
                <w:u w:val="none"/>
                <w:lang w:val="en-US" w:eastAsia="zh-CN" w:bidi="ar"/>
              </w:rPr>
              <w:t>1</w:t>
            </w:r>
            <w:r>
              <w:rPr>
                <w:rFonts w:hint="eastAsia" w:ascii="仿宋" w:hAnsi="仿宋" w:eastAsia="仿宋" w:cs="仿宋"/>
                <w:color w:val="000000"/>
                <w:kern w:val="0"/>
                <w:sz w:val="22"/>
                <w:szCs w:val="22"/>
                <w:u w:val="none"/>
                <w:lang w:bidi="ar"/>
              </w:rPr>
              <w:t>3%</w:t>
            </w:r>
          </w:p>
        </w:tc>
        <w:tc>
          <w:tcPr>
            <w:tcW w:w="1651" w:type="dxa"/>
            <w:vAlign w:val="center"/>
          </w:tcPr>
          <w:p w14:paraId="643A1430">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909" w:type="dxa"/>
            <w:vAlign w:val="center"/>
          </w:tcPr>
          <w:p w14:paraId="10607413">
            <w:pPr>
              <w:pStyle w:val="50"/>
              <w:spacing w:line="360" w:lineRule="auto"/>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r>
      <w:tr w14:paraId="05AF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9" w:hRule="atLeast"/>
        </w:trPr>
        <w:tc>
          <w:tcPr>
            <w:tcW w:w="1629" w:type="dxa"/>
            <w:vAlign w:val="center"/>
          </w:tcPr>
          <w:p w14:paraId="6CB8225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商砼</w:t>
            </w:r>
          </w:p>
        </w:tc>
        <w:tc>
          <w:tcPr>
            <w:tcW w:w="1586" w:type="dxa"/>
            <w:vAlign w:val="center"/>
          </w:tcPr>
          <w:p w14:paraId="0FE9C76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C30细石</w:t>
            </w:r>
          </w:p>
        </w:tc>
        <w:tc>
          <w:tcPr>
            <w:tcW w:w="621" w:type="dxa"/>
            <w:shd w:val="clear" w:color="auto" w:fill="auto"/>
            <w:vAlign w:val="center"/>
          </w:tcPr>
          <w:p w14:paraId="1A50C91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m³</w:t>
            </w:r>
          </w:p>
        </w:tc>
        <w:tc>
          <w:tcPr>
            <w:tcW w:w="1085" w:type="dxa"/>
            <w:vAlign w:val="center"/>
          </w:tcPr>
          <w:p w14:paraId="086E7FF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1184</w:t>
            </w:r>
          </w:p>
        </w:tc>
        <w:tc>
          <w:tcPr>
            <w:tcW w:w="1546" w:type="dxa"/>
            <w:vAlign w:val="center"/>
          </w:tcPr>
          <w:p w14:paraId="356829BF">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1375" w:type="dxa"/>
            <w:vAlign w:val="center"/>
          </w:tcPr>
          <w:p w14:paraId="000D6126">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778" w:type="dxa"/>
            <w:vAlign w:val="center"/>
          </w:tcPr>
          <w:p w14:paraId="599E77E9">
            <w:pPr>
              <w:widowControl/>
              <w:ind w:firstLine="0" w:firstLineChars="0"/>
              <w:jc w:val="center"/>
              <w:textAlignment w:val="center"/>
              <w:rPr>
                <w:rFonts w:hint="eastAsia" w:ascii="仿宋" w:hAnsi="仿宋" w:eastAsia="仿宋" w:cs="仿宋"/>
                <w:color w:val="000000"/>
                <w:kern w:val="0"/>
                <w:sz w:val="22"/>
                <w:szCs w:val="22"/>
                <w:u w:val="none"/>
                <w:lang w:bidi="ar"/>
              </w:rPr>
            </w:pPr>
            <w:r>
              <w:rPr>
                <w:rFonts w:hint="eastAsia" w:ascii="仿宋" w:hAnsi="仿宋" w:eastAsia="仿宋" w:cs="仿宋"/>
                <w:color w:val="000000"/>
                <w:kern w:val="0"/>
                <w:sz w:val="22"/>
                <w:szCs w:val="22"/>
                <w:u w:val="none"/>
                <w:lang w:val="en-US" w:eastAsia="zh-CN" w:bidi="ar"/>
              </w:rPr>
              <w:t>1</w:t>
            </w:r>
            <w:r>
              <w:rPr>
                <w:rFonts w:hint="eastAsia" w:ascii="仿宋" w:hAnsi="仿宋" w:eastAsia="仿宋" w:cs="仿宋"/>
                <w:color w:val="000000"/>
                <w:kern w:val="0"/>
                <w:sz w:val="22"/>
                <w:szCs w:val="22"/>
                <w:u w:val="none"/>
                <w:lang w:bidi="ar"/>
              </w:rPr>
              <w:t>3%</w:t>
            </w:r>
          </w:p>
        </w:tc>
        <w:tc>
          <w:tcPr>
            <w:tcW w:w="1651" w:type="dxa"/>
            <w:vAlign w:val="center"/>
          </w:tcPr>
          <w:p w14:paraId="4EE2F471">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909" w:type="dxa"/>
            <w:vAlign w:val="center"/>
          </w:tcPr>
          <w:p w14:paraId="0F6EAE9B">
            <w:pPr>
              <w:pStyle w:val="50"/>
              <w:spacing w:line="360" w:lineRule="auto"/>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r>
      <w:tr w14:paraId="72A7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9" w:hRule="atLeast"/>
        </w:trPr>
        <w:tc>
          <w:tcPr>
            <w:tcW w:w="1629" w:type="dxa"/>
            <w:vAlign w:val="center"/>
          </w:tcPr>
          <w:p w14:paraId="6677D21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商砼</w:t>
            </w:r>
          </w:p>
        </w:tc>
        <w:tc>
          <w:tcPr>
            <w:tcW w:w="1586" w:type="dxa"/>
            <w:vAlign w:val="center"/>
          </w:tcPr>
          <w:p w14:paraId="4B72180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C35</w:t>
            </w:r>
          </w:p>
        </w:tc>
        <w:tc>
          <w:tcPr>
            <w:tcW w:w="621" w:type="dxa"/>
            <w:shd w:val="clear" w:color="auto" w:fill="auto"/>
            <w:vAlign w:val="center"/>
          </w:tcPr>
          <w:p w14:paraId="09941DE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m³</w:t>
            </w:r>
          </w:p>
        </w:tc>
        <w:tc>
          <w:tcPr>
            <w:tcW w:w="1085" w:type="dxa"/>
            <w:vAlign w:val="center"/>
          </w:tcPr>
          <w:p w14:paraId="21E5B99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846</w:t>
            </w:r>
          </w:p>
        </w:tc>
        <w:tc>
          <w:tcPr>
            <w:tcW w:w="1546" w:type="dxa"/>
            <w:vAlign w:val="center"/>
          </w:tcPr>
          <w:p w14:paraId="3E1DDF87">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1375" w:type="dxa"/>
            <w:vAlign w:val="center"/>
          </w:tcPr>
          <w:p w14:paraId="12EA0B28">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778" w:type="dxa"/>
            <w:vAlign w:val="center"/>
          </w:tcPr>
          <w:p w14:paraId="1D8C0187">
            <w:pPr>
              <w:widowControl/>
              <w:ind w:firstLine="0" w:firstLineChars="0"/>
              <w:jc w:val="center"/>
              <w:textAlignment w:val="center"/>
              <w:rPr>
                <w:rFonts w:hint="eastAsia" w:ascii="仿宋" w:hAnsi="仿宋" w:eastAsia="仿宋" w:cs="仿宋"/>
                <w:color w:val="000000"/>
                <w:kern w:val="0"/>
                <w:sz w:val="22"/>
                <w:szCs w:val="22"/>
                <w:u w:val="none"/>
                <w:lang w:bidi="ar"/>
              </w:rPr>
            </w:pPr>
            <w:r>
              <w:rPr>
                <w:rFonts w:hint="eastAsia" w:ascii="仿宋" w:hAnsi="仿宋" w:eastAsia="仿宋" w:cs="仿宋"/>
                <w:color w:val="000000"/>
                <w:kern w:val="0"/>
                <w:sz w:val="22"/>
                <w:szCs w:val="22"/>
                <w:u w:val="none"/>
                <w:lang w:val="en-US" w:eastAsia="zh-CN" w:bidi="ar"/>
              </w:rPr>
              <w:t>1</w:t>
            </w:r>
            <w:r>
              <w:rPr>
                <w:rFonts w:hint="eastAsia" w:ascii="仿宋" w:hAnsi="仿宋" w:eastAsia="仿宋" w:cs="仿宋"/>
                <w:color w:val="000000"/>
                <w:kern w:val="0"/>
                <w:sz w:val="22"/>
                <w:szCs w:val="22"/>
                <w:u w:val="none"/>
                <w:lang w:bidi="ar"/>
              </w:rPr>
              <w:t>3%</w:t>
            </w:r>
          </w:p>
        </w:tc>
        <w:tc>
          <w:tcPr>
            <w:tcW w:w="1651" w:type="dxa"/>
            <w:vAlign w:val="center"/>
          </w:tcPr>
          <w:p w14:paraId="23109D17">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909" w:type="dxa"/>
            <w:vAlign w:val="center"/>
          </w:tcPr>
          <w:p w14:paraId="51BB96BA">
            <w:pPr>
              <w:pStyle w:val="50"/>
              <w:spacing w:line="360" w:lineRule="auto"/>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r>
      <w:tr w14:paraId="5515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9" w:hRule="atLeast"/>
        </w:trPr>
        <w:tc>
          <w:tcPr>
            <w:tcW w:w="1629" w:type="dxa"/>
            <w:vAlign w:val="center"/>
          </w:tcPr>
          <w:p w14:paraId="73433B1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商砼</w:t>
            </w:r>
          </w:p>
        </w:tc>
        <w:tc>
          <w:tcPr>
            <w:tcW w:w="1586" w:type="dxa"/>
            <w:vAlign w:val="center"/>
          </w:tcPr>
          <w:p w14:paraId="2F18E1D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C40微膨胀细石</w:t>
            </w:r>
          </w:p>
        </w:tc>
        <w:tc>
          <w:tcPr>
            <w:tcW w:w="621" w:type="dxa"/>
            <w:shd w:val="clear" w:color="auto" w:fill="auto"/>
            <w:vAlign w:val="center"/>
          </w:tcPr>
          <w:p w14:paraId="1C1AF34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m³</w:t>
            </w:r>
          </w:p>
        </w:tc>
        <w:tc>
          <w:tcPr>
            <w:tcW w:w="1085" w:type="dxa"/>
            <w:vAlign w:val="center"/>
          </w:tcPr>
          <w:p w14:paraId="0CD342E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368</w:t>
            </w:r>
          </w:p>
        </w:tc>
        <w:tc>
          <w:tcPr>
            <w:tcW w:w="1546" w:type="dxa"/>
            <w:vAlign w:val="center"/>
          </w:tcPr>
          <w:p w14:paraId="0D56B471">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1375" w:type="dxa"/>
            <w:vAlign w:val="center"/>
          </w:tcPr>
          <w:p w14:paraId="7E7AD75D">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778" w:type="dxa"/>
            <w:vAlign w:val="center"/>
          </w:tcPr>
          <w:p w14:paraId="2F0CCFB7">
            <w:pPr>
              <w:widowControl/>
              <w:ind w:firstLine="0" w:firstLineChars="0"/>
              <w:jc w:val="center"/>
              <w:textAlignment w:val="center"/>
              <w:rPr>
                <w:rFonts w:hint="eastAsia" w:ascii="仿宋" w:hAnsi="仿宋" w:eastAsia="仿宋" w:cs="仿宋"/>
                <w:color w:val="000000"/>
                <w:kern w:val="0"/>
                <w:sz w:val="22"/>
                <w:szCs w:val="22"/>
                <w:u w:val="none"/>
                <w:lang w:bidi="ar"/>
              </w:rPr>
            </w:pPr>
            <w:r>
              <w:rPr>
                <w:rFonts w:hint="eastAsia" w:ascii="仿宋" w:hAnsi="仿宋" w:eastAsia="仿宋" w:cs="仿宋"/>
                <w:color w:val="000000"/>
                <w:kern w:val="0"/>
                <w:sz w:val="22"/>
                <w:szCs w:val="22"/>
                <w:u w:val="none"/>
                <w:lang w:val="en-US" w:eastAsia="zh-CN" w:bidi="ar"/>
              </w:rPr>
              <w:t>1</w:t>
            </w:r>
            <w:r>
              <w:rPr>
                <w:rFonts w:hint="eastAsia" w:ascii="仿宋" w:hAnsi="仿宋" w:eastAsia="仿宋" w:cs="仿宋"/>
                <w:color w:val="000000"/>
                <w:kern w:val="0"/>
                <w:sz w:val="22"/>
                <w:szCs w:val="22"/>
                <w:u w:val="none"/>
                <w:lang w:bidi="ar"/>
              </w:rPr>
              <w:t>3%</w:t>
            </w:r>
          </w:p>
        </w:tc>
        <w:tc>
          <w:tcPr>
            <w:tcW w:w="1651" w:type="dxa"/>
            <w:vAlign w:val="center"/>
          </w:tcPr>
          <w:p w14:paraId="65CD9D83">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909" w:type="dxa"/>
            <w:vAlign w:val="center"/>
          </w:tcPr>
          <w:p w14:paraId="5E79784A">
            <w:pPr>
              <w:pStyle w:val="50"/>
              <w:spacing w:line="360" w:lineRule="auto"/>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r>
      <w:tr w14:paraId="532D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9" w:hRule="atLeast"/>
        </w:trPr>
        <w:tc>
          <w:tcPr>
            <w:tcW w:w="1629" w:type="dxa"/>
            <w:vAlign w:val="center"/>
          </w:tcPr>
          <w:p w14:paraId="1099180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商砼</w:t>
            </w:r>
          </w:p>
        </w:tc>
        <w:tc>
          <w:tcPr>
            <w:tcW w:w="1586" w:type="dxa"/>
            <w:vAlign w:val="center"/>
          </w:tcPr>
          <w:p w14:paraId="36CB3EA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C50</w:t>
            </w:r>
          </w:p>
        </w:tc>
        <w:tc>
          <w:tcPr>
            <w:tcW w:w="621" w:type="dxa"/>
            <w:shd w:val="clear" w:color="auto" w:fill="auto"/>
            <w:vAlign w:val="center"/>
          </w:tcPr>
          <w:p w14:paraId="5D6A539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m³</w:t>
            </w:r>
          </w:p>
        </w:tc>
        <w:tc>
          <w:tcPr>
            <w:tcW w:w="1085" w:type="dxa"/>
            <w:vAlign w:val="center"/>
          </w:tcPr>
          <w:p w14:paraId="01E4079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2200</w:t>
            </w:r>
          </w:p>
        </w:tc>
        <w:tc>
          <w:tcPr>
            <w:tcW w:w="1546" w:type="dxa"/>
            <w:vAlign w:val="center"/>
          </w:tcPr>
          <w:p w14:paraId="6D957D0C">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1375" w:type="dxa"/>
            <w:vAlign w:val="center"/>
          </w:tcPr>
          <w:p w14:paraId="10210032">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778" w:type="dxa"/>
            <w:vAlign w:val="center"/>
          </w:tcPr>
          <w:p w14:paraId="0AD3EB9D">
            <w:pPr>
              <w:widowControl/>
              <w:ind w:firstLine="0" w:firstLineChars="0"/>
              <w:jc w:val="center"/>
              <w:textAlignment w:val="center"/>
              <w:rPr>
                <w:rFonts w:hint="eastAsia" w:ascii="仿宋" w:hAnsi="仿宋" w:eastAsia="仿宋" w:cs="仿宋"/>
                <w:color w:val="000000"/>
                <w:kern w:val="0"/>
                <w:sz w:val="22"/>
                <w:szCs w:val="22"/>
                <w:u w:val="none"/>
                <w:lang w:bidi="ar"/>
              </w:rPr>
            </w:pPr>
            <w:r>
              <w:rPr>
                <w:rFonts w:hint="eastAsia" w:ascii="仿宋" w:hAnsi="仿宋" w:eastAsia="仿宋" w:cs="仿宋"/>
                <w:color w:val="000000"/>
                <w:kern w:val="0"/>
                <w:sz w:val="22"/>
                <w:szCs w:val="22"/>
                <w:u w:val="none"/>
                <w:lang w:val="en-US" w:eastAsia="zh-CN" w:bidi="ar"/>
              </w:rPr>
              <w:t>1</w:t>
            </w:r>
            <w:r>
              <w:rPr>
                <w:rFonts w:hint="eastAsia" w:ascii="仿宋" w:hAnsi="仿宋" w:eastAsia="仿宋" w:cs="仿宋"/>
                <w:color w:val="000000"/>
                <w:kern w:val="0"/>
                <w:sz w:val="22"/>
                <w:szCs w:val="22"/>
                <w:u w:val="none"/>
                <w:lang w:bidi="ar"/>
              </w:rPr>
              <w:t>3%</w:t>
            </w:r>
          </w:p>
        </w:tc>
        <w:tc>
          <w:tcPr>
            <w:tcW w:w="1651" w:type="dxa"/>
            <w:vAlign w:val="center"/>
          </w:tcPr>
          <w:p w14:paraId="77AE0F9D">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909" w:type="dxa"/>
            <w:vAlign w:val="center"/>
          </w:tcPr>
          <w:p w14:paraId="7AACFF69">
            <w:pPr>
              <w:pStyle w:val="50"/>
              <w:spacing w:line="360" w:lineRule="auto"/>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r>
      <w:tr w14:paraId="7EEB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9" w:hRule="atLeast"/>
        </w:trPr>
        <w:tc>
          <w:tcPr>
            <w:tcW w:w="1629" w:type="dxa"/>
            <w:vAlign w:val="center"/>
          </w:tcPr>
          <w:p w14:paraId="4E19E91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37米天泵至52 米天泵</w:t>
            </w:r>
          </w:p>
        </w:tc>
        <w:tc>
          <w:tcPr>
            <w:tcW w:w="1586" w:type="dxa"/>
            <w:vAlign w:val="center"/>
          </w:tcPr>
          <w:p w14:paraId="0891019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不超过80方</w:t>
            </w:r>
          </w:p>
        </w:tc>
        <w:tc>
          <w:tcPr>
            <w:tcW w:w="621" w:type="dxa"/>
            <w:shd w:val="clear" w:color="auto" w:fill="auto"/>
            <w:vAlign w:val="center"/>
          </w:tcPr>
          <w:p w14:paraId="433674A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天</w:t>
            </w:r>
          </w:p>
        </w:tc>
        <w:tc>
          <w:tcPr>
            <w:tcW w:w="1085" w:type="dxa"/>
            <w:vAlign w:val="center"/>
          </w:tcPr>
          <w:p w14:paraId="59989DE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1546" w:type="dxa"/>
            <w:vAlign w:val="center"/>
          </w:tcPr>
          <w:p w14:paraId="56ECF0E4">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1375" w:type="dxa"/>
            <w:vAlign w:val="center"/>
          </w:tcPr>
          <w:p w14:paraId="7C90869C">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778" w:type="dxa"/>
            <w:vAlign w:val="center"/>
          </w:tcPr>
          <w:p w14:paraId="1EA18A92">
            <w:pPr>
              <w:widowControl/>
              <w:ind w:firstLine="0" w:firstLineChars="0"/>
              <w:jc w:val="center"/>
              <w:textAlignment w:val="center"/>
              <w:rPr>
                <w:rFonts w:hint="eastAsia" w:ascii="仿宋" w:hAnsi="仿宋" w:eastAsia="仿宋" w:cs="仿宋"/>
                <w:color w:val="000000"/>
                <w:kern w:val="0"/>
                <w:sz w:val="22"/>
                <w:szCs w:val="22"/>
                <w:u w:val="none"/>
                <w:lang w:bidi="ar"/>
              </w:rPr>
            </w:pPr>
            <w:r>
              <w:rPr>
                <w:rFonts w:hint="eastAsia" w:ascii="仿宋" w:hAnsi="仿宋" w:eastAsia="仿宋" w:cs="仿宋"/>
                <w:color w:val="000000"/>
                <w:kern w:val="0"/>
                <w:sz w:val="22"/>
                <w:szCs w:val="22"/>
                <w:u w:val="none"/>
                <w:lang w:val="en-US" w:eastAsia="zh-CN" w:bidi="ar"/>
              </w:rPr>
              <w:t>1</w:t>
            </w:r>
            <w:r>
              <w:rPr>
                <w:rFonts w:hint="eastAsia" w:ascii="仿宋" w:hAnsi="仿宋" w:eastAsia="仿宋" w:cs="仿宋"/>
                <w:color w:val="000000"/>
                <w:kern w:val="0"/>
                <w:sz w:val="22"/>
                <w:szCs w:val="22"/>
                <w:u w:val="none"/>
                <w:lang w:bidi="ar"/>
              </w:rPr>
              <w:t>3%</w:t>
            </w:r>
          </w:p>
        </w:tc>
        <w:tc>
          <w:tcPr>
            <w:tcW w:w="1651" w:type="dxa"/>
            <w:vAlign w:val="center"/>
          </w:tcPr>
          <w:p w14:paraId="51282519">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909" w:type="dxa"/>
            <w:vAlign w:val="center"/>
          </w:tcPr>
          <w:p w14:paraId="0593B8A1">
            <w:pPr>
              <w:pStyle w:val="50"/>
              <w:spacing w:line="360" w:lineRule="auto"/>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r>
      <w:tr w14:paraId="1D77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9" w:hRule="atLeast"/>
        </w:trPr>
        <w:tc>
          <w:tcPr>
            <w:tcW w:w="1629" w:type="dxa"/>
            <w:vAlign w:val="center"/>
          </w:tcPr>
          <w:p w14:paraId="59B4E5F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37米天泵至52 米天泵</w:t>
            </w:r>
          </w:p>
        </w:tc>
        <w:tc>
          <w:tcPr>
            <w:tcW w:w="1586" w:type="dxa"/>
            <w:vAlign w:val="center"/>
          </w:tcPr>
          <w:p w14:paraId="7770846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超过80方</w:t>
            </w:r>
          </w:p>
        </w:tc>
        <w:tc>
          <w:tcPr>
            <w:tcW w:w="621" w:type="dxa"/>
            <w:shd w:val="clear" w:color="auto" w:fill="auto"/>
            <w:vAlign w:val="center"/>
          </w:tcPr>
          <w:p w14:paraId="50A4B89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m³</w:t>
            </w:r>
          </w:p>
        </w:tc>
        <w:tc>
          <w:tcPr>
            <w:tcW w:w="1085" w:type="dxa"/>
            <w:vAlign w:val="center"/>
          </w:tcPr>
          <w:p w14:paraId="1C2A717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22000</w:t>
            </w:r>
          </w:p>
        </w:tc>
        <w:tc>
          <w:tcPr>
            <w:tcW w:w="1546" w:type="dxa"/>
            <w:vAlign w:val="center"/>
          </w:tcPr>
          <w:p w14:paraId="137F3225">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1375" w:type="dxa"/>
            <w:vAlign w:val="center"/>
          </w:tcPr>
          <w:p w14:paraId="4990A918">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778" w:type="dxa"/>
            <w:vAlign w:val="center"/>
          </w:tcPr>
          <w:p w14:paraId="4C933687">
            <w:pPr>
              <w:widowControl/>
              <w:ind w:firstLine="0" w:firstLineChars="0"/>
              <w:jc w:val="center"/>
              <w:textAlignment w:val="center"/>
              <w:rPr>
                <w:rFonts w:hint="eastAsia" w:ascii="仿宋" w:hAnsi="仿宋" w:eastAsia="仿宋" w:cs="仿宋"/>
                <w:color w:val="000000"/>
                <w:kern w:val="0"/>
                <w:sz w:val="22"/>
                <w:szCs w:val="22"/>
                <w:u w:val="none"/>
                <w:lang w:bidi="ar"/>
              </w:rPr>
            </w:pPr>
            <w:r>
              <w:rPr>
                <w:rFonts w:hint="eastAsia" w:ascii="仿宋" w:hAnsi="仿宋" w:eastAsia="仿宋" w:cs="仿宋"/>
                <w:color w:val="000000"/>
                <w:kern w:val="0"/>
                <w:sz w:val="22"/>
                <w:szCs w:val="22"/>
                <w:u w:val="none"/>
                <w:lang w:val="en-US" w:eastAsia="zh-CN" w:bidi="ar"/>
              </w:rPr>
              <w:t>1</w:t>
            </w:r>
            <w:r>
              <w:rPr>
                <w:rFonts w:hint="eastAsia" w:ascii="仿宋" w:hAnsi="仿宋" w:eastAsia="仿宋" w:cs="仿宋"/>
                <w:color w:val="000000"/>
                <w:kern w:val="0"/>
                <w:sz w:val="22"/>
                <w:szCs w:val="22"/>
                <w:u w:val="none"/>
                <w:lang w:bidi="ar"/>
              </w:rPr>
              <w:t>3%</w:t>
            </w:r>
          </w:p>
        </w:tc>
        <w:tc>
          <w:tcPr>
            <w:tcW w:w="1651" w:type="dxa"/>
            <w:vAlign w:val="center"/>
          </w:tcPr>
          <w:p w14:paraId="40DB691E">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909" w:type="dxa"/>
            <w:vAlign w:val="center"/>
          </w:tcPr>
          <w:p w14:paraId="6772325F">
            <w:pPr>
              <w:pStyle w:val="50"/>
              <w:spacing w:line="360" w:lineRule="auto"/>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r>
      <w:tr w14:paraId="7861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9" w:hRule="atLeast"/>
        </w:trPr>
        <w:tc>
          <w:tcPr>
            <w:tcW w:w="1629" w:type="dxa"/>
            <w:vAlign w:val="center"/>
          </w:tcPr>
          <w:p w14:paraId="6ECB75B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53 米以上天泵</w:t>
            </w:r>
          </w:p>
        </w:tc>
        <w:tc>
          <w:tcPr>
            <w:tcW w:w="1586" w:type="dxa"/>
            <w:vAlign w:val="center"/>
          </w:tcPr>
          <w:p w14:paraId="2313D2A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不超过80方</w:t>
            </w:r>
          </w:p>
        </w:tc>
        <w:tc>
          <w:tcPr>
            <w:tcW w:w="621" w:type="dxa"/>
            <w:shd w:val="clear" w:color="auto" w:fill="auto"/>
            <w:vAlign w:val="center"/>
          </w:tcPr>
          <w:p w14:paraId="40B0B32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天</w:t>
            </w:r>
          </w:p>
        </w:tc>
        <w:tc>
          <w:tcPr>
            <w:tcW w:w="1085" w:type="dxa"/>
            <w:vAlign w:val="center"/>
          </w:tcPr>
          <w:p w14:paraId="02745D3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w:t>
            </w:r>
          </w:p>
        </w:tc>
        <w:tc>
          <w:tcPr>
            <w:tcW w:w="1546" w:type="dxa"/>
            <w:vAlign w:val="center"/>
          </w:tcPr>
          <w:p w14:paraId="6B602C87">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1375" w:type="dxa"/>
            <w:vAlign w:val="center"/>
          </w:tcPr>
          <w:p w14:paraId="2A848E49">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778" w:type="dxa"/>
            <w:vAlign w:val="center"/>
          </w:tcPr>
          <w:p w14:paraId="448D9DEA">
            <w:pPr>
              <w:widowControl/>
              <w:ind w:firstLine="0" w:firstLineChars="0"/>
              <w:jc w:val="center"/>
              <w:textAlignment w:val="center"/>
              <w:rPr>
                <w:rFonts w:hint="eastAsia" w:ascii="仿宋" w:hAnsi="仿宋" w:eastAsia="仿宋" w:cs="仿宋"/>
                <w:color w:val="000000"/>
                <w:kern w:val="0"/>
                <w:sz w:val="22"/>
                <w:szCs w:val="22"/>
                <w:u w:val="none"/>
                <w:lang w:bidi="ar"/>
              </w:rPr>
            </w:pPr>
            <w:r>
              <w:rPr>
                <w:rFonts w:hint="eastAsia" w:ascii="仿宋" w:hAnsi="仿宋" w:eastAsia="仿宋" w:cs="仿宋"/>
                <w:color w:val="000000"/>
                <w:kern w:val="0"/>
                <w:sz w:val="22"/>
                <w:szCs w:val="22"/>
                <w:u w:val="none"/>
                <w:lang w:val="en-US" w:eastAsia="zh-CN" w:bidi="ar"/>
              </w:rPr>
              <w:t>1</w:t>
            </w:r>
            <w:r>
              <w:rPr>
                <w:rFonts w:hint="eastAsia" w:ascii="仿宋" w:hAnsi="仿宋" w:eastAsia="仿宋" w:cs="仿宋"/>
                <w:color w:val="000000"/>
                <w:kern w:val="0"/>
                <w:sz w:val="22"/>
                <w:szCs w:val="22"/>
                <w:u w:val="none"/>
                <w:lang w:bidi="ar"/>
              </w:rPr>
              <w:t>3%</w:t>
            </w:r>
          </w:p>
        </w:tc>
        <w:tc>
          <w:tcPr>
            <w:tcW w:w="1651" w:type="dxa"/>
            <w:vAlign w:val="center"/>
          </w:tcPr>
          <w:p w14:paraId="32A70C16">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909" w:type="dxa"/>
            <w:vAlign w:val="center"/>
          </w:tcPr>
          <w:p w14:paraId="602D1C07">
            <w:pPr>
              <w:pStyle w:val="50"/>
              <w:spacing w:line="360" w:lineRule="auto"/>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r>
      <w:tr w14:paraId="5C3A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9" w:hRule="atLeast"/>
        </w:trPr>
        <w:tc>
          <w:tcPr>
            <w:tcW w:w="1629" w:type="dxa"/>
            <w:vAlign w:val="center"/>
          </w:tcPr>
          <w:p w14:paraId="68B0236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53 米以上天泵</w:t>
            </w:r>
          </w:p>
        </w:tc>
        <w:tc>
          <w:tcPr>
            <w:tcW w:w="1586" w:type="dxa"/>
            <w:vAlign w:val="center"/>
          </w:tcPr>
          <w:p w14:paraId="6AE9C7B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超过80方</w:t>
            </w:r>
          </w:p>
        </w:tc>
        <w:tc>
          <w:tcPr>
            <w:tcW w:w="621" w:type="dxa"/>
            <w:shd w:val="clear" w:color="auto" w:fill="auto"/>
            <w:vAlign w:val="center"/>
          </w:tcPr>
          <w:p w14:paraId="62EC46D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m³</w:t>
            </w:r>
          </w:p>
        </w:tc>
        <w:tc>
          <w:tcPr>
            <w:tcW w:w="1085" w:type="dxa"/>
            <w:vAlign w:val="center"/>
          </w:tcPr>
          <w:p w14:paraId="3EF9310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700</w:t>
            </w:r>
          </w:p>
        </w:tc>
        <w:tc>
          <w:tcPr>
            <w:tcW w:w="1546" w:type="dxa"/>
            <w:vAlign w:val="center"/>
          </w:tcPr>
          <w:p w14:paraId="41C7A6E4">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1375" w:type="dxa"/>
            <w:vAlign w:val="center"/>
          </w:tcPr>
          <w:p w14:paraId="2967900E">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778" w:type="dxa"/>
            <w:vAlign w:val="center"/>
          </w:tcPr>
          <w:p w14:paraId="10C01C78">
            <w:pPr>
              <w:widowControl/>
              <w:ind w:firstLine="0" w:firstLineChars="0"/>
              <w:jc w:val="center"/>
              <w:textAlignment w:val="center"/>
              <w:rPr>
                <w:rFonts w:hint="eastAsia" w:ascii="仿宋" w:hAnsi="仿宋" w:eastAsia="仿宋" w:cs="仿宋"/>
                <w:color w:val="000000"/>
                <w:kern w:val="0"/>
                <w:sz w:val="22"/>
                <w:szCs w:val="22"/>
                <w:u w:val="none"/>
                <w:lang w:bidi="ar"/>
              </w:rPr>
            </w:pPr>
            <w:r>
              <w:rPr>
                <w:rFonts w:hint="eastAsia" w:ascii="仿宋" w:hAnsi="仿宋" w:eastAsia="仿宋" w:cs="仿宋"/>
                <w:color w:val="000000"/>
                <w:kern w:val="0"/>
                <w:sz w:val="22"/>
                <w:szCs w:val="22"/>
                <w:u w:val="none"/>
                <w:lang w:val="en-US" w:eastAsia="zh-CN" w:bidi="ar"/>
              </w:rPr>
              <w:t>1</w:t>
            </w:r>
            <w:r>
              <w:rPr>
                <w:rFonts w:hint="eastAsia" w:ascii="仿宋" w:hAnsi="仿宋" w:eastAsia="仿宋" w:cs="仿宋"/>
                <w:color w:val="000000"/>
                <w:kern w:val="0"/>
                <w:sz w:val="22"/>
                <w:szCs w:val="22"/>
                <w:u w:val="none"/>
                <w:lang w:bidi="ar"/>
              </w:rPr>
              <w:t>3%</w:t>
            </w:r>
          </w:p>
        </w:tc>
        <w:tc>
          <w:tcPr>
            <w:tcW w:w="1651" w:type="dxa"/>
            <w:vAlign w:val="center"/>
          </w:tcPr>
          <w:p w14:paraId="44BF32A4">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909" w:type="dxa"/>
            <w:vAlign w:val="center"/>
          </w:tcPr>
          <w:p w14:paraId="711D1A00">
            <w:pPr>
              <w:pStyle w:val="50"/>
              <w:spacing w:line="360" w:lineRule="auto"/>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r>
      <w:tr w14:paraId="5A21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9" w:hRule="atLeast"/>
        </w:trPr>
        <w:tc>
          <w:tcPr>
            <w:tcW w:w="1629" w:type="dxa"/>
            <w:vAlign w:val="center"/>
          </w:tcPr>
          <w:p w14:paraId="31A459C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抗裂</w:t>
            </w:r>
          </w:p>
        </w:tc>
        <w:tc>
          <w:tcPr>
            <w:tcW w:w="1586" w:type="dxa"/>
            <w:vAlign w:val="center"/>
          </w:tcPr>
          <w:p w14:paraId="5408CCD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在对应标号混凝土价格基础上价加价</w:t>
            </w:r>
          </w:p>
        </w:tc>
        <w:tc>
          <w:tcPr>
            <w:tcW w:w="621" w:type="dxa"/>
            <w:shd w:val="clear" w:color="auto" w:fill="auto"/>
            <w:vAlign w:val="center"/>
          </w:tcPr>
          <w:p w14:paraId="37146B4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m³</w:t>
            </w:r>
          </w:p>
        </w:tc>
        <w:tc>
          <w:tcPr>
            <w:tcW w:w="1085" w:type="dxa"/>
            <w:vAlign w:val="center"/>
          </w:tcPr>
          <w:p w14:paraId="450641E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1546" w:type="dxa"/>
            <w:vAlign w:val="center"/>
          </w:tcPr>
          <w:p w14:paraId="2D98DF08">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1375" w:type="dxa"/>
            <w:vAlign w:val="center"/>
          </w:tcPr>
          <w:p w14:paraId="580957DD">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778" w:type="dxa"/>
            <w:vAlign w:val="center"/>
          </w:tcPr>
          <w:p w14:paraId="07A1FE5F">
            <w:pPr>
              <w:widowControl/>
              <w:ind w:firstLine="0" w:firstLineChars="0"/>
              <w:jc w:val="center"/>
              <w:textAlignment w:val="center"/>
              <w:rPr>
                <w:rFonts w:hint="eastAsia" w:ascii="仿宋" w:hAnsi="仿宋" w:eastAsia="仿宋" w:cs="仿宋"/>
                <w:color w:val="000000"/>
                <w:kern w:val="0"/>
                <w:sz w:val="22"/>
                <w:szCs w:val="22"/>
                <w:u w:val="none"/>
                <w:lang w:bidi="ar"/>
              </w:rPr>
            </w:pPr>
            <w:r>
              <w:rPr>
                <w:rFonts w:hint="eastAsia" w:ascii="仿宋" w:hAnsi="仿宋" w:eastAsia="仿宋" w:cs="仿宋"/>
                <w:color w:val="000000"/>
                <w:kern w:val="0"/>
                <w:sz w:val="22"/>
                <w:szCs w:val="22"/>
                <w:u w:val="none"/>
                <w:lang w:val="en-US" w:eastAsia="zh-CN" w:bidi="ar"/>
              </w:rPr>
              <w:t>1</w:t>
            </w:r>
            <w:r>
              <w:rPr>
                <w:rFonts w:hint="eastAsia" w:ascii="仿宋" w:hAnsi="仿宋" w:eastAsia="仿宋" w:cs="仿宋"/>
                <w:color w:val="000000"/>
                <w:kern w:val="0"/>
                <w:sz w:val="22"/>
                <w:szCs w:val="22"/>
                <w:u w:val="none"/>
                <w:lang w:bidi="ar"/>
              </w:rPr>
              <w:t>3%</w:t>
            </w:r>
          </w:p>
        </w:tc>
        <w:tc>
          <w:tcPr>
            <w:tcW w:w="1651" w:type="dxa"/>
            <w:vAlign w:val="center"/>
          </w:tcPr>
          <w:p w14:paraId="10F90001">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909" w:type="dxa"/>
            <w:vAlign w:val="center"/>
          </w:tcPr>
          <w:p w14:paraId="21B70D0F">
            <w:pPr>
              <w:pStyle w:val="50"/>
              <w:spacing w:line="360" w:lineRule="auto"/>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r>
      <w:tr w14:paraId="3686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9" w:hRule="atLeast"/>
        </w:trPr>
        <w:tc>
          <w:tcPr>
            <w:tcW w:w="1629" w:type="dxa"/>
            <w:vAlign w:val="center"/>
          </w:tcPr>
          <w:p w14:paraId="389015C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水下砼</w:t>
            </w:r>
          </w:p>
        </w:tc>
        <w:tc>
          <w:tcPr>
            <w:tcW w:w="1586" w:type="dxa"/>
            <w:vAlign w:val="center"/>
          </w:tcPr>
          <w:p w14:paraId="679A641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在对应标号混凝土价格基础上价加价</w:t>
            </w:r>
          </w:p>
        </w:tc>
        <w:tc>
          <w:tcPr>
            <w:tcW w:w="621" w:type="dxa"/>
            <w:shd w:val="clear" w:color="auto" w:fill="auto"/>
            <w:vAlign w:val="center"/>
          </w:tcPr>
          <w:p w14:paraId="406A63D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m³</w:t>
            </w:r>
          </w:p>
        </w:tc>
        <w:tc>
          <w:tcPr>
            <w:tcW w:w="1085" w:type="dxa"/>
            <w:vAlign w:val="center"/>
          </w:tcPr>
          <w:p w14:paraId="629430D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1500</w:t>
            </w:r>
          </w:p>
        </w:tc>
        <w:tc>
          <w:tcPr>
            <w:tcW w:w="1546" w:type="dxa"/>
            <w:vAlign w:val="center"/>
          </w:tcPr>
          <w:p w14:paraId="15B4478B">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1375" w:type="dxa"/>
            <w:vAlign w:val="center"/>
          </w:tcPr>
          <w:p w14:paraId="4605DC82">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778" w:type="dxa"/>
            <w:vAlign w:val="center"/>
          </w:tcPr>
          <w:p w14:paraId="0E63F47A">
            <w:pPr>
              <w:widowControl/>
              <w:ind w:firstLine="0" w:firstLineChars="0"/>
              <w:jc w:val="center"/>
              <w:textAlignment w:val="center"/>
              <w:rPr>
                <w:rFonts w:hint="eastAsia" w:ascii="仿宋" w:hAnsi="仿宋" w:eastAsia="仿宋" w:cs="仿宋"/>
                <w:color w:val="000000"/>
                <w:kern w:val="0"/>
                <w:sz w:val="22"/>
                <w:szCs w:val="22"/>
                <w:u w:val="none"/>
                <w:lang w:bidi="ar"/>
              </w:rPr>
            </w:pPr>
            <w:r>
              <w:rPr>
                <w:rFonts w:hint="eastAsia" w:ascii="仿宋" w:hAnsi="仿宋" w:eastAsia="仿宋" w:cs="仿宋"/>
                <w:color w:val="000000"/>
                <w:kern w:val="0"/>
                <w:sz w:val="22"/>
                <w:szCs w:val="22"/>
                <w:u w:val="none"/>
                <w:lang w:val="en-US" w:eastAsia="zh-CN" w:bidi="ar"/>
              </w:rPr>
              <w:t>1</w:t>
            </w:r>
            <w:r>
              <w:rPr>
                <w:rFonts w:hint="eastAsia" w:ascii="仿宋" w:hAnsi="仿宋" w:eastAsia="仿宋" w:cs="仿宋"/>
                <w:color w:val="000000"/>
                <w:kern w:val="0"/>
                <w:sz w:val="22"/>
                <w:szCs w:val="22"/>
                <w:u w:val="none"/>
                <w:lang w:bidi="ar"/>
              </w:rPr>
              <w:t>3%</w:t>
            </w:r>
          </w:p>
        </w:tc>
        <w:tc>
          <w:tcPr>
            <w:tcW w:w="1651" w:type="dxa"/>
            <w:vAlign w:val="center"/>
          </w:tcPr>
          <w:p w14:paraId="573DA175">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909" w:type="dxa"/>
            <w:vAlign w:val="center"/>
          </w:tcPr>
          <w:p w14:paraId="138B35AE">
            <w:pPr>
              <w:pStyle w:val="50"/>
              <w:spacing w:line="360" w:lineRule="auto"/>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r>
      <w:tr w14:paraId="2A4D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9" w:hRule="atLeast"/>
        </w:trPr>
        <w:tc>
          <w:tcPr>
            <w:tcW w:w="1629" w:type="dxa"/>
            <w:vAlign w:val="center"/>
          </w:tcPr>
          <w:p w14:paraId="675C2AE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补方费</w:t>
            </w:r>
          </w:p>
        </w:tc>
        <w:tc>
          <w:tcPr>
            <w:tcW w:w="1586" w:type="dxa"/>
            <w:vAlign w:val="center"/>
          </w:tcPr>
          <w:p w14:paraId="1BE035B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二次补方不足6方按6方算</w:t>
            </w:r>
          </w:p>
        </w:tc>
        <w:tc>
          <w:tcPr>
            <w:tcW w:w="621" w:type="dxa"/>
            <w:shd w:val="clear" w:color="auto" w:fill="auto"/>
            <w:vAlign w:val="center"/>
          </w:tcPr>
          <w:p w14:paraId="55ED049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m³</w:t>
            </w:r>
          </w:p>
        </w:tc>
        <w:tc>
          <w:tcPr>
            <w:tcW w:w="1085" w:type="dxa"/>
            <w:vAlign w:val="center"/>
          </w:tcPr>
          <w:p w14:paraId="2380939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1546" w:type="dxa"/>
            <w:vAlign w:val="center"/>
          </w:tcPr>
          <w:p w14:paraId="13BF5EAC">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1375" w:type="dxa"/>
            <w:vAlign w:val="center"/>
          </w:tcPr>
          <w:p w14:paraId="308112B8">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778" w:type="dxa"/>
            <w:vAlign w:val="center"/>
          </w:tcPr>
          <w:p w14:paraId="06113E2D">
            <w:pPr>
              <w:widowControl/>
              <w:ind w:firstLine="0" w:firstLineChars="0"/>
              <w:jc w:val="center"/>
              <w:textAlignment w:val="center"/>
              <w:rPr>
                <w:rFonts w:hint="eastAsia" w:ascii="仿宋" w:hAnsi="仿宋" w:eastAsia="仿宋" w:cs="仿宋"/>
                <w:color w:val="000000"/>
                <w:kern w:val="0"/>
                <w:sz w:val="22"/>
                <w:szCs w:val="22"/>
                <w:u w:val="none"/>
                <w:lang w:bidi="ar"/>
              </w:rPr>
            </w:pPr>
            <w:r>
              <w:rPr>
                <w:rFonts w:hint="eastAsia" w:ascii="仿宋" w:hAnsi="仿宋" w:eastAsia="仿宋" w:cs="仿宋"/>
                <w:color w:val="000000"/>
                <w:kern w:val="0"/>
                <w:sz w:val="22"/>
                <w:szCs w:val="22"/>
                <w:u w:val="none"/>
                <w:lang w:val="en-US" w:eastAsia="zh-CN" w:bidi="ar"/>
              </w:rPr>
              <w:t>1</w:t>
            </w:r>
            <w:r>
              <w:rPr>
                <w:rFonts w:hint="eastAsia" w:ascii="仿宋" w:hAnsi="仿宋" w:eastAsia="仿宋" w:cs="仿宋"/>
                <w:color w:val="000000"/>
                <w:kern w:val="0"/>
                <w:sz w:val="22"/>
                <w:szCs w:val="22"/>
                <w:u w:val="none"/>
                <w:lang w:bidi="ar"/>
              </w:rPr>
              <w:t>3%</w:t>
            </w:r>
          </w:p>
        </w:tc>
        <w:tc>
          <w:tcPr>
            <w:tcW w:w="1651" w:type="dxa"/>
            <w:vAlign w:val="center"/>
          </w:tcPr>
          <w:p w14:paraId="71B19FD1">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909" w:type="dxa"/>
            <w:vAlign w:val="center"/>
          </w:tcPr>
          <w:p w14:paraId="7D9A96F1">
            <w:pPr>
              <w:pStyle w:val="50"/>
              <w:spacing w:line="360" w:lineRule="auto"/>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r>
      <w:tr w14:paraId="2182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9" w:hRule="atLeast"/>
        </w:trPr>
        <w:tc>
          <w:tcPr>
            <w:tcW w:w="1629" w:type="dxa"/>
            <w:vAlign w:val="center"/>
          </w:tcPr>
          <w:p w14:paraId="18E6099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水车费</w:t>
            </w:r>
          </w:p>
        </w:tc>
        <w:tc>
          <w:tcPr>
            <w:tcW w:w="1586" w:type="dxa"/>
            <w:vAlign w:val="center"/>
          </w:tcPr>
          <w:p w14:paraId="0306185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621" w:type="dxa"/>
            <w:shd w:val="clear" w:color="auto" w:fill="auto"/>
            <w:vAlign w:val="center"/>
          </w:tcPr>
          <w:p w14:paraId="6B99386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车</w:t>
            </w:r>
          </w:p>
        </w:tc>
        <w:tc>
          <w:tcPr>
            <w:tcW w:w="1085" w:type="dxa"/>
            <w:vAlign w:val="center"/>
          </w:tcPr>
          <w:p w14:paraId="032A828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1546" w:type="dxa"/>
            <w:vAlign w:val="center"/>
          </w:tcPr>
          <w:p w14:paraId="6019A1B4">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1375" w:type="dxa"/>
            <w:vAlign w:val="center"/>
          </w:tcPr>
          <w:p w14:paraId="2392DAA6">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778" w:type="dxa"/>
            <w:vAlign w:val="center"/>
          </w:tcPr>
          <w:p w14:paraId="0B7C5195">
            <w:pPr>
              <w:widowControl/>
              <w:ind w:firstLine="0" w:firstLineChars="0"/>
              <w:jc w:val="center"/>
              <w:textAlignment w:val="center"/>
              <w:rPr>
                <w:rFonts w:hint="eastAsia" w:ascii="仿宋" w:hAnsi="仿宋" w:eastAsia="仿宋" w:cs="仿宋"/>
                <w:color w:val="000000"/>
                <w:kern w:val="0"/>
                <w:sz w:val="22"/>
                <w:szCs w:val="22"/>
                <w:u w:val="none"/>
                <w:lang w:bidi="ar"/>
              </w:rPr>
            </w:pPr>
            <w:r>
              <w:rPr>
                <w:rFonts w:hint="eastAsia" w:ascii="仿宋" w:hAnsi="仿宋" w:eastAsia="仿宋" w:cs="仿宋"/>
                <w:color w:val="000000"/>
                <w:kern w:val="0"/>
                <w:sz w:val="22"/>
                <w:szCs w:val="22"/>
                <w:u w:val="none"/>
                <w:lang w:val="en-US" w:eastAsia="zh-CN" w:bidi="ar"/>
              </w:rPr>
              <w:t>1</w:t>
            </w:r>
            <w:r>
              <w:rPr>
                <w:rFonts w:hint="eastAsia" w:ascii="仿宋" w:hAnsi="仿宋" w:eastAsia="仿宋" w:cs="仿宋"/>
                <w:color w:val="000000"/>
                <w:kern w:val="0"/>
                <w:sz w:val="22"/>
                <w:szCs w:val="22"/>
                <w:u w:val="none"/>
                <w:lang w:bidi="ar"/>
              </w:rPr>
              <w:t>3%</w:t>
            </w:r>
          </w:p>
        </w:tc>
        <w:tc>
          <w:tcPr>
            <w:tcW w:w="1651" w:type="dxa"/>
            <w:vAlign w:val="center"/>
          </w:tcPr>
          <w:p w14:paraId="7BFDAE4C">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909" w:type="dxa"/>
            <w:vAlign w:val="center"/>
          </w:tcPr>
          <w:p w14:paraId="484433A4">
            <w:pPr>
              <w:pStyle w:val="50"/>
              <w:spacing w:line="360" w:lineRule="auto"/>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r>
      <w:tr w14:paraId="57A2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9" w:hRule="atLeast"/>
        </w:trPr>
        <w:tc>
          <w:tcPr>
            <w:tcW w:w="1629" w:type="dxa"/>
            <w:vAlign w:val="center"/>
          </w:tcPr>
          <w:p w14:paraId="29D4C41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超运距费用</w:t>
            </w:r>
          </w:p>
        </w:tc>
        <w:tc>
          <w:tcPr>
            <w:tcW w:w="1586" w:type="dxa"/>
            <w:vAlign w:val="center"/>
          </w:tcPr>
          <w:p w14:paraId="0030F75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超出20公里每增加1公里</w:t>
            </w:r>
          </w:p>
        </w:tc>
        <w:tc>
          <w:tcPr>
            <w:tcW w:w="621" w:type="dxa"/>
            <w:vAlign w:val="center"/>
          </w:tcPr>
          <w:p w14:paraId="3157469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m³</w:t>
            </w:r>
          </w:p>
        </w:tc>
        <w:tc>
          <w:tcPr>
            <w:tcW w:w="1085" w:type="dxa"/>
            <w:vAlign w:val="center"/>
          </w:tcPr>
          <w:p w14:paraId="52A18CD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10000</w:t>
            </w:r>
          </w:p>
        </w:tc>
        <w:tc>
          <w:tcPr>
            <w:tcW w:w="1546" w:type="dxa"/>
            <w:vAlign w:val="center"/>
          </w:tcPr>
          <w:p w14:paraId="1FEE61AB">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1375" w:type="dxa"/>
            <w:vAlign w:val="center"/>
          </w:tcPr>
          <w:p w14:paraId="68011178">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778" w:type="dxa"/>
            <w:vAlign w:val="center"/>
          </w:tcPr>
          <w:p w14:paraId="434B8C01">
            <w:pPr>
              <w:widowControl/>
              <w:ind w:firstLine="0" w:firstLineChars="0"/>
              <w:jc w:val="center"/>
              <w:textAlignment w:val="center"/>
              <w:rPr>
                <w:rFonts w:hint="eastAsia" w:ascii="仿宋" w:hAnsi="仿宋" w:eastAsia="仿宋" w:cs="仿宋"/>
                <w:color w:val="000000"/>
                <w:kern w:val="0"/>
                <w:sz w:val="22"/>
                <w:szCs w:val="22"/>
                <w:u w:val="none"/>
                <w:lang w:bidi="ar"/>
              </w:rPr>
            </w:pPr>
            <w:r>
              <w:rPr>
                <w:rFonts w:hint="eastAsia" w:ascii="仿宋" w:hAnsi="仿宋" w:eastAsia="仿宋" w:cs="仿宋"/>
                <w:color w:val="000000"/>
                <w:kern w:val="0"/>
                <w:sz w:val="22"/>
                <w:szCs w:val="22"/>
                <w:u w:val="none"/>
                <w:lang w:val="en-US" w:eastAsia="zh-CN" w:bidi="ar"/>
              </w:rPr>
              <w:t>1</w:t>
            </w:r>
            <w:r>
              <w:rPr>
                <w:rFonts w:hint="eastAsia" w:ascii="仿宋" w:hAnsi="仿宋" w:eastAsia="仿宋" w:cs="仿宋"/>
                <w:color w:val="000000"/>
                <w:kern w:val="0"/>
                <w:sz w:val="22"/>
                <w:szCs w:val="22"/>
                <w:u w:val="none"/>
                <w:lang w:bidi="ar"/>
              </w:rPr>
              <w:t>3%</w:t>
            </w:r>
          </w:p>
        </w:tc>
        <w:tc>
          <w:tcPr>
            <w:tcW w:w="1651" w:type="dxa"/>
            <w:vAlign w:val="center"/>
          </w:tcPr>
          <w:p w14:paraId="48EF501A">
            <w:pPr>
              <w:keepNext w:val="0"/>
              <w:keepLines w:val="0"/>
              <w:widowControl/>
              <w:suppressLineNumbers w:val="0"/>
              <w:ind w:firstLine="0" w:firstLineChars="0"/>
              <w:jc w:val="center"/>
              <w:textAlignment w:val="center"/>
              <w:rPr>
                <w:rFonts w:hint="eastAsia" w:ascii="仿宋" w:hAnsi="仿宋" w:eastAsia="仿宋" w:cs="仿宋"/>
                <w:color w:val="000000"/>
                <w:kern w:val="0"/>
                <w:sz w:val="22"/>
                <w:szCs w:val="22"/>
                <w:highlight w:val="yellow"/>
                <w:u w:val="none"/>
                <w:lang w:bidi="ar"/>
              </w:rPr>
            </w:pPr>
          </w:p>
        </w:tc>
        <w:tc>
          <w:tcPr>
            <w:tcW w:w="909" w:type="dxa"/>
            <w:vAlign w:val="center"/>
          </w:tcPr>
          <w:p w14:paraId="3F74E756">
            <w:pPr>
              <w:pStyle w:val="50"/>
              <w:spacing w:line="360" w:lineRule="auto"/>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r>
      <w:tr w14:paraId="7711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trPr>
        <w:tc>
          <w:tcPr>
            <w:tcW w:w="3215" w:type="dxa"/>
            <w:gridSpan w:val="2"/>
            <w:vAlign w:val="center"/>
          </w:tcPr>
          <w:p w14:paraId="23DA28FC">
            <w:pPr>
              <w:pStyle w:val="50"/>
              <w:spacing w:line="360" w:lineRule="auto"/>
              <w:ind w:firstLine="48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合计</w:t>
            </w:r>
          </w:p>
        </w:tc>
        <w:tc>
          <w:tcPr>
            <w:tcW w:w="621" w:type="dxa"/>
            <w:vAlign w:val="center"/>
          </w:tcPr>
          <w:p w14:paraId="2793DF5D">
            <w:pPr>
              <w:pStyle w:val="50"/>
              <w:spacing w:line="360" w:lineRule="auto"/>
              <w:ind w:firstLine="0" w:firstLineChars="0"/>
              <w:rPr>
                <w:rFonts w:ascii="仿宋_GB2312" w:hAnsi="仿宋_GB2312" w:eastAsia="仿宋_GB2312" w:cs="仿宋_GB2312"/>
                <w:color w:val="000000" w:themeColor="text1"/>
                <w:sz w:val="24"/>
                <w14:textFill>
                  <w14:solidFill>
                    <w14:schemeClr w14:val="tx1"/>
                  </w14:solidFill>
                </w14:textFill>
              </w:rPr>
            </w:pPr>
          </w:p>
        </w:tc>
        <w:tc>
          <w:tcPr>
            <w:tcW w:w="1085" w:type="dxa"/>
            <w:vAlign w:val="center"/>
          </w:tcPr>
          <w:p w14:paraId="15CA2E82">
            <w:pPr>
              <w:widowControl/>
              <w:ind w:firstLine="480"/>
              <w:textAlignment w:val="center"/>
              <w:rPr>
                <w:rFonts w:ascii="仿宋_GB2312" w:hAnsi="仿宋_GB2312" w:cs="仿宋_GB2312"/>
                <w:color w:val="000000" w:themeColor="text1"/>
                <w:sz w:val="24"/>
                <w14:textFill>
                  <w14:solidFill>
                    <w14:schemeClr w14:val="tx1"/>
                  </w14:solidFill>
                </w14:textFill>
              </w:rPr>
            </w:pPr>
          </w:p>
        </w:tc>
        <w:tc>
          <w:tcPr>
            <w:tcW w:w="1546" w:type="dxa"/>
            <w:vAlign w:val="center"/>
          </w:tcPr>
          <w:p w14:paraId="01E47D86">
            <w:pPr>
              <w:pStyle w:val="50"/>
              <w:spacing w:line="360" w:lineRule="auto"/>
              <w:ind w:firstLine="0" w:firstLineChars="0"/>
              <w:rPr>
                <w:rFonts w:ascii="仿宋_GB2312" w:hAnsi="仿宋_GB2312" w:eastAsia="仿宋_GB2312" w:cs="仿宋_GB2312"/>
                <w:color w:val="000000" w:themeColor="text1"/>
                <w:sz w:val="24"/>
                <w14:textFill>
                  <w14:solidFill>
                    <w14:schemeClr w14:val="tx1"/>
                  </w14:solidFill>
                </w14:textFill>
              </w:rPr>
            </w:pPr>
          </w:p>
        </w:tc>
        <w:tc>
          <w:tcPr>
            <w:tcW w:w="1375" w:type="dxa"/>
            <w:shd w:val="clear" w:color="auto" w:fill="auto"/>
            <w:vAlign w:val="center"/>
          </w:tcPr>
          <w:p w14:paraId="0C898470">
            <w:pPr>
              <w:keepNext w:val="0"/>
              <w:keepLines w:val="0"/>
              <w:widowControl/>
              <w:suppressLineNumbers w:val="0"/>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78" w:type="dxa"/>
            <w:vAlign w:val="center"/>
          </w:tcPr>
          <w:p w14:paraId="64A66006">
            <w:pPr>
              <w:widowControl/>
              <w:ind w:firstLine="0" w:firstLineChars="0"/>
              <w:jc w:val="center"/>
              <w:textAlignment w:val="center"/>
              <w:rPr>
                <w:rFonts w:hint="eastAsia" w:ascii="仿宋" w:hAnsi="仿宋" w:eastAsia="仿宋" w:cs="仿宋"/>
                <w:color w:val="000000"/>
                <w:kern w:val="0"/>
                <w:sz w:val="22"/>
                <w:szCs w:val="22"/>
                <w:u w:val="none"/>
                <w:lang w:bidi="ar"/>
              </w:rPr>
            </w:pPr>
          </w:p>
        </w:tc>
        <w:tc>
          <w:tcPr>
            <w:tcW w:w="1651" w:type="dxa"/>
            <w:shd w:val="clear" w:color="auto" w:fill="auto"/>
            <w:vAlign w:val="center"/>
          </w:tcPr>
          <w:p w14:paraId="1179A346">
            <w:pPr>
              <w:keepNext w:val="0"/>
              <w:keepLines w:val="0"/>
              <w:widowControl/>
              <w:suppressLineNumbers w:val="0"/>
              <w:ind w:firstLine="0" w:firstLineChars="0"/>
              <w:jc w:val="center"/>
              <w:textAlignment w:val="center"/>
              <w:rPr>
                <w:rFonts w:hint="eastAsia" w:ascii="仿宋" w:hAnsi="仿宋" w:eastAsia="仿宋" w:cs="仿宋"/>
                <w:i w:val="0"/>
                <w:iCs w:val="0"/>
                <w:color w:val="000000"/>
                <w:kern w:val="0"/>
                <w:sz w:val="22"/>
                <w:szCs w:val="22"/>
                <w:highlight w:val="yellow"/>
                <w:u w:val="none"/>
                <w:lang w:val="en-US" w:eastAsia="zh-CN" w:bidi="ar"/>
              </w:rPr>
            </w:pPr>
          </w:p>
        </w:tc>
        <w:tc>
          <w:tcPr>
            <w:tcW w:w="909" w:type="dxa"/>
            <w:vAlign w:val="center"/>
          </w:tcPr>
          <w:p w14:paraId="69629E21">
            <w:pPr>
              <w:pStyle w:val="50"/>
              <w:spacing w:line="360" w:lineRule="auto"/>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r>
      <w:tr w14:paraId="11F9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59" w:hRule="atLeast"/>
        </w:trPr>
        <w:tc>
          <w:tcPr>
            <w:tcW w:w="3836" w:type="dxa"/>
            <w:gridSpan w:val="3"/>
            <w:vAlign w:val="center"/>
          </w:tcPr>
          <w:p w14:paraId="5B25B728">
            <w:pPr>
              <w:pStyle w:val="50"/>
              <w:spacing w:line="32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暂定不含税到场合计金额</w:t>
            </w:r>
          </w:p>
        </w:tc>
        <w:tc>
          <w:tcPr>
            <w:tcW w:w="7344" w:type="dxa"/>
            <w:gridSpan w:val="6"/>
            <w:vAlign w:val="center"/>
          </w:tcPr>
          <w:p w14:paraId="6D22FA34">
            <w:pPr>
              <w:pStyle w:val="50"/>
              <w:spacing w:line="360" w:lineRule="auto"/>
              <w:ind w:firstLine="0" w:firstLineChars="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小写：</w:t>
            </w:r>
            <w:r>
              <w:rPr>
                <w:rFonts w:hint="eastAsia" w:ascii="仿宋" w:hAnsi="仿宋" w:eastAsia="仿宋" w:cs="仿宋"/>
                <w:i w:val="0"/>
                <w:iCs w:val="0"/>
                <w:color w:val="000000"/>
                <w:kern w:val="0"/>
                <w:sz w:val="22"/>
                <w:szCs w:val="22"/>
                <w:highlight w:val="none"/>
                <w:u w:val="single"/>
                <w:lang w:val="en-US" w:eastAsia="zh-CN" w:bidi="ar"/>
              </w:rPr>
              <w:t xml:space="preserve">           </w:t>
            </w:r>
            <w:r>
              <w:rPr>
                <w:rFonts w:hint="eastAsia" w:ascii="仿宋_GB2312" w:hAnsi="仿宋_GB2312" w:eastAsia="仿宋_GB2312" w:cs="仿宋_GB2312"/>
                <w:color w:val="000000" w:themeColor="text1"/>
                <w:sz w:val="24"/>
                <w14:textFill>
                  <w14:solidFill>
                    <w14:schemeClr w14:val="tx1"/>
                  </w14:solidFill>
                </w14:textFill>
              </w:rPr>
              <w:t>元，大写：人民币</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p>
        </w:tc>
      </w:tr>
      <w:tr w14:paraId="62D5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46" w:hRule="atLeast"/>
        </w:trPr>
        <w:tc>
          <w:tcPr>
            <w:tcW w:w="3836" w:type="dxa"/>
            <w:gridSpan w:val="3"/>
            <w:vAlign w:val="center"/>
          </w:tcPr>
          <w:p w14:paraId="522B382F">
            <w:pPr>
              <w:pStyle w:val="50"/>
              <w:spacing w:line="32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暂定含税到场合计金额</w:t>
            </w:r>
          </w:p>
        </w:tc>
        <w:tc>
          <w:tcPr>
            <w:tcW w:w="7344" w:type="dxa"/>
            <w:gridSpan w:val="6"/>
            <w:vAlign w:val="center"/>
          </w:tcPr>
          <w:p w14:paraId="04173960">
            <w:pPr>
              <w:pStyle w:val="50"/>
              <w:spacing w:line="360" w:lineRule="auto"/>
              <w:ind w:firstLine="0" w:firstLineChars="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小写：</w:t>
            </w:r>
            <w:r>
              <w:rPr>
                <w:rFonts w:hint="eastAsia" w:ascii="仿宋" w:hAnsi="仿宋" w:eastAsia="仿宋" w:cs="仿宋"/>
                <w:i w:val="0"/>
                <w:iCs w:val="0"/>
                <w:color w:val="000000"/>
                <w:kern w:val="0"/>
                <w:sz w:val="22"/>
                <w:szCs w:val="22"/>
                <w:highlight w:val="none"/>
                <w:u w:val="single"/>
                <w:lang w:val="en-US" w:eastAsia="zh-CN" w:bidi="ar"/>
              </w:rPr>
              <w:t xml:space="preserve">           </w:t>
            </w:r>
            <w:r>
              <w:rPr>
                <w:rFonts w:hint="eastAsia" w:ascii="仿宋_GB2312" w:hAnsi="仿宋_GB2312" w:eastAsia="仿宋_GB2312" w:cs="仿宋_GB2312"/>
                <w:color w:val="000000" w:themeColor="text1"/>
                <w:sz w:val="24"/>
                <w14:textFill>
                  <w14:solidFill>
                    <w14:schemeClr w14:val="tx1"/>
                  </w14:solidFill>
                </w14:textFill>
              </w:rPr>
              <w:t>元，大写：人民币</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p>
        </w:tc>
      </w:tr>
    </w:tbl>
    <w:p w14:paraId="6F5AEE47">
      <w:pPr>
        <w:numPr>
          <w:ilvl w:val="0"/>
          <w:numId w:val="6"/>
        </w:num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上表中数量为预估数量，具体供货日期、数量、规格型号以甲方发出的供货通知为准，最终结算以甲方指定人员签字确认验收合格的数量为准。若甲方采购数量低于本合同预估数量，不属于甲方违约，乙方无权以任何理由和其他任何方式追究甲方责任。上表中</w:t>
      </w:r>
      <w:r>
        <w:rPr>
          <w:rFonts w:hint="eastAsia" w:ascii="仿宋_GB2312" w:hAnsi="仿宋_GB2312" w:cs="仿宋_GB2312"/>
          <w:color w:val="000000" w:themeColor="text1"/>
          <w:kern w:val="0"/>
          <w:sz w:val="24"/>
          <w:lang w:bidi="ar"/>
          <w14:textFill>
            <w14:solidFill>
              <w14:schemeClr w14:val="tx1"/>
            </w14:solidFill>
          </w14:textFill>
        </w:rPr>
        <w:t>“不含税到场单价”为包干单价，包含但不仅限于材料费、包装费、生产费、加工费、储运费、运杂费、通行费、协调费、装卸费、货物保险费、安全费、环保费、文明费、合理利润等除增值税以外的所有税金，以及为完成本项工作内容所产生的一切费用。</w:t>
      </w:r>
    </w:p>
    <w:p w14:paraId="5E2A8A5B">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若甲方未能及时组织浇捣，预拌混凝土运到</w:t>
      </w:r>
      <w:r>
        <w:rPr>
          <w:rFonts w:hint="eastAsia" w:ascii="仿宋" w:hAnsi="仿宋" w:eastAsia="仿宋" w:cs="仿宋"/>
          <w:color w:val="auto"/>
          <w:sz w:val="24"/>
          <w:szCs w:val="24"/>
          <w:lang w:val="en-US" w:eastAsia="zh-CN"/>
        </w:rPr>
        <w:t>施工现场停留时间超过2小时以</w:t>
      </w:r>
      <w:r>
        <w:rPr>
          <w:rFonts w:hint="eastAsia" w:ascii="仿宋" w:hAnsi="仿宋" w:eastAsia="仿宋" w:cs="仿宋"/>
          <w:color w:val="000000" w:themeColor="text1"/>
          <w:sz w:val="24"/>
          <w:szCs w:val="24"/>
          <w:lang w:val="en-US" w:eastAsia="zh-CN"/>
          <w14:textFill>
            <w14:solidFill>
              <w14:schemeClr w14:val="tx1"/>
            </w14:solidFill>
          </w14:textFill>
        </w:rPr>
        <w:t>上从而造成预拌混凝土不能使用的相关损失由甲方承担，运输罐车到达现场超2小时后每1小时补偿100元（</w:t>
      </w:r>
      <w:r>
        <w:rPr>
          <w:rFonts w:hint="eastAsia" w:ascii="仿宋" w:hAnsi="仿宋" w:eastAsia="仿宋" w:cs="仿宋"/>
          <w:color w:val="000000" w:themeColor="text1"/>
          <w:sz w:val="24"/>
          <w:szCs w:val="24"/>
          <w:u w:val="single"/>
          <w:lang w:val="en-US" w:eastAsia="zh-CN"/>
          <w14:textFill>
            <w14:solidFill>
              <w14:schemeClr w14:val="tx1"/>
            </w14:solidFill>
          </w14:textFill>
        </w:rPr>
        <w:t>不足30分钟不计费，超过30分钟且不足1小时按1小时计费</w:t>
      </w:r>
      <w:r>
        <w:rPr>
          <w:rFonts w:hint="eastAsia" w:ascii="仿宋" w:hAnsi="仿宋" w:eastAsia="仿宋" w:cs="仿宋"/>
          <w:color w:val="000000" w:themeColor="text1"/>
          <w:sz w:val="24"/>
          <w:szCs w:val="24"/>
          <w:lang w:val="en-US" w:eastAsia="zh-CN"/>
          <w14:textFill>
            <w14:solidFill>
              <w14:schemeClr w14:val="tx1"/>
            </w14:solidFill>
          </w14:textFill>
        </w:rPr>
        <w:t>），泵车到达现场使用超过8小时每小时补偿300元（</w:t>
      </w:r>
      <w:r>
        <w:rPr>
          <w:rFonts w:hint="eastAsia" w:ascii="仿宋" w:hAnsi="仿宋" w:eastAsia="仿宋" w:cs="仿宋"/>
          <w:color w:val="000000" w:themeColor="text1"/>
          <w:sz w:val="24"/>
          <w:szCs w:val="24"/>
          <w:u w:val="single"/>
          <w:lang w:val="en-US" w:eastAsia="zh-CN"/>
          <w14:textFill>
            <w14:solidFill>
              <w14:schemeClr w14:val="tx1"/>
            </w14:solidFill>
          </w14:textFill>
        </w:rPr>
        <w:t>不足30分钟不计费，超过30分钟且不足1小时按1小时计费</w:t>
      </w:r>
      <w:r>
        <w:rPr>
          <w:rFonts w:hint="eastAsia" w:ascii="仿宋" w:hAnsi="仿宋" w:eastAsia="仿宋" w:cs="仿宋"/>
          <w:color w:val="000000" w:themeColor="text1"/>
          <w:sz w:val="24"/>
          <w:szCs w:val="24"/>
          <w:lang w:val="en-US" w:eastAsia="zh-CN"/>
          <w14:textFill>
            <w14:solidFill>
              <w14:schemeClr w14:val="tx1"/>
            </w14:solidFill>
          </w14:textFill>
        </w:rPr>
        <w:t>）。单次浇筑或二次补方不足6m</w:t>
      </w:r>
      <w:r>
        <w:rPr>
          <w:rFonts w:hint="eastAsia" w:ascii="仿宋" w:hAnsi="仿宋" w:eastAsia="仿宋" w:cs="仿宋"/>
          <w:color w:val="000000" w:themeColor="text1"/>
          <w:sz w:val="24"/>
          <w:szCs w:val="24"/>
          <w:shd w:val="clear" w:color="auto" w:fill="auto"/>
          <w:lang w:val="en-US" w:eastAsia="zh-CN"/>
          <w14:textFill>
            <w14:solidFill>
              <w14:schemeClr w14:val="tx1"/>
            </w14:solidFill>
          </w14:textFill>
        </w:rPr>
        <w:t>³</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按6m³计算运费，运费按照   元/m³计算</w:t>
      </w:r>
      <w:r>
        <w:rPr>
          <w:rFonts w:hint="eastAsia" w:ascii="仿宋" w:hAnsi="仿宋" w:eastAsia="仿宋" w:cs="仿宋"/>
          <w:color w:val="000000" w:themeColor="text1"/>
          <w:sz w:val="24"/>
          <w:szCs w:val="24"/>
          <w:lang w:val="en-US" w:eastAsia="zh-CN"/>
          <w14:textFill>
            <w14:solidFill>
              <w14:schemeClr w14:val="tx1"/>
            </w14:solidFill>
          </w14:textFill>
        </w:rPr>
        <w:t>（第一次补料不单独收取费用）。</w:t>
      </w:r>
    </w:p>
    <w:p w14:paraId="0893A963">
      <w:pPr>
        <w:widowControl w:val="0"/>
        <w:numPr>
          <w:ilvl w:val="0"/>
          <w:numId w:val="6"/>
        </w:numPr>
        <w:spacing w:line="480" w:lineRule="exact"/>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混凝土单价含20公里内运费。超出20公里每增加1公里增加     元/m³运费。</w:t>
      </w:r>
    </w:p>
    <w:p w14:paraId="06CDA75D">
      <w:pPr>
        <w:widowControl w:val="0"/>
        <w:numPr>
          <w:ilvl w:val="0"/>
          <w:numId w:val="6"/>
        </w:numPr>
        <w:spacing w:line="480" w:lineRule="exact"/>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与混凝土配合比同比例的砂浆，按相应强度等级（含抗渗、膨胀）混凝土基本单价的1.5倍计费。</w:t>
      </w:r>
    </w:p>
    <w:p w14:paraId="58CA8A91">
      <w:pPr>
        <w:numPr>
          <w:ilvl w:val="0"/>
          <w:numId w:val="6"/>
        </w:num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lang w:val="en-US" w:eastAsia="zh-CN"/>
          <w14:textFill>
            <w14:solidFill>
              <w14:schemeClr w14:val="tx1"/>
            </w14:solidFill>
          </w14:textFill>
        </w:rPr>
        <w:t>结算</w:t>
      </w:r>
      <w:r>
        <w:rPr>
          <w:rFonts w:hint="eastAsia" w:ascii="仿宋_GB2312" w:hAnsi="仿宋_GB2312" w:cs="仿宋_GB2312"/>
          <w:color w:val="000000" w:themeColor="text1"/>
          <w:sz w:val="24"/>
          <w14:textFill>
            <w14:solidFill>
              <w14:schemeClr w14:val="tx1"/>
            </w14:solidFill>
          </w14:textFill>
        </w:rPr>
        <w:t>单价。</w:t>
      </w:r>
    </w:p>
    <w:p w14:paraId="2C2F0777">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720" w:firstLineChars="3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结算单价</w:t>
      </w:r>
      <w:r>
        <w:rPr>
          <w:rFonts w:hint="eastAsia" w:ascii="仿宋" w:hAnsi="仿宋" w:eastAsia="仿宋" w:cs="仿宋"/>
          <w:sz w:val="24"/>
          <w:szCs w:val="24"/>
          <w:highlight w:val="none"/>
          <w:shd w:val="clear" w:color="auto" w:fill="auto"/>
        </w:rPr>
        <w:t>以</w:t>
      </w:r>
      <w:r>
        <w:rPr>
          <w:rFonts w:hint="eastAsia" w:ascii="仿宋" w:hAnsi="仿宋" w:eastAsia="仿宋" w:cs="仿宋"/>
          <w:sz w:val="24"/>
          <w:szCs w:val="24"/>
          <w:highlight w:val="none"/>
          <w:shd w:val="clear" w:color="auto" w:fill="auto"/>
          <w:lang w:val="en-US" w:eastAsia="zh-CN"/>
        </w:rPr>
        <w:t>上述</w:t>
      </w:r>
      <w:r>
        <w:rPr>
          <w:rFonts w:hint="eastAsia" w:ascii="仿宋" w:hAnsi="仿宋" w:eastAsia="仿宋" w:cs="仿宋"/>
          <w:sz w:val="24"/>
          <w:szCs w:val="24"/>
          <w:highlight w:val="none"/>
          <w:shd w:val="clear" w:color="auto" w:fill="auto"/>
        </w:rPr>
        <w:t>单价为</w:t>
      </w:r>
      <w:r>
        <w:rPr>
          <w:rFonts w:hint="eastAsia" w:ascii="仿宋" w:hAnsi="仿宋" w:eastAsia="仿宋" w:cs="仿宋"/>
          <w:sz w:val="24"/>
          <w:szCs w:val="24"/>
          <w:highlight w:val="none"/>
          <w:shd w:val="clear" w:color="auto" w:fill="auto"/>
          <w:lang w:val="en-US" w:eastAsia="zh-CN"/>
        </w:rPr>
        <w:t>基础</w:t>
      </w:r>
      <w:r>
        <w:rPr>
          <w:rFonts w:hint="eastAsia" w:ascii="仿宋" w:hAnsi="仿宋" w:eastAsia="仿宋" w:cs="仿宋"/>
          <w:sz w:val="24"/>
          <w:szCs w:val="24"/>
        </w:rPr>
        <w:t>，不随地材（碎石、砂）价格涨跌调整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只</w:t>
      </w:r>
      <w:r>
        <w:rPr>
          <w:rFonts w:hint="eastAsia" w:ascii="仿宋" w:hAnsi="仿宋" w:eastAsia="仿宋" w:cs="仿宋"/>
          <w:sz w:val="24"/>
          <w:szCs w:val="24"/>
        </w:rPr>
        <w:t>随水泥价格变动而调整，具体调整方法如下：</w:t>
      </w:r>
    </w:p>
    <w:p w14:paraId="7DB928A8">
      <w:pPr>
        <w:spacing w:line="440" w:lineRule="exact"/>
        <w:ind w:firstLine="480" w:firstLineChars="200"/>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水泥基础价格参考“中国水泥</w:t>
      </w:r>
      <w:r>
        <w:rPr>
          <w:rFonts w:hint="eastAsia" w:ascii="仿宋_GB2312" w:hAnsi="仿宋_GB2312" w:eastAsia="仿宋_GB2312" w:cs="仿宋_GB2312"/>
          <w:kern w:val="0"/>
          <w:sz w:val="24"/>
          <w:lang w:val="en-US" w:eastAsia="zh-CN" w:bidi="ar"/>
        </w:rPr>
        <w:t>网”</w:t>
      </w:r>
      <w:r>
        <w:rPr>
          <w:rFonts w:hint="eastAsia" w:ascii="仿宋_GB2312" w:hAnsi="仿宋_GB2312" w:eastAsia="仿宋_GB2312" w:cs="仿宋_GB2312"/>
          <w:kern w:val="0"/>
          <w:sz w:val="24"/>
          <w:lang w:bidi="ar"/>
        </w:rPr>
        <w:t>（网址：</w:t>
      </w:r>
      <w:r>
        <w:rPr>
          <w:rFonts w:hint="eastAsia" w:ascii="仿宋_GB2312" w:hAnsi="仿宋_GB2312" w:eastAsia="仿宋_GB2312" w:cs="仿宋_GB2312"/>
          <w:kern w:val="0"/>
          <w:sz w:val="24"/>
          <w:lang w:bidi="ar"/>
        </w:rPr>
        <w:fldChar w:fldCharType="begin"/>
      </w:r>
      <w:r>
        <w:rPr>
          <w:rFonts w:hint="eastAsia" w:ascii="仿宋_GB2312" w:hAnsi="仿宋_GB2312" w:eastAsia="仿宋_GB2312" w:cs="仿宋_GB2312"/>
          <w:kern w:val="0"/>
          <w:sz w:val="24"/>
          <w:lang w:bidi="ar"/>
        </w:rPr>
        <w:instrText xml:space="preserve"> HYPERLINK "https://www.ccement.com" </w:instrText>
      </w:r>
      <w:r>
        <w:rPr>
          <w:rFonts w:hint="eastAsia" w:ascii="仿宋_GB2312" w:hAnsi="仿宋_GB2312" w:eastAsia="仿宋_GB2312" w:cs="仿宋_GB2312"/>
          <w:kern w:val="0"/>
          <w:sz w:val="24"/>
          <w:lang w:bidi="ar"/>
        </w:rPr>
        <w:fldChar w:fldCharType="separate"/>
      </w:r>
      <w:r>
        <w:rPr>
          <w:rFonts w:hint="eastAsia" w:ascii="仿宋_GB2312" w:hAnsi="仿宋_GB2312" w:eastAsia="仿宋_GB2312" w:cs="仿宋_GB2312"/>
          <w:kern w:val="0"/>
          <w:sz w:val="24"/>
          <w:lang w:bidi="ar"/>
        </w:rPr>
        <w:t>https://www.ccement.com</w:t>
      </w:r>
      <w:r>
        <w:rPr>
          <w:rFonts w:hint="eastAsia" w:ascii="仿宋_GB2312" w:hAnsi="仿宋_GB2312" w:eastAsia="仿宋_GB2312" w:cs="仿宋_GB2312"/>
          <w:kern w:val="0"/>
          <w:sz w:val="24"/>
          <w:lang w:bidi="ar"/>
        </w:rPr>
        <w:fldChar w:fldCharType="end"/>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val="en-US" w:eastAsia="zh-CN" w:bidi="ar"/>
        </w:rPr>
        <w:t>四川省绵阳区域（四川国大水泥有限公司、四川省女娲建材有限公司、江油红狮水泥有限公司）20</w:t>
      </w:r>
      <w:r>
        <w:rPr>
          <w:rFonts w:hint="eastAsia" w:ascii="仿宋_GB2312" w:hAnsi="仿宋_GB2312" w:eastAsia="仿宋_GB2312" w:cs="仿宋_GB2312"/>
          <w:kern w:val="0"/>
          <w:sz w:val="24"/>
          <w:lang w:bidi="ar"/>
        </w:rPr>
        <w:t>25年</w:t>
      </w:r>
      <w:r>
        <w:rPr>
          <w:rFonts w:hint="eastAsia" w:ascii="仿宋_GB2312" w:hAnsi="仿宋_GB2312" w:eastAsia="仿宋_GB2312" w:cs="仿宋_GB2312"/>
          <w:kern w:val="0"/>
          <w:sz w:val="24"/>
          <w:lang w:val="en-US" w:eastAsia="zh-CN" w:bidi="ar"/>
        </w:rPr>
        <w:t>9</w:t>
      </w:r>
      <w:r>
        <w:rPr>
          <w:rFonts w:hint="eastAsia" w:ascii="仿宋_GB2312" w:hAnsi="仿宋_GB2312" w:eastAsia="仿宋_GB2312" w:cs="仿宋_GB2312"/>
          <w:kern w:val="0"/>
          <w:sz w:val="24"/>
          <w:lang w:bidi="ar"/>
        </w:rPr>
        <w:t>月散装水泥“</w:t>
      </w:r>
      <w:r>
        <w:rPr>
          <w:rFonts w:hint="eastAsia" w:ascii="仿宋" w:hAnsi="仿宋" w:eastAsia="仿宋" w:cs="仿宋"/>
          <w:sz w:val="24"/>
          <w:szCs w:val="24"/>
        </w:rPr>
        <w:t xml:space="preserve">P.0 42.5R </w:t>
      </w:r>
      <w:r>
        <w:rPr>
          <w:rFonts w:hint="eastAsia" w:ascii="仿宋_GB2312" w:hAnsi="仿宋_GB2312" w:eastAsia="仿宋_GB2312" w:cs="仿宋_GB2312"/>
          <w:kern w:val="0"/>
          <w:sz w:val="24"/>
          <w:lang w:bidi="ar"/>
        </w:rPr>
        <w:t>参考价”均价：</w:t>
      </w:r>
      <w:r>
        <w:rPr>
          <w:rFonts w:hint="eastAsia" w:ascii="仿宋_GB2312" w:hAnsi="仿宋_GB2312" w:eastAsia="仿宋_GB2312" w:cs="仿宋_GB2312"/>
          <w:kern w:val="0"/>
          <w:sz w:val="24"/>
          <w:lang w:val="en-US" w:eastAsia="zh-CN" w:bidi="ar"/>
        </w:rPr>
        <w:t>403</w:t>
      </w:r>
      <w:r>
        <w:rPr>
          <w:rFonts w:hint="eastAsia" w:ascii="仿宋_GB2312" w:hAnsi="仿宋_GB2312" w:eastAsia="仿宋_GB2312" w:cs="仿宋_GB2312"/>
          <w:kern w:val="0"/>
          <w:sz w:val="24"/>
          <w:lang w:bidi="ar"/>
        </w:rPr>
        <w:t>元/吨（含税价）。水泥价格涨跌在</w:t>
      </w:r>
      <w:r>
        <w:rPr>
          <w:rFonts w:hint="eastAsia" w:ascii="仿宋_GB2312" w:hAnsi="仿宋_GB2312" w:eastAsia="仿宋_GB2312" w:cs="仿宋_GB2312"/>
          <w:kern w:val="0"/>
          <w:sz w:val="24"/>
          <w:lang w:val="en-US" w:eastAsia="zh-CN" w:bidi="ar"/>
        </w:rPr>
        <w:t>5</w:t>
      </w:r>
      <w:r>
        <w:rPr>
          <w:rFonts w:hint="eastAsia" w:ascii="仿宋_GB2312" w:hAnsi="仿宋_GB2312" w:eastAsia="仿宋_GB2312" w:cs="仿宋_GB2312"/>
          <w:kern w:val="0"/>
          <w:sz w:val="24"/>
          <w:lang w:bidi="ar"/>
        </w:rPr>
        <w:t>0元/吨范围时，混凝土、砂浆价格不做调整；超过</w:t>
      </w:r>
      <w:r>
        <w:rPr>
          <w:rFonts w:hint="eastAsia" w:ascii="仿宋_GB2312" w:hAnsi="仿宋_GB2312" w:eastAsia="仿宋_GB2312" w:cs="仿宋_GB2312"/>
          <w:kern w:val="0"/>
          <w:sz w:val="24"/>
          <w:lang w:val="en-US" w:eastAsia="zh-CN" w:bidi="ar"/>
        </w:rPr>
        <w:t>5</w:t>
      </w:r>
      <w:r>
        <w:rPr>
          <w:rFonts w:hint="eastAsia" w:ascii="仿宋_GB2312" w:hAnsi="仿宋_GB2312" w:eastAsia="仿宋_GB2312" w:cs="仿宋_GB2312"/>
          <w:kern w:val="0"/>
          <w:sz w:val="24"/>
          <w:lang w:bidi="ar"/>
        </w:rPr>
        <w:t>0元/吨时，混凝土、砂浆超出部分价格均按照实际情况调整。</w:t>
      </w:r>
      <w:r>
        <w:rPr>
          <w:rFonts w:hint="eastAsia" w:ascii="仿宋_GB2312" w:hAnsi="仿宋_GB2312" w:eastAsia="仿宋_GB2312" w:cs="仿宋_GB2312"/>
          <w:kern w:val="0"/>
          <w:sz w:val="24"/>
          <w:lang w:val="en-US" w:eastAsia="zh-CN" w:bidi="ar"/>
        </w:rPr>
        <w:t>四川省广元区域（</w:t>
      </w:r>
      <w:r>
        <w:rPr>
          <w:rFonts w:hint="eastAsia" w:ascii="仿宋" w:hAnsi="仿宋" w:eastAsia="仿宋" w:cs="仿宋"/>
          <w:sz w:val="24"/>
          <w:szCs w:val="24"/>
          <w:lang w:val="en-US" w:eastAsia="zh-CN"/>
        </w:rPr>
        <w:t>广元市高力水泥实业有限公司</w:t>
      </w:r>
      <w:r>
        <w:rPr>
          <w:rFonts w:hint="eastAsia" w:ascii="仿宋_GB2312" w:hAnsi="仿宋_GB2312" w:eastAsia="仿宋_GB2312" w:cs="仿宋_GB2312"/>
          <w:kern w:val="0"/>
          <w:sz w:val="24"/>
          <w:lang w:val="en-US" w:eastAsia="zh-CN" w:bidi="ar"/>
        </w:rPr>
        <w:t>）20</w:t>
      </w:r>
      <w:r>
        <w:rPr>
          <w:rFonts w:hint="eastAsia" w:ascii="仿宋_GB2312" w:hAnsi="仿宋_GB2312" w:eastAsia="仿宋_GB2312" w:cs="仿宋_GB2312"/>
          <w:kern w:val="0"/>
          <w:sz w:val="24"/>
          <w:lang w:bidi="ar"/>
        </w:rPr>
        <w:t>25年</w:t>
      </w:r>
      <w:r>
        <w:rPr>
          <w:rFonts w:hint="eastAsia" w:ascii="仿宋_GB2312" w:hAnsi="仿宋_GB2312" w:eastAsia="仿宋_GB2312" w:cs="仿宋_GB2312"/>
          <w:kern w:val="0"/>
          <w:sz w:val="24"/>
          <w:lang w:val="en-US" w:eastAsia="zh-CN" w:bidi="ar"/>
        </w:rPr>
        <w:t>9</w:t>
      </w:r>
      <w:r>
        <w:rPr>
          <w:rFonts w:hint="eastAsia" w:ascii="仿宋_GB2312" w:hAnsi="仿宋_GB2312" w:eastAsia="仿宋_GB2312" w:cs="仿宋_GB2312"/>
          <w:kern w:val="0"/>
          <w:sz w:val="24"/>
          <w:lang w:bidi="ar"/>
        </w:rPr>
        <w:t>月散装水泥“</w:t>
      </w:r>
      <w:r>
        <w:rPr>
          <w:rFonts w:hint="eastAsia" w:ascii="仿宋" w:hAnsi="仿宋" w:eastAsia="仿宋" w:cs="仿宋"/>
          <w:sz w:val="24"/>
          <w:szCs w:val="24"/>
        </w:rPr>
        <w:t xml:space="preserve">P.0 42.5R </w:t>
      </w:r>
      <w:r>
        <w:rPr>
          <w:rFonts w:hint="eastAsia" w:ascii="仿宋_GB2312" w:hAnsi="仿宋_GB2312" w:eastAsia="仿宋_GB2312" w:cs="仿宋_GB2312"/>
          <w:kern w:val="0"/>
          <w:sz w:val="24"/>
          <w:lang w:bidi="ar"/>
        </w:rPr>
        <w:t>参考价”均价：</w:t>
      </w:r>
      <w:r>
        <w:rPr>
          <w:rFonts w:hint="eastAsia" w:ascii="仿宋_GB2312" w:hAnsi="仿宋_GB2312" w:eastAsia="仿宋_GB2312" w:cs="仿宋_GB2312"/>
          <w:kern w:val="0"/>
          <w:sz w:val="24"/>
          <w:lang w:val="en-US" w:eastAsia="zh-CN" w:bidi="ar"/>
        </w:rPr>
        <w:t>378</w:t>
      </w:r>
      <w:r>
        <w:rPr>
          <w:rFonts w:hint="eastAsia" w:ascii="仿宋_GB2312" w:hAnsi="仿宋_GB2312" w:eastAsia="仿宋_GB2312" w:cs="仿宋_GB2312"/>
          <w:kern w:val="0"/>
          <w:sz w:val="24"/>
          <w:lang w:bidi="ar"/>
        </w:rPr>
        <w:t>元/吨（含税价）。水泥价格涨跌在</w:t>
      </w:r>
      <w:r>
        <w:rPr>
          <w:rFonts w:hint="eastAsia" w:ascii="仿宋_GB2312" w:hAnsi="仿宋_GB2312" w:eastAsia="仿宋_GB2312" w:cs="仿宋_GB2312"/>
          <w:kern w:val="0"/>
          <w:sz w:val="24"/>
          <w:lang w:val="en-US" w:eastAsia="zh-CN" w:bidi="ar"/>
        </w:rPr>
        <w:t>5</w:t>
      </w:r>
      <w:r>
        <w:rPr>
          <w:rFonts w:hint="eastAsia" w:ascii="仿宋_GB2312" w:hAnsi="仿宋_GB2312" w:eastAsia="仿宋_GB2312" w:cs="仿宋_GB2312"/>
          <w:kern w:val="0"/>
          <w:sz w:val="24"/>
          <w:lang w:bidi="ar"/>
        </w:rPr>
        <w:t>0元/吨范围时，混凝土、砂浆价格不做调整；超过</w:t>
      </w:r>
      <w:r>
        <w:rPr>
          <w:rFonts w:hint="eastAsia" w:ascii="仿宋_GB2312" w:hAnsi="仿宋_GB2312" w:eastAsia="仿宋_GB2312" w:cs="仿宋_GB2312"/>
          <w:kern w:val="0"/>
          <w:sz w:val="24"/>
          <w:lang w:val="en-US" w:eastAsia="zh-CN" w:bidi="ar"/>
        </w:rPr>
        <w:t>5</w:t>
      </w:r>
      <w:r>
        <w:rPr>
          <w:rFonts w:hint="eastAsia" w:ascii="仿宋_GB2312" w:hAnsi="仿宋_GB2312" w:eastAsia="仿宋_GB2312" w:cs="仿宋_GB2312"/>
          <w:kern w:val="0"/>
          <w:sz w:val="24"/>
          <w:lang w:bidi="ar"/>
        </w:rPr>
        <w:t>0元/吨时，混凝土、砂浆超出部分价格均按照实际情况调整。</w:t>
      </w:r>
    </w:p>
    <w:p w14:paraId="2E787D5C">
      <w:pPr>
        <w:spacing w:line="440" w:lineRule="exact"/>
        <w:ind w:firstLine="480" w:firstLineChars="200"/>
        <w:rPr>
          <w:rFonts w:hint="default"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bidi="ar"/>
        </w:rPr>
        <w:t>合同期内每日的商品混凝土C30 的不含增值税到场单价=商品混凝土C30的不含增值税到场中标价+（当日“</w:t>
      </w:r>
      <w:r>
        <w:rPr>
          <w:rFonts w:hint="eastAsia" w:ascii="仿宋_GB2312" w:hAnsi="仿宋_GB2312" w:eastAsia="仿宋_GB2312" w:cs="仿宋_GB2312"/>
          <w:kern w:val="0"/>
          <w:sz w:val="24"/>
          <w:lang w:val="en-US" w:eastAsia="zh-CN" w:bidi="ar"/>
        </w:rPr>
        <w:t>中国</w:t>
      </w:r>
      <w:r>
        <w:rPr>
          <w:rFonts w:hint="eastAsia" w:ascii="仿宋_GB2312" w:hAnsi="仿宋_GB2312" w:eastAsia="仿宋_GB2312" w:cs="仿宋_GB2312"/>
          <w:kern w:val="0"/>
          <w:sz w:val="24"/>
          <w:lang w:bidi="ar"/>
        </w:rPr>
        <w:t>水泥网 ”（网址：</w:t>
      </w:r>
      <w:r>
        <w:rPr>
          <w:rFonts w:hint="eastAsia" w:ascii="仿宋_GB2312" w:hAnsi="仿宋_GB2312" w:eastAsia="仿宋_GB2312" w:cs="仿宋_GB2312"/>
          <w:kern w:val="0"/>
          <w:sz w:val="24"/>
          <w:lang w:bidi="ar"/>
        </w:rPr>
        <w:fldChar w:fldCharType="begin"/>
      </w:r>
      <w:r>
        <w:rPr>
          <w:rFonts w:hint="eastAsia" w:ascii="仿宋_GB2312" w:hAnsi="仿宋_GB2312" w:eastAsia="仿宋_GB2312" w:cs="仿宋_GB2312"/>
          <w:kern w:val="0"/>
          <w:sz w:val="24"/>
          <w:lang w:bidi="ar"/>
        </w:rPr>
        <w:instrText xml:space="preserve"> HYPERLINK "https://www.ccement.com" </w:instrText>
      </w:r>
      <w:r>
        <w:rPr>
          <w:rFonts w:hint="eastAsia" w:ascii="仿宋_GB2312" w:hAnsi="仿宋_GB2312" w:eastAsia="仿宋_GB2312" w:cs="仿宋_GB2312"/>
          <w:kern w:val="0"/>
          <w:sz w:val="24"/>
          <w:lang w:bidi="ar"/>
        </w:rPr>
        <w:fldChar w:fldCharType="separate"/>
      </w:r>
      <w:r>
        <w:rPr>
          <w:rFonts w:hint="eastAsia" w:ascii="仿宋_GB2312" w:hAnsi="仿宋_GB2312" w:eastAsia="仿宋_GB2312" w:cs="仿宋_GB2312"/>
          <w:kern w:val="0"/>
          <w:sz w:val="24"/>
          <w:lang w:bidi="ar"/>
        </w:rPr>
        <w:t>https://www.ccement.com</w:t>
      </w:r>
      <w:r>
        <w:rPr>
          <w:rFonts w:hint="eastAsia" w:ascii="仿宋_GB2312" w:hAnsi="仿宋_GB2312" w:eastAsia="仿宋_GB2312" w:cs="仿宋_GB2312"/>
          <w:kern w:val="0"/>
          <w:sz w:val="24"/>
          <w:lang w:bidi="ar"/>
        </w:rPr>
        <w:fldChar w:fldCharType="end"/>
      </w:r>
      <w:r>
        <w:rPr>
          <w:rFonts w:hint="eastAsia" w:ascii="仿宋_GB2312" w:hAnsi="仿宋_GB2312" w:eastAsia="仿宋_GB2312" w:cs="仿宋_GB2312"/>
          <w:kern w:val="0"/>
          <w:sz w:val="24"/>
          <w:lang w:bidi="ar"/>
        </w:rPr>
        <w:t>）公布的四川</w:t>
      </w:r>
      <w:r>
        <w:rPr>
          <w:rFonts w:hint="eastAsia" w:ascii="仿宋_GB2312" w:hAnsi="仿宋_GB2312" w:eastAsia="仿宋_GB2312" w:cs="仿宋_GB2312"/>
          <w:kern w:val="0"/>
          <w:sz w:val="24"/>
          <w:lang w:val="en-US" w:eastAsia="zh-CN" w:bidi="ar"/>
        </w:rPr>
        <w:t>绵阳区域，</w:t>
      </w:r>
      <w:r>
        <w:rPr>
          <w:rFonts w:hint="eastAsia" w:ascii="仿宋_GB2312" w:hAnsi="仿宋_GB2312" w:eastAsia="仿宋_GB2312" w:cs="仿宋_GB2312"/>
          <w:kern w:val="0"/>
          <w:sz w:val="24"/>
          <w:lang w:bidi="ar"/>
        </w:rPr>
        <w:t>四川国大水泥有限公司、四川省女娲建材有限公司</w:t>
      </w:r>
      <w:r>
        <w:rPr>
          <w:rFonts w:hint="eastAsia" w:ascii="仿宋_GB2312" w:hAnsi="仿宋_GB2312" w:eastAsia="仿宋_GB2312" w:cs="仿宋_GB2312"/>
          <w:kern w:val="0"/>
          <w:sz w:val="24"/>
          <w:lang w:eastAsia="zh-CN" w:bidi="ar"/>
        </w:rPr>
        <w:t>、江油红狮水泥有限公司的</w:t>
      </w:r>
      <w:r>
        <w:rPr>
          <w:rFonts w:hint="eastAsia" w:ascii="仿宋_GB2312" w:hAnsi="仿宋_GB2312" w:eastAsia="仿宋_GB2312" w:cs="仿宋_GB2312"/>
          <w:kern w:val="0"/>
          <w:sz w:val="24"/>
          <w:lang w:bidi="ar"/>
        </w:rPr>
        <w:t xml:space="preserve"> P.0 42.5R 散装水泥平均价格</w:t>
      </w:r>
      <w:r>
        <w:rPr>
          <w:rFonts w:hint="eastAsia" w:ascii="仿宋_GB2312" w:hAnsi="仿宋_GB2312" w:eastAsia="仿宋_GB2312" w:cs="仿宋_GB2312"/>
          <w:kern w:val="0"/>
          <w:sz w:val="24"/>
          <w:lang w:val="en-US" w:eastAsia="zh-CN" w:bidi="ar"/>
        </w:rPr>
        <w:t>403</w:t>
      </w:r>
      <w:r>
        <w:rPr>
          <w:rFonts w:hint="eastAsia" w:ascii="仿宋_GB2312" w:hAnsi="仿宋_GB2312" w:eastAsia="仿宋_GB2312" w:cs="仿宋_GB2312"/>
          <w:kern w:val="0"/>
          <w:sz w:val="24"/>
          <w:lang w:bidi="ar"/>
        </w:rPr>
        <w:t>元/吨）/1000/1.13*生产配合比中 P.042.5R 水泥用量（水泥含税单价涨跌在50 元/吨范围时不调价）</w:t>
      </w:r>
      <w:r>
        <w:rPr>
          <w:rFonts w:hint="eastAsia" w:ascii="仿宋_GB2312" w:hAnsi="仿宋_GB2312" w:eastAsia="仿宋_GB2312" w:cs="仿宋_GB2312"/>
          <w:kern w:val="0"/>
          <w:sz w:val="24"/>
          <w:lang w:eastAsia="zh-CN" w:bidi="ar"/>
        </w:rPr>
        <w:t>，</w:t>
      </w:r>
      <w:r>
        <w:rPr>
          <w:rFonts w:hint="eastAsia" w:ascii="仿宋_GB2312" w:hAnsi="仿宋_GB2312" w:eastAsia="仿宋_GB2312" w:cs="仿宋_GB2312"/>
          <w:kern w:val="0"/>
          <w:sz w:val="24"/>
          <w:lang w:val="en-US" w:eastAsia="zh-CN" w:bidi="ar"/>
        </w:rPr>
        <w:t>其他强度等级的商砼以此类推。</w:t>
      </w:r>
    </w:p>
    <w:p w14:paraId="6E751775">
      <w:pPr>
        <w:spacing w:line="440" w:lineRule="exact"/>
        <w:ind w:firstLine="480" w:firstLineChars="200"/>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若当日“</w:t>
      </w:r>
      <w:r>
        <w:rPr>
          <w:rFonts w:hint="eastAsia" w:ascii="仿宋_GB2312" w:hAnsi="仿宋_GB2312" w:eastAsia="仿宋_GB2312" w:cs="仿宋_GB2312"/>
          <w:kern w:val="0"/>
          <w:sz w:val="24"/>
          <w:lang w:val="en-US" w:eastAsia="zh-CN" w:bidi="ar"/>
        </w:rPr>
        <w:t>中国</w:t>
      </w:r>
      <w:r>
        <w:rPr>
          <w:rFonts w:hint="eastAsia" w:ascii="仿宋_GB2312" w:hAnsi="仿宋_GB2312" w:eastAsia="仿宋_GB2312" w:cs="仿宋_GB2312"/>
          <w:kern w:val="0"/>
          <w:sz w:val="24"/>
          <w:lang w:bidi="ar"/>
        </w:rPr>
        <w:t>水泥网”（网址：</w:t>
      </w:r>
      <w:r>
        <w:rPr>
          <w:rFonts w:hint="eastAsia" w:ascii="仿宋_GB2312" w:hAnsi="仿宋_GB2312" w:eastAsia="仿宋_GB2312" w:cs="仿宋_GB2312"/>
          <w:kern w:val="0"/>
          <w:sz w:val="24"/>
          <w:lang w:bidi="ar"/>
        </w:rPr>
        <w:fldChar w:fldCharType="begin"/>
      </w:r>
      <w:r>
        <w:rPr>
          <w:rFonts w:hint="eastAsia" w:ascii="仿宋_GB2312" w:hAnsi="仿宋_GB2312" w:eastAsia="仿宋_GB2312" w:cs="仿宋_GB2312"/>
          <w:kern w:val="0"/>
          <w:sz w:val="24"/>
          <w:lang w:bidi="ar"/>
        </w:rPr>
        <w:instrText xml:space="preserve"> HYPERLINK "https://www.ccement.com" </w:instrText>
      </w:r>
      <w:r>
        <w:rPr>
          <w:rFonts w:hint="eastAsia" w:ascii="仿宋_GB2312" w:hAnsi="仿宋_GB2312" w:eastAsia="仿宋_GB2312" w:cs="仿宋_GB2312"/>
          <w:kern w:val="0"/>
          <w:sz w:val="24"/>
          <w:lang w:bidi="ar"/>
        </w:rPr>
        <w:fldChar w:fldCharType="separate"/>
      </w:r>
      <w:r>
        <w:rPr>
          <w:rFonts w:hint="eastAsia" w:ascii="仿宋_GB2312" w:hAnsi="仿宋_GB2312" w:eastAsia="仿宋_GB2312" w:cs="仿宋_GB2312"/>
          <w:kern w:val="0"/>
          <w:sz w:val="24"/>
          <w:lang w:bidi="ar"/>
        </w:rPr>
        <w:t>https://www.ccement.com</w:t>
      </w:r>
      <w:r>
        <w:rPr>
          <w:rFonts w:hint="eastAsia" w:ascii="仿宋_GB2312" w:hAnsi="仿宋_GB2312" w:eastAsia="仿宋_GB2312" w:cs="仿宋_GB2312"/>
          <w:kern w:val="0"/>
          <w:sz w:val="24"/>
          <w:lang w:bidi="ar"/>
        </w:rPr>
        <w:fldChar w:fldCharType="end"/>
      </w:r>
      <w:r>
        <w:rPr>
          <w:rFonts w:hint="eastAsia" w:ascii="仿宋_GB2312" w:hAnsi="仿宋_GB2312" w:eastAsia="仿宋_GB2312" w:cs="仿宋_GB2312"/>
          <w:kern w:val="0"/>
          <w:sz w:val="24"/>
          <w:lang w:bidi="ar"/>
        </w:rPr>
        <w:t>）公布的四川</w:t>
      </w:r>
      <w:r>
        <w:rPr>
          <w:rFonts w:hint="eastAsia" w:ascii="仿宋_GB2312" w:hAnsi="仿宋_GB2312" w:eastAsia="仿宋_GB2312" w:cs="仿宋_GB2312"/>
          <w:kern w:val="0"/>
          <w:sz w:val="24"/>
          <w:lang w:val="en-US" w:eastAsia="zh-CN" w:bidi="ar"/>
        </w:rPr>
        <w:t>绵阳区域/四川广元区域，</w:t>
      </w:r>
      <w:r>
        <w:rPr>
          <w:rFonts w:hint="eastAsia" w:ascii="仿宋_GB2312" w:hAnsi="仿宋_GB2312" w:eastAsia="仿宋_GB2312" w:cs="仿宋_GB2312"/>
          <w:kern w:val="0"/>
          <w:sz w:val="24"/>
          <w:lang w:bidi="ar"/>
        </w:rPr>
        <w:t>四川国大水泥有限公司、四川省女娲建材有限公司</w:t>
      </w:r>
      <w:r>
        <w:rPr>
          <w:rFonts w:hint="eastAsia" w:ascii="仿宋_GB2312" w:hAnsi="仿宋_GB2312" w:eastAsia="仿宋_GB2312" w:cs="仿宋_GB2312"/>
          <w:kern w:val="0"/>
          <w:sz w:val="24"/>
          <w:lang w:eastAsia="zh-CN" w:bidi="ar"/>
        </w:rPr>
        <w:t>、江油红狮水泥有限公司、</w:t>
      </w:r>
      <w:r>
        <w:rPr>
          <w:rFonts w:hint="eastAsia" w:ascii="仿宋" w:hAnsi="仿宋" w:eastAsia="仿宋" w:cs="仿宋"/>
          <w:sz w:val="24"/>
          <w:szCs w:val="24"/>
          <w:lang w:val="en-US" w:eastAsia="zh-CN"/>
        </w:rPr>
        <w:t>广元市高力水泥实业有限公司</w:t>
      </w:r>
      <w:r>
        <w:rPr>
          <w:rFonts w:hint="eastAsia" w:ascii="仿宋_GB2312" w:hAnsi="仿宋_GB2312" w:eastAsia="仿宋_GB2312" w:cs="仿宋_GB2312"/>
          <w:kern w:val="0"/>
          <w:sz w:val="24"/>
          <w:lang w:bidi="ar"/>
        </w:rPr>
        <w:t>的 P.0 42.5R 散装水泥价无挂牌价，则以前一日最近的挂牌价作为基础价；若当日挂牌指导价有多个报价的，则以当日最后一次挂牌价作为基础价。其中生产配合比以甲方签字确认的开盘报告数据为准。</w:t>
      </w:r>
    </w:p>
    <w:p w14:paraId="23C668F5">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jc w:val="left"/>
        <w:textAlignment w:val="auto"/>
        <w:rPr>
          <w:rFonts w:hint="default" w:ascii="仿宋" w:hAnsi="仿宋" w:eastAsia="仿宋" w:cs="仿宋"/>
          <w:color w:val="000000" w:themeColor="text1"/>
          <w:sz w:val="24"/>
          <w:szCs w:val="24"/>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在实际结算中，</w:t>
      </w:r>
      <w:r>
        <w:rPr>
          <w:rFonts w:hint="default" w:ascii="仿宋_GB2312" w:hAnsi="宋体" w:eastAsia="仿宋_GB2312" w:cs="仿宋_GB2312"/>
          <w:i w:val="0"/>
          <w:iCs w:val="0"/>
          <w:color w:val="000000"/>
          <w:sz w:val="24"/>
          <w:szCs w:val="24"/>
          <w:highlight w:val="none"/>
          <w:u w:val="none"/>
        </w:rPr>
        <w:t>魏城收费站、卧龙收费站、两弹城收费站、演武收费站、许州收费站、梓潼服务区、七曲山停车区</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站点参考</w:t>
      </w:r>
      <w:r>
        <w:rPr>
          <w:rFonts w:hint="eastAsia" w:ascii="仿宋_GB2312" w:hAnsi="仿宋_GB2312" w:eastAsia="仿宋_GB2312" w:cs="仿宋_GB2312"/>
          <w:color w:val="000000" w:themeColor="text1"/>
          <w:kern w:val="0"/>
          <w:sz w:val="24"/>
          <w:highlight w:val="none"/>
          <w:shd w:val="clear" w:color="auto" w:fill="auto"/>
          <w:lang w:bidi="ar"/>
          <w14:textFill>
            <w14:solidFill>
              <w14:schemeClr w14:val="tx1"/>
            </w14:solidFill>
          </w14:textFill>
        </w:rPr>
        <w:t>四川</w:t>
      </w:r>
      <w:r>
        <w:rPr>
          <w:rFonts w:hint="eastAsia" w:ascii="仿宋_GB2312" w:hAnsi="仿宋_GB2312" w:eastAsia="仿宋_GB2312" w:cs="仿宋_GB2312"/>
          <w:color w:val="000000" w:themeColor="text1"/>
          <w:kern w:val="0"/>
          <w:sz w:val="24"/>
          <w:highlight w:val="none"/>
          <w:shd w:val="clear" w:color="auto" w:fill="auto"/>
          <w:lang w:val="en-US" w:eastAsia="zh-CN" w:bidi="ar"/>
          <w14:textFill>
            <w14:solidFill>
              <w14:schemeClr w14:val="tx1"/>
            </w14:solidFill>
          </w14:textFill>
        </w:rPr>
        <w:t>绵阳区域，</w:t>
      </w:r>
      <w:r>
        <w:rPr>
          <w:rFonts w:hint="default" w:ascii="仿宋_GB2312" w:hAnsi="宋体" w:eastAsia="仿宋_GB2312" w:cs="仿宋_GB2312"/>
          <w:i w:val="0"/>
          <w:iCs w:val="0"/>
          <w:color w:val="000000"/>
          <w:sz w:val="24"/>
          <w:szCs w:val="24"/>
          <w:highlight w:val="none"/>
          <w:u w:val="none"/>
        </w:rPr>
        <w:t>武连收费站、柳沟收费站、普安收费站、红岩收费站、剑门关收费站、垂泉服务区、普安服务区、红岩停车区</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站点参考</w:t>
      </w:r>
      <w:r>
        <w:rPr>
          <w:rFonts w:hint="eastAsia" w:ascii="仿宋_GB2312" w:hAnsi="仿宋_GB2312" w:eastAsia="仿宋_GB2312" w:cs="仿宋_GB2312"/>
          <w:color w:val="000000" w:themeColor="text1"/>
          <w:kern w:val="0"/>
          <w:sz w:val="24"/>
          <w:highlight w:val="none"/>
          <w:shd w:val="clear" w:color="auto" w:fill="auto"/>
          <w:lang w:bidi="ar"/>
          <w14:textFill>
            <w14:solidFill>
              <w14:schemeClr w14:val="tx1"/>
            </w14:solidFill>
          </w14:textFill>
        </w:rPr>
        <w:t>四川</w:t>
      </w:r>
      <w:r>
        <w:rPr>
          <w:rFonts w:hint="eastAsia" w:ascii="仿宋_GB2312" w:hAnsi="仿宋_GB2312" w:eastAsia="仿宋_GB2312" w:cs="仿宋_GB2312"/>
          <w:color w:val="000000" w:themeColor="text1"/>
          <w:kern w:val="0"/>
          <w:sz w:val="24"/>
          <w:highlight w:val="none"/>
          <w:shd w:val="clear" w:color="auto" w:fill="auto"/>
          <w:lang w:val="en-US" w:eastAsia="zh-CN" w:bidi="ar"/>
          <w14:textFill>
            <w14:solidFill>
              <w14:schemeClr w14:val="tx1"/>
            </w14:solidFill>
          </w14:textFill>
        </w:rPr>
        <w:t>广元区域。</w:t>
      </w:r>
    </w:p>
    <w:p w14:paraId="187B8960">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jc w:val="left"/>
        <w:textAlignment w:val="auto"/>
        <w:rPr>
          <w:rFonts w:hint="default" w:ascii="仿宋" w:hAnsi="仿宋" w:eastAsia="仿宋" w:cs="仿宋"/>
          <w:sz w:val="24"/>
          <w:szCs w:val="24"/>
          <w:lang w:val="en-US" w:eastAsia="zh-CN"/>
        </w:rPr>
      </w:pPr>
    </w:p>
    <w:p w14:paraId="4810813B">
      <w:pPr>
        <w:spacing w:line="440" w:lineRule="exact"/>
        <w:ind w:firstLine="480" w:firstLineChars="200"/>
        <w:rPr>
          <w:rFonts w:hint="eastAsia" w:ascii="仿宋_GB2312" w:hAnsi="仿宋_GB2312" w:eastAsia="仿宋_GB2312" w:cs="仿宋_GB2312"/>
          <w:kern w:val="0"/>
          <w:sz w:val="24"/>
          <w:highlight w:val="none"/>
          <w:lang w:bidi="ar"/>
        </w:rPr>
      </w:pPr>
    </w:p>
    <w:p w14:paraId="4F5029F0">
      <w:pPr>
        <w:numPr>
          <w:ilvl w:val="0"/>
          <w:numId w:val="0"/>
        </w:numPr>
        <w:spacing w:line="480" w:lineRule="exact"/>
        <w:ind w:firstLine="482" w:firstLineChars="200"/>
        <w:rPr>
          <w:rFonts w:ascii="仿宋_GB2312" w:hAnsi="仿宋_GB2312" w:cs="仿宋_GB2312"/>
          <w:b/>
          <w:color w:val="000000" w:themeColor="text1"/>
          <w:sz w:val="24"/>
          <w14:textFill>
            <w14:solidFill>
              <w14:schemeClr w14:val="tx1"/>
            </w14:solidFill>
          </w14:textFill>
        </w:rPr>
      </w:pPr>
      <w:r>
        <w:rPr>
          <w:rFonts w:hint="eastAsia" w:ascii="仿宋_GB2312" w:hAnsi="仿宋_GB2312" w:cs="仿宋_GB2312"/>
          <w:b/>
          <w:color w:val="000000" w:themeColor="text1"/>
          <w:sz w:val="24"/>
          <w:lang w:val="en-US" w:eastAsia="zh-CN"/>
          <w14:textFill>
            <w14:solidFill>
              <w14:schemeClr w14:val="tx1"/>
            </w14:solidFill>
          </w14:textFill>
        </w:rPr>
        <w:t>二、</w:t>
      </w:r>
      <w:r>
        <w:rPr>
          <w:rFonts w:hint="eastAsia" w:ascii="仿宋_GB2312" w:hAnsi="仿宋_GB2312" w:cs="仿宋_GB2312"/>
          <w:b/>
          <w:color w:val="000000" w:themeColor="text1"/>
          <w:sz w:val="24"/>
          <w14:textFill>
            <w14:solidFill>
              <w14:schemeClr w14:val="tx1"/>
            </w14:solidFill>
          </w14:textFill>
        </w:rPr>
        <w:t>质量要求</w:t>
      </w:r>
    </w:p>
    <w:p w14:paraId="3E08C02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混凝土原材料选用应符合《混凝土结构耐久性设计标准》（GB/T50476-2019）附录 B 的要求；外加剂的选择与使用应满足《混凝土外加剂应用技术规范》（GB50119-2013）的要 求；混凝土应满足《混凝土结构设计规范》（GB50010-2010）</w:t>
      </w:r>
      <w:r>
        <w:rPr>
          <w:rFonts w:hint="eastAsia" w:ascii="仿宋" w:hAnsi="仿宋" w:eastAsia="仿宋" w:cs="仿宋"/>
          <w:sz w:val="24"/>
          <w:szCs w:val="24"/>
          <w:lang w:eastAsia="zh-CN"/>
        </w:rPr>
        <w:t>的</w:t>
      </w:r>
      <w:r>
        <w:rPr>
          <w:rFonts w:hint="eastAsia" w:ascii="仿宋" w:hAnsi="仿宋" w:eastAsia="仿宋" w:cs="仿宋"/>
          <w:sz w:val="24"/>
          <w:szCs w:val="24"/>
          <w:lang w:val="en-US" w:eastAsia="zh-CN"/>
        </w:rPr>
        <w:t>相关要求。</w:t>
      </w:r>
      <w:r>
        <w:rPr>
          <w:rFonts w:hint="eastAsia" w:ascii="仿宋" w:hAnsi="仿宋" w:eastAsia="仿宋" w:cs="仿宋"/>
          <w:sz w:val="24"/>
          <w:szCs w:val="24"/>
        </w:rPr>
        <w:t>乙方应严格按甲方要求的材料型号进行供货，并且要保证材料符合工程设计及施工技求规范、业主或监理工程师要求；不合格材料，甲方有权拒收接收，由此造成的一切损失由乙方负责。吨、方标准按国家规定标准2400KG/m³。乙方须向甲方提供乙方自检配合比试验单和材质报告单</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并配合甲方监理单位的抽样送检</w:t>
      </w:r>
      <w:r>
        <w:rPr>
          <w:rFonts w:hint="eastAsia" w:ascii="仿宋" w:hAnsi="仿宋" w:eastAsia="仿宋" w:cs="仿宋"/>
          <w:sz w:val="24"/>
          <w:szCs w:val="24"/>
        </w:rPr>
        <w:t>。</w:t>
      </w:r>
    </w:p>
    <w:p w14:paraId="0A0235DB">
      <w:pPr>
        <w:spacing w:line="480" w:lineRule="exact"/>
        <w:ind w:firstLine="480"/>
        <w:rPr>
          <w:rFonts w:ascii="仿宋_GB2312" w:hAnsi="仿宋_GB2312" w:cs="仿宋_GB2312"/>
          <w:b/>
          <w:color w:val="000000" w:themeColor="text1"/>
          <w:sz w:val="24"/>
          <w14:textFill>
            <w14:solidFill>
              <w14:schemeClr w14:val="tx1"/>
            </w14:solidFill>
          </w14:textFill>
        </w:rPr>
      </w:pPr>
      <w:r>
        <w:rPr>
          <w:rFonts w:hint="eastAsia" w:ascii="仿宋_GB2312" w:hAnsi="仿宋_GB2312" w:cs="仿宋_GB2312"/>
          <w:b/>
          <w:color w:val="000000" w:themeColor="text1"/>
          <w:sz w:val="24"/>
          <w14:textFill>
            <w14:solidFill>
              <w14:schemeClr w14:val="tx1"/>
            </w14:solidFill>
          </w14:textFill>
        </w:rPr>
        <w:t>三、供货期限及交货地点</w:t>
      </w:r>
    </w:p>
    <w:p w14:paraId="43F1FD66">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（一）供货期限：自合同签订之日起至工程完工之日止。</w:t>
      </w:r>
    </w:p>
    <w:p w14:paraId="647F1445">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（二）交货地点：</w:t>
      </w:r>
      <w:r>
        <w:rPr>
          <w:rFonts w:hint="eastAsia" w:ascii="仿宋" w:hAnsi="仿宋" w:eastAsia="仿宋" w:cs="仿宋"/>
          <w:sz w:val="24"/>
          <w:szCs w:val="32"/>
          <w:u w:val="single"/>
          <w:lang w:val="en-US" w:eastAsia="zh-CN"/>
        </w:rPr>
        <w:t>G5京昆高速广元至绵阳段扩容工程FJ合同段项目经理部施工范围内</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w:t>
      </w:r>
    </w:p>
    <w:p w14:paraId="734BB9F4">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四、验收标准、方法与质量异议的处理</w:t>
      </w:r>
    </w:p>
    <w:p w14:paraId="56F254A2">
      <w:pPr>
        <w:spacing w:line="480" w:lineRule="exact"/>
        <w:ind w:firstLine="480"/>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（一）数量验收标准、方法，按以下第</w:t>
      </w:r>
      <w:r>
        <w:rPr>
          <w:rFonts w:hint="eastAsia" w:ascii="仿宋_GB2312" w:hAnsi="仿宋_GB2312" w:cs="仿宋_GB2312"/>
          <w:color w:val="000000" w:themeColor="text1"/>
          <w:sz w:val="24"/>
          <w:u w:val="single"/>
          <w14:textFill>
            <w14:solidFill>
              <w14:schemeClr w14:val="tx1"/>
            </w14:solidFill>
          </w14:textFill>
        </w:rPr>
        <w:t xml:space="preserve">  5  </w:t>
      </w:r>
      <w:r>
        <w:rPr>
          <w:rFonts w:hint="eastAsia" w:ascii="仿宋_GB2312" w:hAnsi="仿宋_GB2312" w:cs="仿宋_GB2312"/>
          <w:color w:val="000000" w:themeColor="text1"/>
          <w:sz w:val="24"/>
          <w14:textFill>
            <w14:solidFill>
              <w14:schemeClr w14:val="tx1"/>
            </w14:solidFill>
          </w14:textFill>
        </w:rPr>
        <w:t>项实施。</w:t>
      </w:r>
    </w:p>
    <w:p w14:paraId="5C24E455">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1、过磅计量：以甲方地磅秤重数量为准，实收数量=过磅毛重-过磅皮重。每车货物重量的合理磅差为</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u w:val="single"/>
          <w:lang w:val="en-US" w:eastAsia="zh-CN"/>
          <w14:textFill>
            <w14:solidFill>
              <w14:schemeClr w14:val="tx1"/>
            </w14:solidFill>
          </w14:textFill>
        </w:rPr>
        <w:t>3</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‰内（含），若与乙方《送货单》中记载重量磅差超过</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u w:val="single"/>
          <w:lang w:val="en-US" w:eastAsia="zh-CN"/>
          <w14:textFill>
            <w14:solidFill>
              <w14:schemeClr w14:val="tx1"/>
            </w14:solidFill>
          </w14:textFill>
        </w:rPr>
        <w:t>3</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‰时，乙方有权申请复称，相关费用由过错方承担。</w:t>
      </w:r>
    </w:p>
    <w:p w14:paraId="56BB585D">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运输车辆到达地磅前严格控制上磅车速，速度不得大于5km/小时，防止急刹车造成传感器损坏，因此造成甲方地磅损坏由乙方承担全部损失。过磅时车辆必须按甲方规定停放合理位置后熄火，驾驶员和其他人员必须下车；卸货时双方不得有任何影响称重计量的舞弊行为，一经发现，舞弊一方应向守约方按合同暂定总金额的</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%支付违约金，构成犯罪的应承担刑事责任。</w:t>
      </w:r>
    </w:p>
    <w:p w14:paraId="7D3159E1">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收方计量：乙方自卸车辆将所供材料运至甲方施工现场指定地点，每一车按平货箱装料，甲、乙双方共同签认车厢容积（厢体内尺寸长×宽×高，并扣除货箱侧面钢板与底面钢板的斜搭接部分体积、货箱内液压系统占的体积和占据厢体内其他应扣体积），装料未达到平货箱的标准，甲方据实量尺收方，收方时计量单位精确到厘米。若双方对收方数量存在异议，可由双方试验人员实测密度系数、含水率，以过磅秤重数据复核实际方量，过磅费由过错方承担，在第三方处过磅往返的运费由乙方承担。</w:t>
      </w:r>
    </w:p>
    <w:p w14:paraId="0D60FA14">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3、计件计量：甲方指定收货人按约定的验收标准验收（规格、厂牌、标准等），按乙方提供的送货单盘点核对材料件数无误后，由甲方指定收货人依据乙方提供的送货单和实收件数开具《收货单》。</w:t>
      </w:r>
    </w:p>
    <w:p w14:paraId="385EEC01">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4、按米计量：甲方指定收货人按采购的材料验收标准验收（规格、厂牌、标准等），按乙方提供的送货单盘点核对材料件数无误后，由甲方指定收货人依据乙方提供的送货单和实收件数开具《收货单》。</w:t>
      </w:r>
    </w:p>
    <w:p w14:paraId="0EBF1F7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5、总平混凝土及结构正负零以下依据票据过磅数量为准，</w:t>
      </w:r>
      <w:r>
        <w:rPr>
          <w:rFonts w:hint="eastAsia" w:ascii="仿宋" w:hAnsi="仿宋" w:eastAsia="仿宋" w:cs="仿宋"/>
          <w:color w:val="000000" w:themeColor="text1"/>
          <w:sz w:val="24"/>
          <w:szCs w:val="24"/>
          <w14:textFill>
            <w14:solidFill>
              <w14:schemeClr w14:val="tx1"/>
            </w14:solidFill>
          </w14:textFill>
        </w:rPr>
        <w:t>每车货物重量的合理磅差为3‰内（含），</w:t>
      </w:r>
      <w:r>
        <w:rPr>
          <w:rFonts w:hint="eastAsia" w:ascii="仿宋" w:hAnsi="仿宋" w:eastAsia="仿宋" w:cs="仿宋"/>
          <w:color w:val="000000" w:themeColor="text1"/>
          <w:sz w:val="24"/>
          <w:szCs w:val="24"/>
          <w:lang w:val="en-US" w:eastAsia="zh-CN"/>
          <w14:textFill>
            <w14:solidFill>
              <w14:schemeClr w14:val="tx1"/>
            </w14:solidFill>
          </w14:textFill>
        </w:rPr>
        <w:t>甲方随车复磅，</w:t>
      </w:r>
      <w:r>
        <w:rPr>
          <w:rFonts w:hint="eastAsia" w:ascii="仿宋" w:hAnsi="仿宋" w:eastAsia="仿宋" w:cs="仿宋"/>
          <w:color w:val="000000" w:themeColor="text1"/>
          <w:sz w:val="24"/>
          <w:szCs w:val="24"/>
          <w14:textFill>
            <w14:solidFill>
              <w14:schemeClr w14:val="tx1"/>
            </w14:solidFill>
          </w14:textFill>
        </w:rPr>
        <w:t>若与乙方《送货单》中记载重量磅差超过3‰时，乙方有权申请复称，相关费用由过错方承担</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且若为乙方过错，乙方须向甲方缴纳3000元/车的罚金</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auto"/>
          <w:sz w:val="24"/>
          <w:szCs w:val="24"/>
          <w:highlight w:val="none"/>
          <w:lang w:val="en-US" w:eastAsia="zh-CN"/>
        </w:rPr>
        <w:t>正负零以上按照图纸计算</w:t>
      </w:r>
      <w:r>
        <w:rPr>
          <w:rFonts w:hint="eastAsia" w:ascii="仿宋" w:hAnsi="仿宋" w:eastAsia="仿宋" w:cs="仿宋"/>
          <w:color w:val="auto"/>
          <w:sz w:val="24"/>
          <w:szCs w:val="24"/>
          <w:highlight w:val="none"/>
        </w:rPr>
        <w:t>数量为准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甲方不定期进行随机抽查</w:t>
      </w:r>
      <w:r>
        <w:rPr>
          <w:rFonts w:hint="eastAsia" w:ascii="仿宋" w:hAnsi="仿宋" w:eastAsia="仿宋" w:cs="仿宋"/>
          <w:sz w:val="24"/>
          <w:szCs w:val="24"/>
        </w:rPr>
        <w:t>。若乙方对数量有异议时，</w:t>
      </w:r>
      <w:r>
        <w:rPr>
          <w:rFonts w:hint="eastAsia" w:ascii="仿宋" w:hAnsi="仿宋" w:eastAsia="仿宋" w:cs="仿宋"/>
          <w:sz w:val="24"/>
          <w:szCs w:val="24"/>
          <w:highlight w:val="none"/>
        </w:rPr>
        <w:t>由甲方与选择</w:t>
      </w:r>
      <w:r>
        <w:rPr>
          <w:rFonts w:hint="eastAsia" w:ascii="仿宋" w:hAnsi="仿宋" w:eastAsia="仿宋" w:cs="仿宋"/>
          <w:sz w:val="24"/>
          <w:szCs w:val="24"/>
          <w:highlight w:val="none"/>
          <w:lang w:val="en-US" w:eastAsia="zh-CN"/>
        </w:rPr>
        <w:t>指定</w:t>
      </w:r>
      <w:r>
        <w:rPr>
          <w:rFonts w:hint="eastAsia" w:ascii="仿宋" w:hAnsi="仿宋" w:eastAsia="仿宋" w:cs="仿宋"/>
          <w:sz w:val="24"/>
          <w:szCs w:val="24"/>
          <w:highlight w:val="none"/>
        </w:rPr>
        <w:t>的第三方进行现场收方</w:t>
      </w:r>
      <w:r>
        <w:rPr>
          <w:rFonts w:hint="eastAsia" w:ascii="仿宋" w:hAnsi="仿宋" w:eastAsia="仿宋" w:cs="仿宋"/>
          <w:sz w:val="24"/>
          <w:szCs w:val="24"/>
        </w:rPr>
        <w:t>。双方确认数量后，应立即填写签认收料单作为结算货款的凭据。收料单必须由双方</w:t>
      </w:r>
      <w:r>
        <w:rPr>
          <w:rFonts w:hint="eastAsia" w:ascii="仿宋" w:hAnsi="仿宋" w:eastAsia="仿宋" w:cs="仿宋"/>
          <w:sz w:val="24"/>
          <w:szCs w:val="24"/>
          <w:lang w:val="en-US" w:eastAsia="zh-CN"/>
        </w:rPr>
        <w:t>授权</w:t>
      </w:r>
      <w:r>
        <w:rPr>
          <w:rFonts w:hint="eastAsia" w:ascii="仿宋" w:hAnsi="仿宋" w:eastAsia="仿宋" w:cs="仿宋"/>
          <w:sz w:val="24"/>
          <w:szCs w:val="24"/>
        </w:rPr>
        <w:t>人员</w:t>
      </w:r>
      <w:r>
        <w:rPr>
          <w:rFonts w:hint="eastAsia" w:ascii="仿宋" w:hAnsi="仿宋" w:eastAsia="仿宋" w:cs="仿宋"/>
          <w:sz w:val="24"/>
          <w:szCs w:val="24"/>
          <w:lang w:val="en-US" w:eastAsia="zh-CN"/>
        </w:rPr>
        <w:t>核验签字确认</w:t>
      </w:r>
      <w:r>
        <w:rPr>
          <w:rFonts w:hint="eastAsia" w:ascii="仿宋" w:hAnsi="仿宋" w:eastAsia="仿宋" w:cs="仿宋"/>
          <w:sz w:val="24"/>
          <w:szCs w:val="24"/>
        </w:rPr>
        <w:t>。其它人员填写签</w:t>
      </w:r>
      <w:r>
        <w:rPr>
          <w:rFonts w:hint="eastAsia" w:ascii="仿宋" w:hAnsi="仿宋" w:eastAsia="仿宋" w:cs="仿宋"/>
          <w:sz w:val="24"/>
          <w:szCs w:val="24"/>
          <w:lang w:val="en-US" w:eastAsia="zh-CN"/>
        </w:rPr>
        <w:t>字</w:t>
      </w:r>
      <w:r>
        <w:rPr>
          <w:rFonts w:hint="eastAsia" w:ascii="仿宋" w:hAnsi="仿宋" w:eastAsia="仿宋" w:cs="仿宋"/>
          <w:sz w:val="24"/>
          <w:szCs w:val="24"/>
        </w:rPr>
        <w:t>的收料单</w:t>
      </w:r>
      <w:r>
        <w:rPr>
          <w:rFonts w:hint="eastAsia" w:ascii="仿宋" w:hAnsi="仿宋" w:eastAsia="仿宋" w:cs="仿宋"/>
          <w:sz w:val="24"/>
          <w:szCs w:val="24"/>
          <w:lang w:val="en-US" w:eastAsia="zh-CN"/>
        </w:rPr>
        <w:t>据或</w:t>
      </w:r>
      <w:r>
        <w:rPr>
          <w:rFonts w:hint="eastAsia" w:ascii="仿宋" w:hAnsi="仿宋" w:eastAsia="仿宋" w:cs="仿宋"/>
          <w:sz w:val="24"/>
          <w:szCs w:val="24"/>
        </w:rPr>
        <w:t>涂改</w:t>
      </w:r>
      <w:r>
        <w:rPr>
          <w:rFonts w:hint="eastAsia" w:ascii="仿宋" w:hAnsi="仿宋" w:eastAsia="仿宋" w:cs="仿宋"/>
          <w:sz w:val="24"/>
          <w:szCs w:val="24"/>
          <w:lang w:val="en-US" w:eastAsia="zh-CN"/>
        </w:rPr>
        <w:t>均</w:t>
      </w:r>
      <w:r>
        <w:rPr>
          <w:rFonts w:hint="eastAsia" w:ascii="仿宋" w:hAnsi="仿宋" w:eastAsia="仿宋" w:cs="仿宋"/>
          <w:sz w:val="24"/>
          <w:szCs w:val="24"/>
        </w:rPr>
        <w:t>无效。</w:t>
      </w:r>
    </w:p>
    <w:p w14:paraId="4F0285C2">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（四）质量异议的处理：</w:t>
      </w:r>
    </w:p>
    <w:p w14:paraId="620A14C4">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甲方或工程管理方对材料质量验收以本合同质量要求为依据。甲方或工程管理方的验收和检验并不免除乙方的质量责任，若甲方或工程管理方在检验和使用过程中（含已形成成品阶段）发现质量或规格问题，甲方仍有权提出质量异议，并要求乙方进行相应赔偿，异议期限为发现之日起</w:t>
      </w:r>
      <w:r>
        <w:rPr>
          <w:rFonts w:hint="eastAsia" w:ascii="仿宋_GB2312" w:hAnsi="仿宋_GB2312" w:cs="仿宋_GB2312"/>
          <w:color w:val="000000" w:themeColor="text1"/>
          <w:sz w:val="24"/>
          <w:u w:val="single"/>
          <w14:textFill>
            <w14:solidFill>
              <w14:schemeClr w14:val="tx1"/>
            </w14:solidFill>
          </w14:textFill>
        </w:rPr>
        <w:t xml:space="preserve"> 贰 </w:t>
      </w:r>
      <w:r>
        <w:rPr>
          <w:rFonts w:hint="eastAsia" w:ascii="仿宋_GB2312" w:hAnsi="仿宋_GB2312" w:cs="仿宋_GB2312"/>
          <w:color w:val="000000" w:themeColor="text1"/>
          <w:sz w:val="24"/>
          <w14:textFill>
            <w14:solidFill>
              <w14:schemeClr w14:val="tx1"/>
            </w14:solidFill>
          </w14:textFill>
        </w:rPr>
        <w:t>年，甲方向乙方提出异议后，乙方应在</w:t>
      </w:r>
      <w:r>
        <w:rPr>
          <w:rFonts w:hint="eastAsia" w:ascii="仿宋_GB2312" w:hAnsi="仿宋_GB2312" w:cs="仿宋_GB2312"/>
          <w:color w:val="000000" w:themeColor="text1"/>
          <w:sz w:val="24"/>
          <w:u w:val="single"/>
          <w14:textFill>
            <w14:solidFill>
              <w14:schemeClr w14:val="tx1"/>
            </w14:solidFill>
          </w14:textFill>
        </w:rPr>
        <w:t xml:space="preserve"> 24 </w:t>
      </w:r>
      <w:r>
        <w:rPr>
          <w:rFonts w:hint="eastAsia" w:ascii="仿宋_GB2312" w:hAnsi="仿宋_GB2312" w:cs="仿宋_GB2312"/>
          <w:color w:val="000000" w:themeColor="text1"/>
          <w:sz w:val="24"/>
          <w14:textFill>
            <w14:solidFill>
              <w14:schemeClr w14:val="tx1"/>
            </w14:solidFill>
          </w14:textFill>
        </w:rPr>
        <w:t>小时内到现场及时处理。若乙方在</w:t>
      </w:r>
      <w:r>
        <w:rPr>
          <w:rFonts w:hint="eastAsia" w:ascii="仿宋_GB2312" w:hAnsi="仿宋_GB2312" w:cs="仿宋_GB2312"/>
          <w:color w:val="000000" w:themeColor="text1"/>
          <w:sz w:val="24"/>
          <w:u w:val="single"/>
          <w14:textFill>
            <w14:solidFill>
              <w14:schemeClr w14:val="tx1"/>
            </w14:solidFill>
          </w14:textFill>
        </w:rPr>
        <w:t xml:space="preserve"> 2 </w:t>
      </w:r>
      <w:r>
        <w:rPr>
          <w:rFonts w:hint="eastAsia" w:ascii="仿宋_GB2312" w:hAnsi="仿宋_GB2312" w:cs="仿宋_GB2312"/>
          <w:color w:val="000000" w:themeColor="text1"/>
          <w:sz w:val="24"/>
          <w14:textFill>
            <w14:solidFill>
              <w14:schemeClr w14:val="tx1"/>
            </w14:solidFill>
          </w14:textFill>
        </w:rPr>
        <w:t>日内对存在质量问题的材料未予清退，则甲方有权直接处置，相关费用由乙方承担。</w:t>
      </w:r>
    </w:p>
    <w:p w14:paraId="1151891A">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2、乙方须向甲方提供每批材料的第三方检测报告或自检报告及材料配合比，并确保与每批批号一致，甲方质检人员按本合同约定质量标准和要求进行检验。</w:t>
      </w:r>
    </w:p>
    <w:p w14:paraId="41B2BFD6">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3、在合同执行过程中，甲方不定期随机抽检（包括表观检验与送第三方质量检测机构外检），若抽检不满足招标文件对质量技术指标的要求即视为不合格，由此产生的检测费、不合格产品清退、运输等费用均由乙方负责，同时视为乙方违约，按合同约定扣除履约保证金并承担该项工程造成的所有损失，情节严重的禁止参与公司未来3年招标活动，并保留追究其法律责任的权利。</w:t>
      </w:r>
    </w:p>
    <w:p w14:paraId="6A7546CE">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4、当所供应预拌混凝土、预拌砂浆出现产品质量问题时，以甲方外委的有资质的第三方材料质量检测机构检测结果为准，按合同进行协商解决，当双方协商不能达成一致时，双方同意向甲方法人所在地人民法院提起诉讼。</w:t>
      </w:r>
    </w:p>
    <w:p w14:paraId="5B52056B">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若供应商（乙方）不能按甲方通知的时间供应、服务质量达不到项目部要求，甲方有权选择其他供应商采购，乙方应承担由此给甲方造成的损失，包括但不限于第三方向甲方的索赔、甲方另行采购的差价等，乙方不得就任何理由追究甲方责任。</w:t>
      </w:r>
    </w:p>
    <w:p w14:paraId="60281A5E">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五、结算及支付方式</w:t>
      </w:r>
    </w:p>
    <w:p w14:paraId="56693EF0">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1、结算方式：货到付款：</w:t>
      </w:r>
      <w:r>
        <w:rPr>
          <w:rFonts w:hint="eastAsia" w:ascii="仿宋_GB2312" w:hAnsi="仿宋_GB2312" w:cs="仿宋_GB2312"/>
          <w:color w:val="000000" w:themeColor="text1"/>
          <w:kern w:val="0"/>
          <w:sz w:val="24"/>
          <w14:textFill>
            <w14:solidFill>
              <w14:schemeClr w14:val="tx1"/>
            </w14:solidFill>
          </w14:textFill>
        </w:rPr>
        <w:t>每月</w:t>
      </w:r>
      <w:r>
        <w:rPr>
          <w:rFonts w:hint="eastAsia" w:ascii="仿宋_GB2312" w:hAnsi="仿宋_GB2312" w:cs="仿宋_GB2312"/>
          <w:color w:val="000000" w:themeColor="text1"/>
          <w:kern w:val="0"/>
          <w:sz w:val="24"/>
          <w:u w:val="single"/>
          <w14:textFill>
            <w14:solidFill>
              <w14:schemeClr w14:val="tx1"/>
            </w14:solidFill>
          </w14:textFill>
        </w:rPr>
        <w:t>24</w:t>
      </w:r>
      <w:r>
        <w:rPr>
          <w:rFonts w:hint="eastAsia" w:ascii="仿宋_GB2312" w:hAnsi="仿宋_GB2312" w:cs="仿宋_GB2312"/>
          <w:color w:val="000000" w:themeColor="text1"/>
          <w:kern w:val="0"/>
          <w:sz w:val="24"/>
          <w14:textFill>
            <w14:solidFill>
              <w14:schemeClr w14:val="tx1"/>
            </w14:solidFill>
          </w14:textFill>
        </w:rPr>
        <w:t>日为双方结算日，结算当期货款（上月21日至本月20日），办理结算时乙方须凭甲方指定联系人员填写签认的有效供货票单或方量单到甲方</w:t>
      </w:r>
      <w:r>
        <w:rPr>
          <w:rFonts w:hint="eastAsia" w:ascii="仿宋_GB2312" w:hAnsi="仿宋_GB2312" w:cs="仿宋_GB2312"/>
          <w:color w:val="000000" w:themeColor="text1"/>
          <w:sz w:val="24"/>
          <w14:textFill>
            <w14:solidFill>
              <w14:schemeClr w14:val="tx1"/>
            </w14:solidFill>
          </w14:textFill>
        </w:rPr>
        <w:t>相关管理部门</w:t>
      </w:r>
      <w:r>
        <w:rPr>
          <w:rFonts w:hint="eastAsia" w:ascii="仿宋_GB2312" w:hAnsi="仿宋_GB2312" w:cs="仿宋_GB2312"/>
          <w:color w:val="000000" w:themeColor="text1"/>
          <w:kern w:val="0"/>
          <w:sz w:val="24"/>
          <w14:textFill>
            <w14:solidFill>
              <w14:schemeClr w14:val="tx1"/>
            </w14:solidFill>
          </w14:textFill>
        </w:rPr>
        <w:t>办理结算，并</w:t>
      </w:r>
      <w:r>
        <w:rPr>
          <w:rFonts w:hint="eastAsia" w:ascii="仿宋_GB2312" w:hAnsi="仿宋_GB2312" w:cs="仿宋_GB2312"/>
          <w:color w:val="000000" w:themeColor="text1"/>
          <w:sz w:val="24"/>
          <w14:textFill>
            <w14:solidFill>
              <w14:schemeClr w14:val="tx1"/>
            </w14:solidFill>
          </w14:textFill>
        </w:rPr>
        <w:t>以甲、乙双方共同签字并盖章的《结算单》和乙方开具的有效增值税发票作为请求甲方付款的唯一依据，</w:t>
      </w:r>
      <w:r>
        <w:rPr>
          <w:rFonts w:hint="eastAsia" w:ascii="仿宋_GB2312" w:hAnsi="仿宋_GB2312" w:cs="仿宋_GB2312"/>
          <w:color w:val="000000" w:themeColor="text1"/>
          <w:kern w:val="0"/>
          <w:sz w:val="24"/>
          <w14:textFill>
            <w14:solidFill>
              <w14:schemeClr w14:val="tx1"/>
            </w14:solidFill>
          </w14:textFill>
        </w:rPr>
        <w:t>逾期不来结算视为无结算要求。</w:t>
      </w:r>
    </w:p>
    <w:p w14:paraId="0613E547">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2、乙方对账人员须为法定代表人或乙方雇员，如果对账人员非法定代表人，则必须持有真实有效符合规定的授权委托书。</w:t>
      </w:r>
    </w:p>
    <w:p w14:paraId="7A3CA993">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3、支付方式：</w:t>
      </w:r>
    </w:p>
    <w:p w14:paraId="4EA189EA">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乙方每月与甲方项目部核对当月混凝土的送货总量，结算办理完成乙方应及时开具合规发票，甲方收到供应商提供的有效增值税专用发票并查验合格后，按照业主付款进度支付。若甲方未能支付以上货款，乙方应予理解，并放弃因甲方延期支付金额造成的资金成本（利息）的追索权利。</w:t>
      </w:r>
    </w:p>
    <w:p w14:paraId="1E290946">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4、乙方需在合同中指定账户、账号及开户行。合同签订单位、开具发票单位、收款单位必须一致，且不接受委托支付，否则甲方有权拒付款项且不承担任何责任。</w:t>
      </w:r>
    </w:p>
    <w:p w14:paraId="706D29E2">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5、甲、乙双方任何一方在合同未履行完毕、款项未结清之前注销公司，导致无法办理结算的，所造成的一切经济损失均由责任方的股东或经营者承担。</w:t>
      </w:r>
    </w:p>
    <w:p w14:paraId="5361457D">
      <w:pPr>
        <w:spacing w:line="480" w:lineRule="exact"/>
        <w:ind w:firstLine="480"/>
        <w:rPr>
          <w:color w:val="000000" w:themeColor="text1"/>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6.如乙方未能及时向甲方开具符合甲方要求的等额增值税专用发票、提供相应纸质版手续文件的，甲方有权延迟付款且不承担因此造成的违约责任。</w:t>
      </w:r>
    </w:p>
    <w:p w14:paraId="016EFF63">
      <w:pPr>
        <w:spacing w:line="480" w:lineRule="exact"/>
        <w:ind w:firstLine="480"/>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六、发票要求</w:t>
      </w:r>
    </w:p>
    <w:p w14:paraId="0DC08EAD">
      <w:pPr>
        <w:spacing w:line="480" w:lineRule="exact"/>
        <w:ind w:firstLine="480"/>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 xml:space="preserve">1、乙方应向甲方提供与结算金额等额的增值税专用发票，税率 </w:t>
      </w:r>
      <w:r>
        <w:rPr>
          <w:rFonts w:hint="eastAsia" w:ascii="仿宋_GB2312" w:hAnsi="仿宋_GB2312" w:cs="仿宋_GB2312"/>
          <w:color w:val="000000" w:themeColor="text1"/>
          <w:sz w:val="24"/>
          <w:lang w:val="en-US" w:eastAsia="zh-CN"/>
          <w14:textFill>
            <w14:solidFill>
              <w14:schemeClr w14:val="tx1"/>
            </w14:solidFill>
          </w14:textFill>
        </w:rPr>
        <w:t>1</w:t>
      </w:r>
      <w:r>
        <w:rPr>
          <w:rFonts w:hint="eastAsia" w:ascii="仿宋_GB2312" w:hAnsi="仿宋_GB2312" w:cs="仿宋_GB2312"/>
          <w:color w:val="000000" w:themeColor="text1"/>
          <w:sz w:val="24"/>
          <w:u w:val="single"/>
          <w14:textFill>
            <w14:solidFill>
              <w14:schemeClr w14:val="tx1"/>
            </w14:solidFill>
          </w14:textFill>
        </w:rPr>
        <w:t xml:space="preserve">3 </w:t>
      </w:r>
      <w:r>
        <w:rPr>
          <w:rFonts w:hint="eastAsia" w:ascii="仿宋_GB2312" w:hAnsi="仿宋_GB2312" w:cs="仿宋_GB2312"/>
          <w:color w:val="000000" w:themeColor="text1"/>
          <w:sz w:val="24"/>
          <w14:textFill>
            <w14:solidFill>
              <w14:schemeClr w14:val="tx1"/>
            </w14:solidFill>
          </w14:textFill>
        </w:rPr>
        <w:t>%（税率随国家税务总局调整而调整）。</w:t>
      </w:r>
    </w:p>
    <w:p w14:paraId="6DE6FD1B">
      <w:pPr>
        <w:spacing w:line="400" w:lineRule="exact"/>
        <w:ind w:firstLine="480" w:firstLineChars="200"/>
        <w:jc w:val="left"/>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2、如乙方汇总开具发票的，必须同时提供防伪税控系统开具的《销售货物或者提供应税劳务清单》，并加盖发票专用章，在发票备注处写明：</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 w:hAnsi="仿宋" w:eastAsia="仿宋" w:cs="仿宋"/>
          <w:sz w:val="24"/>
          <w:szCs w:val="24"/>
          <w:u w:val="single"/>
          <w:lang w:val="en-US" w:eastAsia="zh-CN"/>
        </w:rPr>
        <w:t>项目名称：</w:t>
      </w:r>
      <w:r>
        <w:rPr>
          <w:rFonts w:hint="eastAsia" w:ascii="仿宋" w:hAnsi="仿宋" w:eastAsia="仿宋" w:cs="仿宋"/>
          <w:sz w:val="24"/>
          <w:szCs w:val="32"/>
          <w:u w:val="single"/>
          <w:lang w:val="en-US" w:eastAsia="zh-CN"/>
        </w:rPr>
        <w:t>G5京昆高速广元至绵阳段扩容工程FJ合同段</w:t>
      </w:r>
      <w:r>
        <w:rPr>
          <w:rFonts w:hint="eastAsia" w:ascii="仿宋" w:hAnsi="仿宋" w:eastAsia="仿宋" w:cs="仿宋"/>
          <w:sz w:val="24"/>
          <w:szCs w:val="24"/>
          <w:u w:val="single"/>
        </w:rPr>
        <w:t>项目</w:t>
      </w:r>
      <w:r>
        <w:rPr>
          <w:rFonts w:hint="eastAsia" w:ascii="仿宋" w:hAnsi="仿宋" w:eastAsia="仿宋" w:cs="仿宋"/>
          <w:sz w:val="24"/>
          <w:szCs w:val="24"/>
          <w:u w:val="single"/>
          <w:lang w:val="en-US" w:eastAsia="zh-CN"/>
        </w:rPr>
        <w:t>经理部  项目地址：绵阳市游仙区魏城镇玖红街</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w:t>
      </w:r>
    </w:p>
    <w:p w14:paraId="7C4635F0">
      <w:pPr>
        <w:spacing w:line="480" w:lineRule="exact"/>
        <w:ind w:firstLine="480"/>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3、如乙方提供虚假的、不合规的（不按照国家税务总局关于发票开具要求的）增值税专用发票或税控清单，被相关部门查出，一切责任由乙方承担，并有义务重新开具真实、有效、合规的发票及税控清单，否则甲方有权暂停结算支付。</w:t>
      </w:r>
    </w:p>
    <w:p w14:paraId="2D4243D2">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4、如果在传递过程中丢失了增值税专用发票的发票联和抵扣联，甲乙双方按国家税务总局发布的最新规范或要求执行，乙方须向甲方提供必要的协助，否则甲方有权暂停结算支付。</w:t>
      </w:r>
    </w:p>
    <w:p w14:paraId="14BCA257">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若乙方未按照合同约定要求向甲方提供足额的、有效的增值税专用发票等资料的，甲方有权不予办理支付，乙方不得因此中断供应，否则承担由此给甲方造成的一切损失，包括直接损失、停工怠工损失以及主张和保护权益所产生的律师费、差旅费、误工费等间接损失。</w:t>
      </w:r>
    </w:p>
    <w:p w14:paraId="74FBF169">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6、</w:t>
      </w:r>
      <w:r>
        <w:rPr>
          <w:rFonts w:hint="eastAsia" w:ascii="仿宋_GB2312" w:hAnsi="仿宋_GB2312" w:cs="仿宋_GB2312"/>
          <w:b/>
          <w:color w:val="000000" w:themeColor="text1"/>
          <w:sz w:val="24"/>
          <w14:textFill>
            <w14:solidFill>
              <w14:schemeClr w14:val="tx1"/>
            </w14:solidFill>
          </w14:textFill>
        </w:rPr>
        <w:t>乙方税务信息</w:t>
      </w:r>
      <w:r>
        <w:rPr>
          <w:rFonts w:hint="eastAsia" w:ascii="仿宋_GB2312" w:hAnsi="仿宋_GB2312" w:cs="仿宋_GB2312"/>
          <w:color w:val="000000" w:themeColor="text1"/>
          <w:sz w:val="24"/>
          <w14:textFill>
            <w14:solidFill>
              <w14:schemeClr w14:val="tx1"/>
            </w14:solidFill>
          </w14:textFill>
        </w:rPr>
        <w:t>如下：</w:t>
      </w:r>
    </w:p>
    <w:p w14:paraId="74C4DCFE">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乙方纳税人名称：</w:t>
      </w:r>
      <w:r>
        <w:rPr>
          <w:rFonts w:hint="eastAsia" w:ascii="仿宋_GB2312" w:hAnsi="仿宋_GB2312" w:cs="仿宋_GB2312"/>
          <w:color w:val="000000" w:themeColor="text1"/>
          <w:sz w:val="24"/>
          <w:u w:val="single"/>
          <w14:textFill>
            <w14:solidFill>
              <w14:schemeClr w14:val="tx1"/>
            </w14:solidFill>
          </w14:textFill>
        </w:rPr>
        <w:t xml:space="preserve">                      </w:t>
      </w:r>
    </w:p>
    <w:p w14:paraId="23BD985F">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纳税人资格：</w:t>
      </w:r>
      <w:r>
        <w:rPr>
          <w:rFonts w:hint="eastAsia" w:ascii="仿宋_GB2312" w:hAnsi="仿宋_GB2312" w:cs="仿宋_GB2312"/>
          <w:color w:val="000000" w:themeColor="text1"/>
          <w:sz w:val="24"/>
          <w:u w:val="single"/>
          <w14:textFill>
            <w14:solidFill>
              <w14:schemeClr w14:val="tx1"/>
            </w14:solidFill>
          </w14:textFill>
        </w:rPr>
        <w:t xml:space="preserve">                          </w:t>
      </w:r>
    </w:p>
    <w:p w14:paraId="43EC09A8">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纳税人识别号：</w:t>
      </w:r>
      <w:r>
        <w:rPr>
          <w:rFonts w:hint="eastAsia" w:ascii="仿宋_GB2312" w:hAnsi="仿宋_GB2312" w:cs="仿宋_GB2312"/>
          <w:color w:val="000000" w:themeColor="text1"/>
          <w:sz w:val="24"/>
          <w:u w:val="single"/>
          <w14:textFill>
            <w14:solidFill>
              <w14:schemeClr w14:val="tx1"/>
            </w14:solidFill>
          </w14:textFill>
        </w:rPr>
        <w:t xml:space="preserve">                        </w:t>
      </w:r>
    </w:p>
    <w:p w14:paraId="2FADC3A5">
      <w:pPr>
        <w:spacing w:line="480" w:lineRule="exact"/>
        <w:ind w:firstLine="480"/>
        <w:rPr>
          <w:rFonts w:ascii="仿宋_GB2312" w:hAnsi="仿宋_GB2312" w:cs="仿宋_GB2312"/>
          <w:color w:val="000000" w:themeColor="text1"/>
          <w:sz w:val="24"/>
          <w:u w:val="single"/>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开户银行：</w:t>
      </w:r>
      <w:r>
        <w:rPr>
          <w:rFonts w:hint="eastAsia" w:ascii="仿宋_GB2312" w:hAnsi="仿宋_GB2312" w:cs="仿宋_GB2312"/>
          <w:color w:val="000000" w:themeColor="text1"/>
          <w:sz w:val="24"/>
          <w:u w:val="single"/>
          <w14:textFill>
            <w14:solidFill>
              <w14:schemeClr w14:val="tx1"/>
            </w14:solidFill>
          </w14:textFill>
        </w:rPr>
        <w:t xml:space="preserve">                            </w:t>
      </w:r>
    </w:p>
    <w:p w14:paraId="11ED604C">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户名：</w:t>
      </w:r>
      <w:r>
        <w:rPr>
          <w:rFonts w:hint="eastAsia" w:ascii="仿宋_GB2312" w:hAnsi="仿宋_GB2312" w:cs="仿宋_GB2312"/>
          <w:color w:val="000000" w:themeColor="text1"/>
          <w:sz w:val="24"/>
          <w:u w:val="single"/>
          <w14:textFill>
            <w14:solidFill>
              <w14:schemeClr w14:val="tx1"/>
            </w14:solidFill>
          </w14:textFill>
        </w:rPr>
        <w:t xml:space="preserve">                                </w:t>
      </w:r>
    </w:p>
    <w:p w14:paraId="3CDB60AE">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账号：</w:t>
      </w:r>
      <w:r>
        <w:rPr>
          <w:rFonts w:hint="eastAsia" w:ascii="仿宋_GB2312" w:hAnsi="仿宋_GB2312" w:cs="仿宋_GB2312"/>
          <w:color w:val="000000" w:themeColor="text1"/>
          <w:sz w:val="24"/>
          <w:u w:val="single"/>
          <w14:textFill>
            <w14:solidFill>
              <w14:schemeClr w14:val="tx1"/>
            </w14:solidFill>
          </w14:textFill>
        </w:rPr>
        <w:t xml:space="preserve">                                </w:t>
      </w:r>
    </w:p>
    <w:p w14:paraId="50204977">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7、</w:t>
      </w:r>
      <w:r>
        <w:rPr>
          <w:rFonts w:hint="eastAsia" w:ascii="仿宋_GB2312" w:hAnsi="仿宋_GB2312" w:cs="仿宋_GB2312"/>
          <w:b/>
          <w:color w:val="000000" w:themeColor="text1"/>
          <w:sz w:val="24"/>
          <w14:textFill>
            <w14:solidFill>
              <w14:schemeClr w14:val="tx1"/>
            </w14:solidFill>
          </w14:textFill>
        </w:rPr>
        <w:t>甲方的开票信息</w:t>
      </w:r>
      <w:r>
        <w:rPr>
          <w:rFonts w:hint="eastAsia" w:ascii="仿宋_GB2312" w:hAnsi="仿宋_GB2312" w:cs="仿宋_GB2312"/>
          <w:color w:val="000000" w:themeColor="text1"/>
          <w:sz w:val="24"/>
          <w14:textFill>
            <w14:solidFill>
              <w14:schemeClr w14:val="tx1"/>
            </w14:solidFill>
          </w14:textFill>
        </w:rPr>
        <w:t>如下：</w:t>
      </w:r>
    </w:p>
    <w:p w14:paraId="56DCDA4A">
      <w:pPr>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单位名称：</w:t>
      </w:r>
      <w:r>
        <w:rPr>
          <w:rFonts w:hint="eastAsia" w:ascii="仿宋_GB2312" w:hAnsi="仿宋_GB2312" w:cs="仿宋_GB2312"/>
          <w:color w:val="000000" w:themeColor="text1"/>
          <w:sz w:val="24"/>
          <w:u w:val="single"/>
          <w14:textFill>
            <w14:solidFill>
              <w14:schemeClr w14:val="tx1"/>
            </w14:solidFill>
          </w14:textFill>
        </w:rPr>
        <w:t xml:space="preserve">  四川蜀物兴川物流发展有限公司 </w:t>
      </w:r>
    </w:p>
    <w:p w14:paraId="5C352F71">
      <w:pPr>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税务登记证号：</w:t>
      </w:r>
      <w:r>
        <w:rPr>
          <w:rFonts w:hint="eastAsia" w:ascii="仿宋_GB2312" w:hAnsi="仿宋_GB2312" w:cs="仿宋_GB2312"/>
          <w:color w:val="000000" w:themeColor="text1"/>
          <w:sz w:val="24"/>
          <w:u w:val="single"/>
          <w14:textFill>
            <w14:solidFill>
              <w14:schemeClr w14:val="tx1"/>
            </w14:solidFill>
          </w14:textFill>
        </w:rPr>
        <w:t xml:space="preserve"> 915101040624153674  </w:t>
      </w:r>
    </w:p>
    <w:p w14:paraId="2172B545">
      <w:pPr>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地址：</w:t>
      </w:r>
      <w:r>
        <w:rPr>
          <w:rFonts w:hint="eastAsia" w:ascii="仿宋_GB2312" w:hAnsi="仿宋_GB2312" w:cs="仿宋_GB2312"/>
          <w:color w:val="000000" w:themeColor="text1"/>
          <w:sz w:val="24"/>
          <w:u w:val="single"/>
          <w14:textFill>
            <w14:solidFill>
              <w14:schemeClr w14:val="tx1"/>
            </w14:solidFill>
          </w14:textFill>
        </w:rPr>
        <w:t xml:space="preserve">成都市锦江区工业园区三色路163号2栋22层   </w:t>
      </w:r>
    </w:p>
    <w:p w14:paraId="344B1346">
      <w:pPr>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开户银行名称：</w:t>
      </w:r>
      <w:r>
        <w:rPr>
          <w:rFonts w:hint="eastAsia" w:ascii="仿宋_GB2312" w:hAnsi="仿宋_GB2312" w:cs="仿宋_GB2312"/>
          <w:color w:val="000000" w:themeColor="text1"/>
          <w:sz w:val="24"/>
          <w:u w:val="single"/>
          <w14:textFill>
            <w14:solidFill>
              <w14:schemeClr w14:val="tx1"/>
            </w14:solidFill>
          </w14:textFill>
        </w:rPr>
        <w:t>中国工商银行股份有限公司成都滨江支行</w:t>
      </w:r>
    </w:p>
    <w:p w14:paraId="59D90B98">
      <w:pPr>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开户银行账号：</w:t>
      </w:r>
      <w:r>
        <w:rPr>
          <w:rFonts w:hint="eastAsia" w:ascii="仿宋_GB2312" w:hAnsi="仿宋_GB2312" w:cs="仿宋_GB2312"/>
          <w:color w:val="000000" w:themeColor="text1"/>
          <w:sz w:val="24"/>
          <w:u w:val="single"/>
          <w14:textFill>
            <w14:solidFill>
              <w14:schemeClr w14:val="tx1"/>
            </w14:solidFill>
          </w14:textFill>
        </w:rPr>
        <w:t xml:space="preserve">4402204009100166669  </w:t>
      </w:r>
    </w:p>
    <w:p w14:paraId="1E58B964">
      <w:pPr>
        <w:spacing w:line="480" w:lineRule="exact"/>
        <w:ind w:firstLine="480"/>
        <w:rPr>
          <w:rFonts w:ascii="仿宋_GB2312" w:hAnsi="仿宋_GB2312" w:cs="仿宋_GB2312"/>
          <w:b/>
          <w:color w:val="000000" w:themeColor="text1"/>
          <w:sz w:val="24"/>
          <w14:textFill>
            <w14:solidFill>
              <w14:schemeClr w14:val="tx1"/>
            </w14:solidFill>
          </w14:textFill>
        </w:rPr>
      </w:pPr>
      <w:r>
        <w:rPr>
          <w:rFonts w:hint="eastAsia" w:ascii="仿宋_GB2312" w:hAnsi="仿宋_GB2312" w:cs="仿宋_GB2312"/>
          <w:b/>
          <w:color w:val="000000" w:themeColor="text1"/>
          <w:sz w:val="24"/>
          <w14:textFill>
            <w14:solidFill>
              <w14:schemeClr w14:val="tx1"/>
            </w14:solidFill>
          </w14:textFill>
        </w:rPr>
        <w:t>注：乙方向甲方开具增值税发票时，在发票上加盖发票专用章。</w:t>
      </w:r>
    </w:p>
    <w:p w14:paraId="7389D871">
      <w:pPr>
        <w:spacing w:line="480" w:lineRule="exact"/>
        <w:ind w:firstLine="480"/>
        <w:rPr>
          <w:rFonts w:ascii="仿宋_GB2312" w:hAnsi="仿宋_GB2312" w:cs="仿宋_GB2312"/>
          <w:b/>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七、甲方权利与义务</w:t>
      </w:r>
    </w:p>
    <w:p w14:paraId="58B418AF">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（一）甲方应严格按本合同约定支付货款。</w:t>
      </w:r>
    </w:p>
    <w:p w14:paraId="25A60F30">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（二）在每次供货前，甲方须提前至少</w:t>
      </w:r>
      <w:r>
        <w:rPr>
          <w:rFonts w:hint="eastAsia" w:ascii="仿宋_GB2312" w:hAnsi="仿宋_GB2312" w:cs="仿宋_GB2312"/>
          <w:color w:val="000000" w:themeColor="text1"/>
          <w:sz w:val="24"/>
          <w:u w:val="single"/>
          <w14:textFill>
            <w14:solidFill>
              <w14:schemeClr w14:val="tx1"/>
            </w14:solidFill>
          </w14:textFill>
        </w:rPr>
        <w:t xml:space="preserve"> 1 </w:t>
      </w:r>
      <w:r>
        <w:rPr>
          <w:rFonts w:hint="eastAsia" w:ascii="仿宋_GB2312" w:hAnsi="仿宋_GB2312" w:cs="仿宋_GB2312"/>
          <w:color w:val="000000" w:themeColor="text1"/>
          <w:sz w:val="24"/>
          <w14:textFill>
            <w14:solidFill>
              <w14:schemeClr w14:val="tx1"/>
            </w14:solidFill>
          </w14:textFill>
        </w:rPr>
        <w:t>日向乙方发出材料供应通知。</w:t>
      </w:r>
    </w:p>
    <w:p w14:paraId="098E02B2">
      <w:pPr>
        <w:spacing w:line="480" w:lineRule="exact"/>
        <w:ind w:firstLine="480"/>
        <w:rPr>
          <w:rFonts w:ascii="仿宋_GB2312" w:hAnsi="仿宋_GB2312" w:cs="仿宋_GB2312"/>
          <w:b/>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（三）甲方指定人员应及时签收乙方送至工地的材料，不得故意拖延收货时间。</w:t>
      </w:r>
    </w:p>
    <w:p w14:paraId="49C69ACF">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（四）甲方有权拒收或退回乙方送至工地的不合格（包括但不限于质量、规格问题）材料，其退场费、运输费用由乙方自行承担。</w:t>
      </w:r>
    </w:p>
    <w:p w14:paraId="4C6CA3FB">
      <w:pPr>
        <w:spacing w:line="480" w:lineRule="exact"/>
        <w:ind w:firstLine="480"/>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八、乙方权利与义务</w:t>
      </w:r>
    </w:p>
    <w:p w14:paraId="42583462">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（一）乙方应严格按照本合同约定向甲方供应合格的材料；若经检测不合格，乙方必须承担因此给甲方造成的全部损失及违约金。</w:t>
      </w:r>
    </w:p>
    <w:p w14:paraId="5BB738F6">
      <w:pPr>
        <w:spacing w:line="5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（二）乙方在收到甲方供应通知之日起最迟</w:t>
      </w:r>
      <w:r>
        <w:rPr>
          <w:rFonts w:hint="eastAsia" w:ascii="仿宋_GB2312" w:hAnsi="仿宋_GB2312" w:cs="仿宋_GB2312"/>
          <w:color w:val="000000" w:themeColor="text1"/>
          <w:sz w:val="24"/>
          <w:u w:val="single"/>
          <w14:textFill>
            <w14:solidFill>
              <w14:schemeClr w14:val="tx1"/>
            </w14:solidFill>
          </w14:textFill>
        </w:rPr>
        <w:t xml:space="preserve"> 1 </w:t>
      </w:r>
      <w:r>
        <w:rPr>
          <w:rFonts w:hint="eastAsia" w:ascii="仿宋_GB2312" w:hAnsi="仿宋_GB2312" w:cs="仿宋_GB2312"/>
          <w:color w:val="000000" w:themeColor="text1"/>
          <w:sz w:val="24"/>
          <w14:textFill>
            <w14:solidFill>
              <w14:schemeClr w14:val="tx1"/>
            </w14:solidFill>
          </w14:textFill>
        </w:rPr>
        <w:t>日内，须将甲方所需材料保质、保量地供货至甲方指定的项目现场，随车附过磅单据、开盘报告（首车），单据须明确规格型号、坍落度、生产日期、数量并加盖销售单位的鲜章。如不能提供上述单据的或进场材料与单据不一致的，不得进入工地。乙方必须保证所供每批次材料规格、质量的一致性，并与质检报告保持一致，否则甲方有权终止收货并追究相关责任。</w:t>
      </w:r>
      <w:r>
        <w:rPr>
          <w:rFonts w:ascii="Calibri" w:hAnsi="Calibri" w:cs="Calibri"/>
          <w:color w:val="000000" w:themeColor="text1"/>
          <w:sz w:val="24"/>
          <w14:textFill>
            <w14:solidFill>
              <w14:schemeClr w14:val="tx1"/>
            </w14:solidFill>
          </w14:textFill>
        </w:rPr>
        <w:t> </w:t>
      </w:r>
    </w:p>
    <w:p w14:paraId="7792E5BE">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（三）乙方未经甲方书面同意，不得擅自变更材料规格型号、品牌等，否则甲方有权拒收并追究相关责任。</w:t>
      </w:r>
    </w:p>
    <w:p w14:paraId="66B56096">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四）乙方提供的材料在生产或运输过程中须满足国家有关安全、环保、水保、职业健康方面的规定，不得对环境和人身健康产生不良影响；在材料交付并经验收合格前发生的安全事故或其他损失、风险，概由乙方负责。</w:t>
      </w:r>
    </w:p>
    <w:p w14:paraId="4737751A">
      <w:pPr>
        <w:pStyle w:val="8"/>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五）乙方保证向甲方提供的材料，不会产生因第三方提出侵犯其专利权、商标权或其他知识产权而引起的法律和经济纠纷，如因专利权、商标权或其他知识产权而引起法律和经济纠纷，由此导致甲方或第三方损失或甲方对第三方承担责任的，均由乙方承担，并向甲方承担违约责任。</w:t>
      </w:r>
    </w:p>
    <w:p w14:paraId="4C1F780B">
      <w:pPr>
        <w:spacing w:line="480" w:lineRule="exact"/>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（六）乙方及乙方安排的人员、车辆进入施工现场必须服从甲方人员统一调度，因乙方及乙方安排的人员、车辆造成的安全等相关损失均由乙方自行承担。</w:t>
      </w:r>
    </w:p>
    <w:p w14:paraId="3164C16E">
      <w:pPr>
        <w:spacing w:line="480" w:lineRule="exact"/>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七）乙方派至甲方工地的工作人员为乙方雇佣人员，若发生任何意外或人身伤害均由乙方承担工伤或雇主责任，甲方不承担侵权及其他民事赔偿责任，对于上述人员对自身或其他第三人造成的财产损失、人身损害均由乙方承担，此种责任承担不区分行为人是否具有主观过错。</w:t>
      </w:r>
    </w:p>
    <w:p w14:paraId="757AF4BA">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（八）乙方应当提供符合增值税专用发票使用规定以及其他相关法律法规要求的发票，开具的增值税专用发票必须做到项目齐全，与实际交易相符；字迹清楚，不得压线、错格。</w:t>
      </w:r>
    </w:p>
    <w:p w14:paraId="075A5B70">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（九）乙方在增值税专用发票开具时“货物或应税劳务名称”一栏必须填写明细。</w:t>
      </w:r>
    </w:p>
    <w:p w14:paraId="17991FAD">
      <w:pPr>
        <w:spacing w:line="48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（十）所有货物在装卸、运输等过程中由乙方负责，在此过程中乙方应注意安全、环保文明等要求，此过程中的一切风险和发生的安全事件均由乙方自行承担。</w:t>
      </w:r>
    </w:p>
    <w:p w14:paraId="4D7489FE">
      <w:pPr>
        <w:spacing w:line="480" w:lineRule="exact"/>
        <w:ind w:firstLine="480"/>
        <w:rPr>
          <w:rFonts w:ascii="仿宋_GB2312" w:hAnsi="仿宋_GB2312" w:cs="仿宋_GB2312"/>
          <w:b/>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九、</w:t>
      </w:r>
      <w:r>
        <w:rPr>
          <w:rFonts w:hint="eastAsia" w:ascii="仿宋_GB2312" w:hAnsi="仿宋_GB2312" w:cs="仿宋_GB2312"/>
          <w:b/>
          <w:color w:val="000000" w:themeColor="text1"/>
          <w:sz w:val="24"/>
          <w14:textFill>
            <w14:solidFill>
              <w14:schemeClr w14:val="tx1"/>
            </w14:solidFill>
          </w14:textFill>
        </w:rPr>
        <w:t>履约保证金</w:t>
      </w:r>
    </w:p>
    <w:p w14:paraId="5BBA2870">
      <w:pPr>
        <w:spacing w:line="480" w:lineRule="exact"/>
        <w:ind w:firstLine="488"/>
        <w:jc w:val="left"/>
        <w:rPr>
          <w:rFonts w:ascii="仿宋_GB2312" w:hAnsi="仿宋_GB2312" w:cs="仿宋_GB2312"/>
          <w:color w:val="000000" w:themeColor="text1"/>
          <w:spacing w:val="2"/>
          <w:sz w:val="24"/>
          <w14:textFill>
            <w14:solidFill>
              <w14:schemeClr w14:val="tx1"/>
            </w14:solidFill>
          </w14:textFill>
        </w:rPr>
      </w:pPr>
      <w:r>
        <w:rPr>
          <w:rFonts w:hint="eastAsia" w:ascii="仿宋_GB2312" w:hAnsi="仿宋_GB2312" w:cs="仿宋_GB2312"/>
          <w:color w:val="000000" w:themeColor="text1"/>
          <w:spacing w:val="2"/>
          <w:sz w:val="24"/>
          <w14:textFill>
            <w14:solidFill>
              <w14:schemeClr w14:val="tx1"/>
            </w14:solidFill>
          </w14:textFill>
        </w:rPr>
        <w:t>（一）乙方按照以下第</w:t>
      </w:r>
      <w:r>
        <w:rPr>
          <w:rFonts w:hint="eastAsia" w:ascii="仿宋_GB2312" w:hAnsi="仿宋_GB2312" w:cs="仿宋_GB2312"/>
          <w:color w:val="000000" w:themeColor="text1"/>
          <w:spacing w:val="2"/>
          <w:sz w:val="24"/>
          <w:u w:val="single"/>
          <w14:textFill>
            <w14:solidFill>
              <w14:schemeClr w14:val="tx1"/>
            </w14:solidFill>
          </w14:textFill>
        </w:rPr>
        <w:t xml:space="preserve"> 5 </w:t>
      </w:r>
      <w:r>
        <w:rPr>
          <w:rFonts w:hint="eastAsia" w:ascii="仿宋_GB2312" w:hAnsi="仿宋_GB2312" w:cs="仿宋_GB2312"/>
          <w:color w:val="000000" w:themeColor="text1"/>
          <w:spacing w:val="2"/>
          <w:sz w:val="24"/>
          <w14:textFill>
            <w14:solidFill>
              <w14:schemeClr w14:val="tx1"/>
            </w14:solidFill>
          </w14:textFill>
        </w:rPr>
        <w:t>种方式提供履约保证：</w:t>
      </w:r>
    </w:p>
    <w:p w14:paraId="435C7396">
      <w:pPr>
        <w:spacing w:line="480" w:lineRule="exact"/>
        <w:ind w:firstLine="488"/>
        <w:jc w:val="left"/>
        <w:rPr>
          <w:rFonts w:ascii="仿宋_GB2312" w:hAnsi="仿宋_GB2312" w:cs="仿宋_GB2312"/>
          <w:color w:val="000000" w:themeColor="text1"/>
          <w:spacing w:val="2"/>
          <w:sz w:val="24"/>
          <w14:textFill>
            <w14:solidFill>
              <w14:schemeClr w14:val="tx1"/>
            </w14:solidFill>
          </w14:textFill>
        </w:rPr>
      </w:pPr>
      <w:r>
        <w:rPr>
          <w:rFonts w:hint="eastAsia" w:ascii="仿宋_GB2312" w:hAnsi="仿宋_GB2312" w:cs="仿宋_GB2312"/>
          <w:color w:val="000000" w:themeColor="text1"/>
          <w:spacing w:val="2"/>
          <w:sz w:val="24"/>
          <w14:textFill>
            <w14:solidFill>
              <w14:schemeClr w14:val="tx1"/>
            </w14:solidFill>
          </w14:textFill>
        </w:rPr>
        <w:t>（1）自合同签订之日起，乙方缴纳</w:t>
      </w:r>
      <w:r>
        <w:rPr>
          <w:rFonts w:hint="eastAsia" w:ascii="仿宋_GB2312" w:hAnsi="仿宋_GB2312" w:cs="仿宋_GB2312"/>
          <w:color w:val="000000" w:themeColor="text1"/>
          <w:spacing w:val="2"/>
          <w:sz w:val="24"/>
          <w:u w:val="single"/>
          <w14:textFill>
            <w14:solidFill>
              <w14:schemeClr w14:val="tx1"/>
            </w14:solidFill>
          </w14:textFill>
        </w:rPr>
        <w:t xml:space="preserve"> / </w:t>
      </w:r>
      <w:r>
        <w:rPr>
          <w:rFonts w:hint="eastAsia" w:ascii="仿宋_GB2312" w:hAnsi="仿宋_GB2312" w:cs="仿宋_GB2312"/>
          <w:color w:val="000000" w:themeColor="text1"/>
          <w:spacing w:val="2"/>
          <w:sz w:val="24"/>
          <w14:textFill>
            <w14:solidFill>
              <w14:schemeClr w14:val="tx1"/>
            </w14:solidFill>
          </w14:textFill>
        </w:rPr>
        <w:t>元履约保证金，其中投标保证金全部转化为履约保证金，共计</w:t>
      </w:r>
      <w:r>
        <w:rPr>
          <w:rFonts w:hint="eastAsia" w:ascii="仿宋_GB2312" w:hAnsi="仿宋_GB2312" w:cs="仿宋_GB2312"/>
          <w:color w:val="000000" w:themeColor="text1"/>
          <w:spacing w:val="2"/>
          <w:sz w:val="24"/>
          <w:u w:val="single"/>
          <w14:textFill>
            <w14:solidFill>
              <w14:schemeClr w14:val="tx1"/>
            </w14:solidFill>
          </w14:textFill>
        </w:rPr>
        <w:t xml:space="preserve"> / </w:t>
      </w:r>
      <w:r>
        <w:rPr>
          <w:rFonts w:hint="eastAsia" w:ascii="仿宋_GB2312" w:hAnsi="仿宋_GB2312" w:cs="仿宋_GB2312"/>
          <w:color w:val="000000" w:themeColor="text1"/>
          <w:spacing w:val="2"/>
          <w:sz w:val="24"/>
          <w14:textFill>
            <w14:solidFill>
              <w14:schemeClr w14:val="tx1"/>
            </w14:solidFill>
          </w14:textFill>
        </w:rPr>
        <w:t>元（大写：</w:t>
      </w:r>
      <w:r>
        <w:rPr>
          <w:rFonts w:hint="eastAsia" w:ascii="仿宋_GB2312" w:hAnsi="仿宋_GB2312" w:cs="仿宋_GB2312"/>
          <w:color w:val="000000" w:themeColor="text1"/>
          <w:spacing w:val="2"/>
          <w:sz w:val="24"/>
          <w:u w:val="single"/>
          <w14:textFill>
            <w14:solidFill>
              <w14:schemeClr w14:val="tx1"/>
            </w14:solidFill>
          </w14:textFill>
        </w:rPr>
        <w:t xml:space="preserve"> / </w:t>
      </w:r>
      <w:r>
        <w:rPr>
          <w:rFonts w:hint="eastAsia" w:ascii="仿宋_GB2312" w:hAnsi="仿宋_GB2312" w:cs="仿宋_GB2312"/>
          <w:color w:val="000000" w:themeColor="text1"/>
          <w:spacing w:val="2"/>
          <w:sz w:val="24"/>
          <w14:textFill>
            <w14:solidFill>
              <w14:schemeClr w14:val="tx1"/>
            </w14:solidFill>
          </w14:textFill>
        </w:rPr>
        <w:t>），不足部分通过压货款缴纳。</w:t>
      </w:r>
    </w:p>
    <w:p w14:paraId="6FBD5A65">
      <w:pPr>
        <w:spacing w:line="480" w:lineRule="exact"/>
        <w:ind w:firstLine="488"/>
        <w:jc w:val="left"/>
        <w:rPr>
          <w:rFonts w:ascii="仿宋_GB2312" w:hAnsi="仿宋_GB2312" w:cs="仿宋_GB2312"/>
          <w:color w:val="000000" w:themeColor="text1"/>
          <w:spacing w:val="2"/>
          <w:sz w:val="24"/>
          <w14:textFill>
            <w14:solidFill>
              <w14:schemeClr w14:val="tx1"/>
            </w14:solidFill>
          </w14:textFill>
        </w:rPr>
      </w:pPr>
      <w:r>
        <w:rPr>
          <w:rFonts w:hint="eastAsia" w:ascii="仿宋_GB2312" w:hAnsi="仿宋_GB2312" w:cs="仿宋_GB2312"/>
          <w:color w:val="000000" w:themeColor="text1"/>
          <w:spacing w:val="2"/>
          <w:sz w:val="24"/>
          <w14:textFill>
            <w14:solidFill>
              <w14:schemeClr w14:val="tx1"/>
            </w14:solidFill>
          </w14:textFill>
        </w:rPr>
        <w:t>（2）自合同签订之日起</w:t>
      </w:r>
      <w:r>
        <w:rPr>
          <w:rFonts w:hint="eastAsia" w:ascii="仿宋_GB2312" w:hAnsi="仿宋_GB2312" w:cs="仿宋_GB2312"/>
          <w:color w:val="000000" w:themeColor="text1"/>
          <w:spacing w:val="2"/>
          <w:sz w:val="24"/>
          <w:u w:val="single"/>
          <w14:textFill>
            <w14:solidFill>
              <w14:schemeClr w14:val="tx1"/>
            </w14:solidFill>
          </w14:textFill>
        </w:rPr>
        <w:t xml:space="preserve"> 15 </w:t>
      </w:r>
      <w:r>
        <w:rPr>
          <w:rFonts w:hint="eastAsia" w:ascii="仿宋_GB2312" w:hAnsi="仿宋_GB2312" w:cs="仿宋_GB2312"/>
          <w:color w:val="000000" w:themeColor="text1"/>
          <w:spacing w:val="2"/>
          <w:sz w:val="24"/>
          <w14:textFill>
            <w14:solidFill>
              <w14:schemeClr w14:val="tx1"/>
            </w14:solidFill>
          </w14:textFill>
        </w:rPr>
        <w:t>日内，乙方向甲方缴纳履约保证金</w:t>
      </w:r>
      <w:r>
        <w:rPr>
          <w:rFonts w:hint="eastAsia" w:ascii="仿宋_GB2312" w:hAnsi="仿宋_GB2312" w:cs="仿宋_GB2312"/>
          <w:color w:val="000000" w:themeColor="text1"/>
          <w:spacing w:val="2"/>
          <w:sz w:val="24"/>
          <w:u w:val="single"/>
          <w14:textFill>
            <w14:solidFill>
              <w14:schemeClr w14:val="tx1"/>
            </w14:solidFill>
          </w14:textFill>
        </w:rPr>
        <w:t xml:space="preserve"> / </w:t>
      </w:r>
      <w:r>
        <w:rPr>
          <w:rFonts w:hint="eastAsia" w:ascii="仿宋_GB2312" w:hAnsi="仿宋_GB2312" w:cs="仿宋_GB2312"/>
          <w:color w:val="000000" w:themeColor="text1"/>
          <w:spacing w:val="2"/>
          <w:sz w:val="24"/>
          <w14:textFill>
            <w14:solidFill>
              <w14:schemeClr w14:val="tx1"/>
            </w14:solidFill>
          </w14:textFill>
        </w:rPr>
        <w:t>元（大写：</w:t>
      </w:r>
      <w:r>
        <w:rPr>
          <w:rFonts w:hint="eastAsia" w:ascii="仿宋_GB2312" w:hAnsi="仿宋_GB2312" w:cs="仿宋_GB2312"/>
          <w:color w:val="000000" w:themeColor="text1"/>
          <w:spacing w:val="2"/>
          <w:sz w:val="24"/>
          <w:u w:val="single"/>
          <w14:textFill>
            <w14:solidFill>
              <w14:schemeClr w14:val="tx1"/>
            </w14:solidFill>
          </w14:textFill>
        </w:rPr>
        <w:t xml:space="preserve"> / </w:t>
      </w:r>
      <w:r>
        <w:rPr>
          <w:rFonts w:hint="eastAsia" w:ascii="仿宋_GB2312" w:hAnsi="仿宋_GB2312" w:cs="仿宋_GB2312"/>
          <w:color w:val="000000" w:themeColor="text1"/>
          <w:spacing w:val="2"/>
          <w:sz w:val="24"/>
          <w14:textFill>
            <w14:solidFill>
              <w14:schemeClr w14:val="tx1"/>
            </w14:solidFill>
          </w14:textFill>
        </w:rPr>
        <w:t>元）。</w:t>
      </w:r>
    </w:p>
    <w:p w14:paraId="4C7EAF83">
      <w:pPr>
        <w:spacing w:line="480" w:lineRule="exact"/>
        <w:ind w:firstLine="488"/>
        <w:jc w:val="left"/>
        <w:rPr>
          <w:rFonts w:ascii="仿宋_GB2312" w:hAnsi="仿宋_GB2312" w:cs="仿宋_GB2312"/>
          <w:color w:val="000000" w:themeColor="text1"/>
          <w:spacing w:val="2"/>
          <w:sz w:val="24"/>
          <w14:textFill>
            <w14:solidFill>
              <w14:schemeClr w14:val="tx1"/>
            </w14:solidFill>
          </w14:textFill>
        </w:rPr>
      </w:pPr>
      <w:r>
        <w:rPr>
          <w:rFonts w:hint="eastAsia" w:ascii="仿宋_GB2312" w:hAnsi="仿宋_GB2312" w:cs="仿宋_GB2312"/>
          <w:color w:val="000000" w:themeColor="text1"/>
          <w:spacing w:val="2"/>
          <w:sz w:val="24"/>
          <w14:textFill>
            <w14:solidFill>
              <w14:schemeClr w14:val="tx1"/>
            </w14:solidFill>
          </w14:textFill>
        </w:rPr>
        <w:t>（3）甲方在前期应付货款中暂扣</w:t>
      </w:r>
      <w:r>
        <w:rPr>
          <w:rFonts w:hint="eastAsia" w:ascii="仿宋_GB2312" w:hAnsi="仿宋_GB2312" w:cs="仿宋_GB2312"/>
          <w:color w:val="000000" w:themeColor="text1"/>
          <w:spacing w:val="2"/>
          <w:sz w:val="24"/>
          <w:u w:val="single"/>
          <w14:textFill>
            <w14:solidFill>
              <w14:schemeClr w14:val="tx1"/>
            </w14:solidFill>
          </w14:textFill>
        </w:rPr>
        <w:t xml:space="preserve"> / </w:t>
      </w:r>
      <w:r>
        <w:rPr>
          <w:rFonts w:hint="eastAsia" w:ascii="仿宋_GB2312" w:hAnsi="仿宋_GB2312" w:cs="仿宋_GB2312"/>
          <w:color w:val="000000" w:themeColor="text1"/>
          <w:spacing w:val="2"/>
          <w:sz w:val="24"/>
          <w14:textFill>
            <w14:solidFill>
              <w14:schemeClr w14:val="tx1"/>
            </w14:solidFill>
          </w14:textFill>
        </w:rPr>
        <w:t>元作为履约保证金（大写：</w:t>
      </w:r>
      <w:r>
        <w:rPr>
          <w:rFonts w:hint="eastAsia" w:ascii="仿宋_GB2312" w:hAnsi="仿宋_GB2312" w:cs="仿宋_GB2312"/>
          <w:color w:val="000000" w:themeColor="text1"/>
          <w:spacing w:val="2"/>
          <w:sz w:val="24"/>
          <w:u w:val="single"/>
          <w14:textFill>
            <w14:solidFill>
              <w14:schemeClr w14:val="tx1"/>
            </w14:solidFill>
          </w14:textFill>
        </w:rPr>
        <w:t xml:space="preserve"> / </w:t>
      </w:r>
      <w:r>
        <w:rPr>
          <w:rFonts w:hint="eastAsia" w:ascii="仿宋_GB2312" w:hAnsi="仿宋_GB2312" w:cs="仿宋_GB2312"/>
          <w:color w:val="000000" w:themeColor="text1"/>
          <w:spacing w:val="2"/>
          <w:sz w:val="24"/>
          <w14:textFill>
            <w14:solidFill>
              <w14:schemeClr w14:val="tx1"/>
            </w14:solidFill>
          </w14:textFill>
        </w:rPr>
        <w:t>）。</w:t>
      </w:r>
    </w:p>
    <w:p w14:paraId="6F5783F2">
      <w:pPr>
        <w:spacing w:line="480" w:lineRule="exact"/>
        <w:ind w:firstLine="488"/>
        <w:jc w:val="left"/>
        <w:rPr>
          <w:rFonts w:ascii="仿宋_GB2312" w:hAnsi="仿宋_GB2312" w:cs="仿宋_GB2312"/>
          <w:color w:val="000000" w:themeColor="text1"/>
          <w:spacing w:val="2"/>
          <w:sz w:val="24"/>
          <w14:textFill>
            <w14:solidFill>
              <w14:schemeClr w14:val="tx1"/>
            </w14:solidFill>
          </w14:textFill>
        </w:rPr>
      </w:pPr>
      <w:r>
        <w:rPr>
          <w:rFonts w:hint="eastAsia" w:ascii="仿宋_GB2312" w:hAnsi="仿宋_GB2312" w:cs="仿宋_GB2312"/>
          <w:color w:val="000000" w:themeColor="text1"/>
          <w:spacing w:val="2"/>
          <w:sz w:val="24"/>
          <w14:textFill>
            <w14:solidFill>
              <w14:schemeClr w14:val="tx1"/>
            </w14:solidFill>
          </w14:textFill>
        </w:rPr>
        <w:t>（4）甲、乙双方每期结算后，对已结算的货款，甲方应按结算金额的</w:t>
      </w:r>
      <w:r>
        <w:rPr>
          <w:rFonts w:hint="eastAsia" w:ascii="仿宋_GB2312" w:hAnsi="仿宋_GB2312" w:cs="仿宋_GB2312"/>
          <w:color w:val="000000" w:themeColor="text1"/>
          <w:spacing w:val="2"/>
          <w:sz w:val="24"/>
          <w:u w:val="single"/>
          <w14:textFill>
            <w14:solidFill>
              <w14:schemeClr w14:val="tx1"/>
            </w14:solidFill>
          </w14:textFill>
        </w:rPr>
        <w:t xml:space="preserve"> / </w:t>
      </w:r>
      <w:r>
        <w:rPr>
          <w:rFonts w:hint="eastAsia" w:ascii="仿宋_GB2312" w:hAnsi="仿宋_GB2312" w:cs="仿宋_GB2312"/>
          <w:color w:val="000000" w:themeColor="text1"/>
          <w:spacing w:val="2"/>
          <w:sz w:val="24"/>
          <w14:textFill>
            <w14:solidFill>
              <w14:schemeClr w14:val="tx1"/>
            </w14:solidFill>
          </w14:textFill>
        </w:rPr>
        <w:t>%扣除作为履约保证金。</w:t>
      </w:r>
    </w:p>
    <w:p w14:paraId="4AF4342D">
      <w:pPr>
        <w:spacing w:line="480" w:lineRule="exact"/>
        <w:ind w:firstLine="488"/>
        <w:jc w:val="left"/>
        <w:rPr>
          <w:rFonts w:ascii="仿宋_GB2312" w:hAnsi="仿宋_GB2312" w:cs="仿宋_GB2312"/>
          <w:color w:val="000000" w:themeColor="text1"/>
          <w:spacing w:val="2"/>
          <w:sz w:val="24"/>
          <w14:textFill>
            <w14:solidFill>
              <w14:schemeClr w14:val="tx1"/>
            </w14:solidFill>
          </w14:textFill>
        </w:rPr>
      </w:pPr>
      <w:r>
        <w:rPr>
          <w:rFonts w:hint="eastAsia" w:ascii="仿宋_GB2312" w:hAnsi="仿宋_GB2312" w:cs="仿宋_GB2312"/>
          <w:color w:val="000000" w:themeColor="text1"/>
          <w:spacing w:val="2"/>
          <w:sz w:val="24"/>
          <w14:textFill>
            <w14:solidFill>
              <w14:schemeClr w14:val="tx1"/>
            </w14:solidFill>
          </w14:textFill>
        </w:rPr>
        <w:t>（5）自中标通知书发出，合同签订之日前，乙方缴纳</w:t>
      </w:r>
      <w:r>
        <w:rPr>
          <w:rFonts w:hint="eastAsia" w:ascii="仿宋_GB2312" w:hAnsi="仿宋_GB2312" w:cs="仿宋_GB2312"/>
          <w:color w:val="000000" w:themeColor="text1"/>
          <w:spacing w:val="2"/>
          <w:sz w:val="24"/>
          <w:u w:val="single"/>
          <w14:textFill>
            <w14:solidFill>
              <w14:schemeClr w14:val="tx1"/>
            </w14:solidFill>
          </w14:textFill>
        </w:rPr>
        <w:t xml:space="preserve"> 1</w:t>
      </w:r>
      <w:r>
        <w:rPr>
          <w:rFonts w:hint="eastAsia" w:ascii="仿宋_GB2312" w:hAnsi="仿宋_GB2312" w:cs="仿宋_GB2312"/>
          <w:color w:val="000000" w:themeColor="text1"/>
          <w:spacing w:val="2"/>
          <w:sz w:val="24"/>
          <w:u w:val="single"/>
          <w:lang w:val="en-US" w:eastAsia="zh-CN"/>
          <w14:textFill>
            <w14:solidFill>
              <w14:schemeClr w14:val="tx1"/>
            </w14:solidFill>
          </w14:textFill>
        </w:rPr>
        <w:t>0</w:t>
      </w:r>
      <w:r>
        <w:rPr>
          <w:rFonts w:hint="eastAsia" w:ascii="仿宋_GB2312" w:hAnsi="仿宋_GB2312" w:cs="仿宋_GB2312"/>
          <w:color w:val="000000" w:themeColor="text1"/>
          <w:spacing w:val="2"/>
          <w:sz w:val="24"/>
          <w:u w:val="single"/>
          <w14:textFill>
            <w14:solidFill>
              <w14:schemeClr w14:val="tx1"/>
            </w14:solidFill>
          </w14:textFill>
        </w:rPr>
        <w:t xml:space="preserve">0000.00 </w:t>
      </w:r>
      <w:r>
        <w:rPr>
          <w:rFonts w:hint="eastAsia" w:ascii="仿宋_GB2312" w:hAnsi="仿宋_GB2312" w:cs="仿宋_GB2312"/>
          <w:color w:val="000000" w:themeColor="text1"/>
          <w:spacing w:val="2"/>
          <w:sz w:val="24"/>
          <w14:textFill>
            <w14:solidFill>
              <w14:schemeClr w14:val="tx1"/>
            </w14:solidFill>
          </w14:textFill>
        </w:rPr>
        <w:t>元履约保证金。</w:t>
      </w:r>
    </w:p>
    <w:p w14:paraId="08F34D1E">
      <w:pPr>
        <w:spacing w:line="480" w:lineRule="exact"/>
        <w:ind w:firstLine="488"/>
        <w:jc w:val="left"/>
        <w:rPr>
          <w:rFonts w:ascii="仿宋_GB2312" w:hAnsi="仿宋_GB2312" w:cs="仿宋_GB2312"/>
          <w:color w:val="000000" w:themeColor="text1"/>
          <w:spacing w:val="2"/>
          <w:sz w:val="24"/>
          <w14:textFill>
            <w14:solidFill>
              <w14:schemeClr w14:val="tx1"/>
            </w14:solidFill>
          </w14:textFill>
        </w:rPr>
      </w:pPr>
      <w:r>
        <w:rPr>
          <w:rFonts w:hint="eastAsia" w:ascii="仿宋_GB2312" w:hAnsi="仿宋_GB2312" w:cs="仿宋_GB2312"/>
          <w:color w:val="000000" w:themeColor="text1"/>
          <w:spacing w:val="2"/>
          <w:sz w:val="24"/>
          <w14:textFill>
            <w14:solidFill>
              <w14:schemeClr w14:val="tx1"/>
            </w14:solidFill>
          </w14:textFill>
        </w:rPr>
        <w:t>（6）其他：</w:t>
      </w:r>
      <w:r>
        <w:rPr>
          <w:rFonts w:hint="eastAsia" w:ascii="仿宋_GB2312" w:hAnsi="仿宋_GB2312" w:cs="仿宋_GB2312"/>
          <w:color w:val="000000" w:themeColor="text1"/>
          <w:spacing w:val="2"/>
          <w:sz w:val="24"/>
          <w:u w:val="single"/>
          <w14:textFill>
            <w14:solidFill>
              <w14:schemeClr w14:val="tx1"/>
            </w14:solidFill>
          </w14:textFill>
        </w:rPr>
        <w:t xml:space="preserve">       /        </w:t>
      </w:r>
      <w:r>
        <w:rPr>
          <w:rFonts w:hint="eastAsia" w:ascii="仿宋_GB2312" w:hAnsi="仿宋_GB2312" w:cs="仿宋_GB2312"/>
          <w:color w:val="000000" w:themeColor="text1"/>
          <w:spacing w:val="2"/>
          <w:sz w:val="24"/>
          <w14:textFill>
            <w14:solidFill>
              <w14:schemeClr w14:val="tx1"/>
            </w14:solidFill>
          </w14:textFill>
        </w:rPr>
        <w:t>。</w:t>
      </w:r>
    </w:p>
    <w:p w14:paraId="0F5E6AC8">
      <w:pPr>
        <w:spacing w:line="480" w:lineRule="exact"/>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（二）在</w:t>
      </w:r>
      <w:r>
        <w:rPr>
          <w:rFonts w:hint="eastAsia" w:ascii="仿宋_GB2312" w:hAnsi="仿宋_GB2312" w:cs="仿宋_GB2312"/>
          <w:color w:val="000000" w:themeColor="text1"/>
          <w:spacing w:val="2"/>
          <w:sz w:val="24"/>
          <w14:textFill>
            <w14:solidFill>
              <w14:schemeClr w14:val="tx1"/>
            </w14:solidFill>
          </w14:textFill>
        </w:rPr>
        <w:t>甲方与乙方办理最后一期结算且乙方无违约责任之日起一个月内，</w:t>
      </w:r>
      <w:r>
        <w:rPr>
          <w:rFonts w:hint="eastAsia" w:ascii="仿宋_GB2312" w:hAnsi="仿宋_GB2312" w:cs="仿宋_GB2312"/>
          <w:color w:val="000000" w:themeColor="text1"/>
          <w:sz w:val="24"/>
          <w14:textFill>
            <w14:solidFill>
              <w14:schemeClr w14:val="tx1"/>
            </w14:solidFill>
          </w14:textFill>
        </w:rPr>
        <w:t>无息退还乙方履约保证金。</w:t>
      </w:r>
    </w:p>
    <w:p w14:paraId="1083F1CA">
      <w:pPr>
        <w:spacing w:line="480" w:lineRule="exact"/>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（三）乙方有下列情形之一的甲方可在履约保证金中直接扣除违约金、赔偿金：</w:t>
      </w:r>
    </w:p>
    <w:p w14:paraId="7D7B580F">
      <w:pPr>
        <w:spacing w:line="480" w:lineRule="exact"/>
        <w:ind w:firstLine="640" w:firstLineChars="267"/>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1、合同签订之后，拒不履行或不完全履行合同义务的；</w:t>
      </w:r>
    </w:p>
    <w:p w14:paraId="5BE24B64">
      <w:pPr>
        <w:spacing w:line="480" w:lineRule="exact"/>
        <w:ind w:firstLine="640" w:firstLineChars="267"/>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2、合同履行过程中，违反国家法律法规致使合同不能正常履行的；</w:t>
      </w:r>
    </w:p>
    <w:p w14:paraId="03D6CD4A">
      <w:pPr>
        <w:spacing w:line="480" w:lineRule="exact"/>
        <w:ind w:firstLine="640" w:firstLineChars="267"/>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3、合同履行过程中，若发现乙方提供材料质量不符合合同约定的；</w:t>
      </w:r>
    </w:p>
    <w:p w14:paraId="1E00E915">
      <w:pPr>
        <w:spacing w:line="480" w:lineRule="exact"/>
        <w:ind w:firstLine="640" w:firstLineChars="267"/>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4、因其他原因引起的应由乙方向甲方或第三方承担违约或赔偿责任的。</w:t>
      </w:r>
    </w:p>
    <w:p w14:paraId="7998FDD3">
      <w:pPr>
        <w:spacing w:line="480" w:lineRule="exact"/>
        <w:ind w:firstLine="640" w:firstLineChars="267"/>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若前述违约金、赔偿金在履约保证金范围内仍不能抵付的，甲方可在乙方货款中直接扣除，若仍不能抵扣的，甲方可采取适当方式继续追偿。经抵扣后履约保证金不足额的，甲方有权在下一期应付货款中暂扣以补足差额。</w:t>
      </w:r>
    </w:p>
    <w:p w14:paraId="1984E255">
      <w:pPr>
        <w:spacing w:line="480" w:lineRule="exact"/>
        <w:ind w:firstLine="643" w:firstLineChars="267"/>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b/>
          <w:color w:val="000000" w:themeColor="text1"/>
          <w:sz w:val="24"/>
          <w14:textFill>
            <w14:solidFill>
              <w14:schemeClr w14:val="tx1"/>
            </w14:solidFill>
          </w14:textFill>
        </w:rPr>
        <w:t>十、合同变更与解除</w:t>
      </w:r>
    </w:p>
    <w:p w14:paraId="2353A5E7">
      <w:pPr>
        <w:spacing w:line="480" w:lineRule="exact"/>
        <w:ind w:firstLine="523" w:firstLineChars="218"/>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（一）经双方协商一致可以变更或解除合同。</w:t>
      </w:r>
    </w:p>
    <w:p w14:paraId="4E23AFF2">
      <w:pPr>
        <w:spacing w:line="480" w:lineRule="exact"/>
        <w:ind w:firstLine="523" w:firstLineChars="218"/>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（二）发生下列情形之一的，可以解除合同：</w:t>
      </w:r>
    </w:p>
    <w:p w14:paraId="3D0B5D12">
      <w:pPr>
        <w:spacing w:line="480" w:lineRule="exact"/>
        <w:ind w:firstLine="640" w:firstLineChars="267"/>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1、因不可抗力致使合同不能履行；</w:t>
      </w:r>
    </w:p>
    <w:p w14:paraId="1B6A591D">
      <w:pPr>
        <w:spacing w:line="480" w:lineRule="exact"/>
        <w:ind w:firstLine="640" w:firstLineChars="267"/>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2、乙方未按合同约定时间供货，经催告后</w:t>
      </w:r>
      <w:r>
        <w:rPr>
          <w:rFonts w:hint="eastAsia" w:ascii="仿宋_GB2312" w:hAnsi="仿宋_GB2312" w:cs="仿宋_GB2312"/>
          <w:color w:val="000000" w:themeColor="text1"/>
          <w:sz w:val="24"/>
          <w:u w:val="single"/>
          <w14:textFill>
            <w14:solidFill>
              <w14:schemeClr w14:val="tx1"/>
            </w14:solidFill>
          </w14:textFill>
        </w:rPr>
        <w:t xml:space="preserve"> 3 </w:t>
      </w:r>
      <w:r>
        <w:rPr>
          <w:rFonts w:hint="eastAsia" w:ascii="仿宋_GB2312" w:hAnsi="仿宋_GB2312" w:cs="仿宋_GB2312"/>
          <w:color w:val="000000" w:themeColor="text1"/>
          <w:sz w:val="24"/>
          <w14:textFill>
            <w14:solidFill>
              <w14:schemeClr w14:val="tx1"/>
            </w14:solidFill>
          </w14:textFill>
        </w:rPr>
        <w:t>日内仍未交货，甲方有权单方解除合同；</w:t>
      </w:r>
    </w:p>
    <w:p w14:paraId="15EC6F84">
      <w:pPr>
        <w:spacing w:line="480" w:lineRule="exact"/>
        <w:ind w:firstLine="640" w:firstLineChars="267"/>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3、乙方所供材料质量不符合质量要求，经通知后未按甲方要求采取补救措施的，甲方有权单方解除合同；</w:t>
      </w:r>
    </w:p>
    <w:p w14:paraId="4DF0E4EC">
      <w:pPr>
        <w:spacing w:line="480" w:lineRule="exact"/>
        <w:ind w:firstLine="640" w:firstLineChars="267"/>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4、由于甲方工作调整原因甲方可单方直接解除合同；</w:t>
      </w:r>
    </w:p>
    <w:p w14:paraId="1C2358DB">
      <w:pPr>
        <w:spacing w:line="480" w:lineRule="exact"/>
        <w:ind w:firstLine="640" w:firstLineChars="267"/>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5、乙方构成其他重大违约，甲方可解除合同。</w:t>
      </w:r>
    </w:p>
    <w:p w14:paraId="70E5A7AB">
      <w:pPr>
        <w:spacing w:line="480" w:lineRule="exact"/>
        <w:ind w:firstLine="523" w:firstLineChars="218"/>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（三）合同变更或解除，不能免除违约方应承担的违约责任，给对方造成损失的，还应承担赔偿责任，包括直接损失、停工怠工损失以及主张和保护权益所产生的律师费、差旅费、误工费等间接损失。</w:t>
      </w:r>
    </w:p>
    <w:p w14:paraId="00B0250F">
      <w:pPr>
        <w:spacing w:line="480" w:lineRule="exact"/>
        <w:ind w:firstLine="480"/>
        <w:jc w:val="left"/>
        <w:rPr>
          <w:rFonts w:ascii="仿宋_GB2312" w:hAnsi="仿宋_GB2312" w:cs="仿宋_GB2312"/>
          <w:b/>
          <w:color w:val="000000" w:themeColor="text1"/>
          <w:sz w:val="24"/>
          <w14:textFill>
            <w14:solidFill>
              <w14:schemeClr w14:val="tx1"/>
            </w14:solidFill>
          </w14:textFill>
        </w:rPr>
      </w:pPr>
      <w:r>
        <w:rPr>
          <w:rFonts w:hint="eastAsia" w:ascii="仿宋_GB2312" w:hAnsi="仿宋_GB2312" w:cs="仿宋_GB2312"/>
          <w:b/>
          <w:color w:val="000000" w:themeColor="text1"/>
          <w:sz w:val="24"/>
          <w14:textFill>
            <w14:solidFill>
              <w14:schemeClr w14:val="tx1"/>
            </w14:solidFill>
          </w14:textFill>
        </w:rPr>
        <w:t>十一、违约责任</w:t>
      </w:r>
    </w:p>
    <w:p w14:paraId="534FC9BF">
      <w:pPr>
        <w:spacing w:line="480" w:lineRule="exact"/>
        <w:ind w:firstLine="480"/>
        <w:jc w:val="left"/>
        <w:rPr>
          <w:rFonts w:ascii="仿宋_GB2312" w:hAnsi="仿宋_GB2312" w:cs="仿宋_GB2312"/>
          <w:b/>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（一）乙方应按甲方要求供应材料，确保工程需要。若因乙方未按合同约定时间提供符合甲方要求的材料，每延迟一天，乙方应向甲方支付</w:t>
      </w:r>
      <w:r>
        <w:rPr>
          <w:rFonts w:hint="eastAsia" w:ascii="仿宋_GB2312" w:hAnsi="仿宋_GB2312" w:cs="仿宋_GB2312"/>
          <w:color w:val="000000" w:themeColor="text1"/>
          <w:sz w:val="24"/>
          <w:u w:val="single"/>
          <w14:textFill>
            <w14:solidFill>
              <w14:schemeClr w14:val="tx1"/>
            </w14:solidFill>
          </w14:textFill>
        </w:rPr>
        <w:t>1000.00</w:t>
      </w:r>
      <w:r>
        <w:rPr>
          <w:rFonts w:hint="eastAsia" w:ascii="仿宋_GB2312" w:hAnsi="仿宋_GB2312" w:cs="仿宋_GB2312"/>
          <w:color w:val="000000" w:themeColor="text1"/>
          <w:sz w:val="24"/>
          <w14:textFill>
            <w14:solidFill>
              <w14:schemeClr w14:val="tx1"/>
            </w14:solidFill>
          </w14:textFill>
        </w:rPr>
        <w:t>元/天的违约金，乙方给甲方造成的实际损失超出该赔偿数额的，甲方有权按实际损失额要求赔偿。</w:t>
      </w:r>
    </w:p>
    <w:p w14:paraId="125C9C33">
      <w:pPr>
        <w:spacing w:line="480" w:lineRule="exact"/>
        <w:ind w:firstLine="480"/>
        <w:jc w:val="left"/>
        <w:rPr>
          <w:rFonts w:ascii="仿宋_GB2312" w:hAnsi="仿宋_GB2312" w:cs="仿宋_GB2312"/>
          <w:b/>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（二）由乙方承担的违约责任及赔偿，甲方可以直接扣除</w:t>
      </w:r>
      <w:r>
        <w:rPr>
          <w:rFonts w:hint="eastAsia" w:ascii="仿宋_GB2312" w:hAnsi="仿宋_GB2312" w:cs="仿宋_GB2312"/>
          <w:b/>
          <w:color w:val="000000" w:themeColor="text1"/>
          <w:sz w:val="24"/>
          <w:u w:val="single"/>
          <w14:textFill>
            <w14:solidFill>
              <w14:schemeClr w14:val="tx1"/>
            </w14:solidFill>
          </w14:textFill>
        </w:rPr>
        <w:t>履约</w:t>
      </w:r>
      <w:r>
        <w:rPr>
          <w:rFonts w:hint="eastAsia" w:ascii="仿宋_GB2312" w:hAnsi="仿宋_GB2312" w:cs="仿宋_GB2312"/>
          <w:color w:val="000000" w:themeColor="text1"/>
          <w:sz w:val="24"/>
          <w14:textFill>
            <w14:solidFill>
              <w14:schemeClr w14:val="tx1"/>
            </w14:solidFill>
          </w14:textFill>
        </w:rPr>
        <w:t>保证金；若仍不能抵付的，甲方可在货款中直接扣除，仍不能抵付的，甲方可采取适当方式继续追偿；</w:t>
      </w:r>
    </w:p>
    <w:p w14:paraId="2BD6919F">
      <w:pPr>
        <w:spacing w:line="480" w:lineRule="exact"/>
        <w:ind w:firstLine="480"/>
        <w:jc w:val="left"/>
        <w:rPr>
          <w:rFonts w:hint="eastAsia"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（三）乙方若存在其他违反本合同约定内容的，乙方应向甲方支付</w:t>
      </w:r>
      <w:r>
        <w:rPr>
          <w:rFonts w:hint="eastAsia" w:ascii="仿宋_GB2312" w:hAnsi="仿宋_GB2312" w:cs="仿宋_GB2312"/>
          <w:color w:val="000000" w:themeColor="text1"/>
          <w:sz w:val="24"/>
          <w:u w:val="single"/>
          <w14:textFill>
            <w14:solidFill>
              <w14:schemeClr w14:val="tx1"/>
            </w14:solidFill>
          </w14:textFill>
        </w:rPr>
        <w:t xml:space="preserve"> 1000.00 </w:t>
      </w:r>
      <w:r>
        <w:rPr>
          <w:rFonts w:ascii="仿宋_GB2312" w:hAnsi="仿宋_GB2312" w:cs="仿宋_GB2312"/>
          <w:color w:val="000000" w:themeColor="text1"/>
          <w:sz w:val="24"/>
          <w14:textFill>
            <w14:solidFill>
              <w14:schemeClr w14:val="tx1"/>
            </w14:solidFill>
          </w14:textFill>
        </w:rPr>
        <w:t>元</w:t>
      </w:r>
      <w:r>
        <w:rPr>
          <w:rFonts w:hint="eastAsia" w:ascii="仿宋_GB2312" w:hAnsi="仿宋_GB2312" w:cs="仿宋_GB2312"/>
          <w:color w:val="000000" w:themeColor="text1"/>
          <w:sz w:val="24"/>
          <w:lang w:val="en-US" w:eastAsia="zh-CN"/>
          <w14:textFill>
            <w14:solidFill>
              <w14:schemeClr w14:val="tx1"/>
            </w14:solidFill>
          </w14:textFill>
        </w:rPr>
        <w:t>/次</w:t>
      </w:r>
      <w:r>
        <w:rPr>
          <w:rFonts w:ascii="仿宋_GB2312" w:hAnsi="仿宋_GB2312" w:cs="仿宋_GB2312"/>
          <w:color w:val="000000" w:themeColor="text1"/>
          <w:sz w:val="24"/>
          <w14:textFill>
            <w14:solidFill>
              <w14:schemeClr w14:val="tx1"/>
            </w14:solidFill>
          </w14:textFill>
        </w:rPr>
        <w:t>违约金。</w:t>
      </w:r>
      <w:r>
        <w:rPr>
          <w:rFonts w:hint="eastAsia" w:ascii="仿宋_GB2312" w:hAnsi="仿宋_GB2312" w:cs="仿宋_GB2312"/>
          <w:color w:val="000000" w:themeColor="text1"/>
          <w:sz w:val="24"/>
          <w14:textFill>
            <w14:solidFill>
              <w14:schemeClr w14:val="tx1"/>
            </w14:solidFill>
          </w14:textFill>
        </w:rPr>
        <w:t>乙方给甲方造成的实际损失超出该赔偿数额的，甲方有权按实际损失额要求赔偿。</w:t>
      </w:r>
    </w:p>
    <w:p w14:paraId="44EB67F6">
      <w:pPr>
        <w:spacing w:line="400" w:lineRule="exact"/>
        <w:ind w:firstLine="480" w:firstLineChars="200"/>
        <w:jc w:val="left"/>
        <w:rPr>
          <w:rFonts w:hint="eastAsia" w:ascii="仿宋_GB2312" w:hAnsi="仿宋_GB2312" w:cs="仿宋_GB2312"/>
          <w:color w:val="000000" w:themeColor="text1"/>
          <w:sz w:val="24"/>
          <w14:textFill>
            <w14:solidFill>
              <w14:schemeClr w14:val="tx1"/>
            </w14:solidFill>
          </w14:textFill>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w:t>
      </w:r>
      <w:r>
        <w:rPr>
          <w:rFonts w:hint="eastAsia" w:ascii="仿宋" w:hAnsi="仿宋" w:eastAsia="仿宋" w:cs="仿宋"/>
          <w:sz w:val="24"/>
          <w:szCs w:val="24"/>
        </w:rPr>
        <w:t>若乙方未经甲方、甲方监理、业主同意，擅自更改合同约定的产品品牌、规格等视为乙方违约，乙方须承担相关责任及对甲方的相关赔偿，甲方有权利单方面终止合同。</w:t>
      </w:r>
    </w:p>
    <w:p w14:paraId="0F5C616B">
      <w:pPr>
        <w:spacing w:line="480" w:lineRule="exact"/>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w:t>
      </w:r>
      <w:r>
        <w:rPr>
          <w:rFonts w:hint="eastAsia" w:ascii="仿宋_GB2312" w:hAnsi="仿宋_GB2312" w:cs="仿宋_GB2312"/>
          <w:color w:val="000000" w:themeColor="text1"/>
          <w:sz w:val="24"/>
          <w:lang w:val="en-US" w:eastAsia="zh-CN"/>
          <w14:textFill>
            <w14:solidFill>
              <w14:schemeClr w14:val="tx1"/>
            </w14:solidFill>
          </w14:textFill>
        </w:rPr>
        <w:t>五</w:t>
      </w:r>
      <w:r>
        <w:rPr>
          <w:rFonts w:hint="eastAsia" w:ascii="仿宋_GB2312" w:hAnsi="仿宋_GB2312" w:cs="仿宋_GB2312"/>
          <w:color w:val="000000" w:themeColor="text1"/>
          <w:sz w:val="24"/>
          <w14:textFill>
            <w14:solidFill>
              <w14:schemeClr w14:val="tx1"/>
            </w14:solidFill>
          </w14:textFill>
        </w:rPr>
        <w:t>）若乙方提供的增值税专用发票经税务部门、审计部门等核实为虚假发票或其他违反国家相关法律法规规定开具的，由此产生的一切法律责任及造成甲方损失的（包括但不限于罚款、进项税额转出、滞纳金等与之相关支出的），均由乙方承担</w:t>
      </w:r>
      <w:r>
        <w:rPr>
          <w:rFonts w:hint="eastAsia" w:ascii="仿宋_GB2312" w:hAnsi="仿宋_GB2312" w:cs="仿宋_GB2312"/>
          <w:color w:val="000000" w:themeColor="text1"/>
          <w:sz w:val="24"/>
          <w:lang w:eastAsia="zh-CN"/>
          <w14:textFill>
            <w14:solidFill>
              <w14:schemeClr w14:val="tx1"/>
            </w14:solidFill>
          </w14:textFill>
        </w:rPr>
        <w:t>。</w:t>
      </w:r>
    </w:p>
    <w:p w14:paraId="79B9A591">
      <w:pPr>
        <w:spacing w:line="480" w:lineRule="exact"/>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w:t>
      </w:r>
      <w:r>
        <w:rPr>
          <w:rFonts w:hint="eastAsia" w:ascii="仿宋_GB2312" w:hAnsi="仿宋_GB2312" w:cs="仿宋_GB2312"/>
          <w:color w:val="000000" w:themeColor="text1"/>
          <w:sz w:val="24"/>
          <w:lang w:val="en-US" w:eastAsia="zh-CN"/>
          <w14:textFill>
            <w14:solidFill>
              <w14:schemeClr w14:val="tx1"/>
            </w14:solidFill>
          </w14:textFill>
        </w:rPr>
        <w:t>六</w:t>
      </w:r>
      <w:r>
        <w:rPr>
          <w:rFonts w:hint="eastAsia" w:ascii="仿宋_GB2312" w:hAnsi="仿宋_GB2312" w:cs="仿宋_GB2312"/>
          <w:color w:val="000000" w:themeColor="text1"/>
          <w:sz w:val="24"/>
          <w14:textFill>
            <w14:solidFill>
              <w14:schemeClr w14:val="tx1"/>
            </w14:solidFill>
          </w14:textFill>
        </w:rPr>
        <w:t>）若因乙方原因造成甲方在增值税专用发票抵扣期内无法完成增值税专用发票进项税额认证和抵扣的，乙方应无条件地按照甲方要求或合同约定重新开具符合规定的增值税专用发票，且甲方由此产生的一切损失均由乙方承担；</w:t>
      </w:r>
    </w:p>
    <w:p w14:paraId="08725568">
      <w:pPr>
        <w:spacing w:line="480" w:lineRule="exact"/>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w:t>
      </w:r>
      <w:r>
        <w:rPr>
          <w:rFonts w:hint="eastAsia" w:ascii="仿宋_GB2312" w:hAnsi="仿宋_GB2312" w:cs="仿宋_GB2312"/>
          <w:color w:val="000000" w:themeColor="text1"/>
          <w:sz w:val="24"/>
          <w:lang w:val="en-US" w:eastAsia="zh-CN"/>
          <w14:textFill>
            <w14:solidFill>
              <w14:schemeClr w14:val="tx1"/>
            </w14:solidFill>
          </w14:textFill>
        </w:rPr>
        <w:t>七</w:t>
      </w:r>
      <w:r>
        <w:rPr>
          <w:rFonts w:hint="eastAsia" w:ascii="仿宋_GB2312" w:hAnsi="仿宋_GB2312" w:cs="仿宋_GB2312"/>
          <w:color w:val="000000" w:themeColor="text1"/>
          <w:sz w:val="24"/>
          <w14:textFill>
            <w14:solidFill>
              <w14:schemeClr w14:val="tx1"/>
            </w14:solidFill>
          </w14:textFill>
        </w:rPr>
        <w:t>）一方违约，除应当按上述约定支付违约金、赔偿损失外，还应当赔偿守约方主张、维护权益所产生的律师费、差旅费、误工费等间接损失。</w:t>
      </w:r>
    </w:p>
    <w:p w14:paraId="732F8042">
      <w:pPr>
        <w:spacing w:line="480" w:lineRule="exact"/>
        <w:ind w:firstLine="480"/>
        <w:jc w:val="left"/>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十</w:t>
      </w:r>
      <w:r>
        <w:rPr>
          <w:rFonts w:hint="eastAsia" w:ascii="仿宋_GB2312" w:hAnsi="仿宋_GB2312" w:cs="仿宋_GB2312"/>
          <w:b/>
          <w:color w:val="000000" w:themeColor="text1"/>
          <w:sz w:val="24"/>
          <w14:textFill>
            <w14:solidFill>
              <w14:schemeClr w14:val="tx1"/>
            </w14:solidFill>
          </w14:textFill>
        </w:rPr>
        <w:t>二</w:t>
      </w:r>
      <w:r>
        <w:rPr>
          <w:rFonts w:hint="eastAsia" w:ascii="仿宋_GB2312" w:hAnsi="仿宋_GB2312" w:cs="仿宋_GB2312"/>
          <w:b/>
          <w:bCs/>
          <w:color w:val="000000" w:themeColor="text1"/>
          <w:sz w:val="24"/>
          <w14:textFill>
            <w14:solidFill>
              <w14:schemeClr w14:val="tx1"/>
            </w14:solidFill>
          </w14:textFill>
        </w:rPr>
        <w:t>、双方的通知送达地址</w:t>
      </w:r>
    </w:p>
    <w:p w14:paraId="1B33E4A8">
      <w:pPr>
        <w:spacing w:line="480" w:lineRule="exact"/>
        <w:ind w:firstLine="480"/>
        <w:jc w:val="left"/>
        <w:rPr>
          <w:rFonts w:ascii="仿宋_GB2312" w:hAnsi="仿宋_GB2312" w:cs="仿宋_GB2312"/>
          <w:color w:val="000000" w:themeColor="text1"/>
          <w:sz w:val="24"/>
          <w:u w:val="single"/>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（一）甲方指定联系地址：</w:t>
      </w:r>
      <w:r>
        <w:rPr>
          <w:rFonts w:hint="eastAsia" w:ascii="仿宋_GB2312" w:hAnsi="仿宋_GB2312" w:cs="仿宋_GB2312"/>
          <w:color w:val="000000" w:themeColor="text1"/>
          <w:sz w:val="24"/>
          <w:u w:val="single"/>
          <w14:textFill>
            <w14:solidFill>
              <w14:schemeClr w14:val="tx1"/>
            </w14:solidFill>
          </w14:textFill>
        </w:rPr>
        <w:t>四川省成都市青羊区光华北五路266号</w:t>
      </w:r>
      <w:r>
        <w:rPr>
          <w:rFonts w:hint="eastAsia" w:ascii="仿宋_GB2312" w:hAnsi="仿宋_GB2312" w:cs="仿宋_GB2312"/>
          <w:color w:val="000000" w:themeColor="text1"/>
          <w:sz w:val="24"/>
          <w14:textFill>
            <w14:solidFill>
              <w14:schemeClr w14:val="tx1"/>
            </w14:solidFill>
          </w14:textFill>
        </w:rPr>
        <w:t>、</w:t>
      </w:r>
      <w:r>
        <w:rPr>
          <w:rFonts w:hint="eastAsia" w:ascii="仿宋_GB2312" w:hAnsi="仿宋_GB2312" w:cs="仿宋_GB2312"/>
          <w:color w:val="000000" w:themeColor="text1"/>
          <w:sz w:val="24"/>
          <w:u w:val="single"/>
          <w14:textFill>
            <w14:solidFill>
              <w14:schemeClr w14:val="tx1"/>
            </w14:solidFill>
          </w14:textFill>
        </w:rPr>
        <w:t xml:space="preserve">联系人 </w:t>
      </w:r>
      <w:r>
        <w:rPr>
          <w:rFonts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u w:val="single"/>
          <w14:textFill>
            <w14:solidFill>
              <w14:schemeClr w14:val="tx1"/>
            </w14:solidFill>
          </w14:textFill>
        </w:rPr>
        <w:t>、</w:t>
      </w:r>
      <w:r>
        <w:rPr>
          <w:rFonts w:hint="eastAsia" w:ascii="仿宋_GB2312" w:hAnsi="仿宋_GB2312" w:cs="仿宋_GB2312"/>
          <w:color w:val="000000" w:themeColor="text1"/>
          <w:sz w:val="24"/>
          <w14:textFill>
            <w14:solidFill>
              <w14:schemeClr w14:val="tx1"/>
            </w14:solidFill>
          </w14:textFill>
        </w:rPr>
        <w:t>电子邮箱</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、电话号码：</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。以上为甲方通知书或指令送达地址。</w:t>
      </w:r>
    </w:p>
    <w:p w14:paraId="122F5CEC">
      <w:pPr>
        <w:spacing w:line="480" w:lineRule="exact"/>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（二）乙方指定联系地址：</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、电子邮箱</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、电话号码：</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。以上为乙方通知书或指令送达地址。</w:t>
      </w:r>
    </w:p>
    <w:p w14:paraId="1A6EB366">
      <w:pPr>
        <w:spacing w:line="480" w:lineRule="exact"/>
        <w:ind w:firstLine="600" w:firstLineChars="25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甲方向乙方发送供料计划、供应通知、质量异议和催告及相关资料，或根据本协议约定向乙方提供资料、履行通知义务等，通过以上乙方留存的任何一种联系方式通知，即视为有效送达、通知或履行。</w:t>
      </w:r>
    </w:p>
    <w:p w14:paraId="02FC5BEE">
      <w:pPr>
        <w:spacing w:line="480" w:lineRule="exact"/>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 xml:space="preserve">（三）前述地址、人员及联系方式未经对方书面同意，均不得变更。双方可根据需要选择如下任一方式进行送达： </w:t>
      </w:r>
    </w:p>
    <w:p w14:paraId="4FF0A14C">
      <w:pPr>
        <w:spacing w:line="480" w:lineRule="exact"/>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 xml:space="preserve">  1、电子邮件方式送达的，以发出邮箱提示的发送成功时间为送达日；</w:t>
      </w:r>
    </w:p>
    <w:p w14:paraId="091DD294">
      <w:pPr>
        <w:spacing w:line="480" w:lineRule="exact"/>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 xml:space="preserve">  2、邮寄（包括特快专递、平信邮寄、挂号邮寄）送达的，以邮寄之日后第3日（即使对方拒收或该邮件可能被退回）视为送达日；</w:t>
      </w:r>
    </w:p>
    <w:p w14:paraId="1AEB1A47">
      <w:pPr>
        <w:spacing w:line="480" w:lineRule="exact"/>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 xml:space="preserve">  3、专人送达的，以签收之日视为送达日。</w:t>
      </w:r>
    </w:p>
    <w:p w14:paraId="06FC7AFC">
      <w:pPr>
        <w:spacing w:line="480" w:lineRule="exact"/>
        <w:ind w:firstLine="480"/>
        <w:jc w:val="left"/>
        <w:rPr>
          <w:rFonts w:ascii="仿宋_GB2312" w:hAnsi="仿宋_GB2312" w:cs="仿宋_GB2312"/>
          <w:b/>
          <w:color w:val="000000" w:themeColor="text1"/>
          <w:sz w:val="24"/>
          <w14:textFill>
            <w14:solidFill>
              <w14:schemeClr w14:val="tx1"/>
            </w14:solidFill>
          </w14:textFill>
        </w:rPr>
      </w:pPr>
      <w:r>
        <w:rPr>
          <w:rFonts w:hint="eastAsia" w:ascii="仿宋_GB2312" w:hAnsi="仿宋_GB2312" w:cs="仿宋_GB2312"/>
          <w:b/>
          <w:color w:val="000000" w:themeColor="text1"/>
          <w:sz w:val="24"/>
          <w14:textFill>
            <w14:solidFill>
              <w14:schemeClr w14:val="tx1"/>
            </w14:solidFill>
          </w14:textFill>
        </w:rPr>
        <w:t>十三、补充约定</w:t>
      </w:r>
    </w:p>
    <w:p w14:paraId="73B31CED">
      <w:pPr>
        <w:spacing w:line="480" w:lineRule="exact"/>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本合同约定的其他事项：</w:t>
      </w:r>
    </w:p>
    <w:p w14:paraId="50BC31D7">
      <w:pPr>
        <w:numPr>
          <w:ilvl w:val="0"/>
          <w:numId w:val="7"/>
        </w:numPr>
        <w:spacing w:line="480" w:lineRule="exact"/>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与合同相关的招投标文件、双方的谈判纪要等是合同的组成要件，与合同具有同等法律效力。</w:t>
      </w:r>
    </w:p>
    <w:p w14:paraId="3F753312">
      <w:pPr>
        <w:numPr>
          <w:ilvl w:val="0"/>
          <w:numId w:val="7"/>
        </w:numPr>
        <w:spacing w:line="480" w:lineRule="exact"/>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其他约定</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w:t>
      </w:r>
    </w:p>
    <w:p w14:paraId="303708F9">
      <w:pPr>
        <w:spacing w:line="480" w:lineRule="exact"/>
        <w:ind w:left="482" w:firstLine="0" w:firstLineChars="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 xml:space="preserve">十四、争议解决方式    </w:t>
      </w:r>
    </w:p>
    <w:p w14:paraId="4325303B">
      <w:pPr>
        <w:spacing w:line="480" w:lineRule="exact"/>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如发生争议，双方友好协商解决；若协商不成，双方同意向甲方法人所在地人民法院提起诉讼。</w:t>
      </w:r>
    </w:p>
    <w:p w14:paraId="70FE9CEE">
      <w:pPr>
        <w:spacing w:line="480" w:lineRule="exact"/>
        <w:ind w:firstLine="480"/>
        <w:jc w:val="left"/>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十五、附则</w:t>
      </w:r>
    </w:p>
    <w:p w14:paraId="2E869257">
      <w:pPr>
        <w:spacing w:line="480" w:lineRule="exact"/>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（一）本合同一式</w:t>
      </w:r>
      <w:r>
        <w:rPr>
          <w:rFonts w:hint="eastAsia" w:ascii="仿宋_GB2312" w:hAnsi="仿宋_GB2312" w:cs="仿宋_GB2312"/>
          <w:color w:val="000000" w:themeColor="text1"/>
          <w:sz w:val="24"/>
          <w:u w:val="single"/>
          <w14:textFill>
            <w14:solidFill>
              <w14:schemeClr w14:val="tx1"/>
            </w14:solidFill>
          </w14:textFill>
        </w:rPr>
        <w:t xml:space="preserve"> 陆 </w:t>
      </w:r>
      <w:r>
        <w:rPr>
          <w:rFonts w:hint="eastAsia" w:ascii="仿宋_GB2312" w:hAnsi="仿宋_GB2312" w:cs="仿宋_GB2312"/>
          <w:color w:val="000000" w:themeColor="text1"/>
          <w:sz w:val="24"/>
          <w14:textFill>
            <w14:solidFill>
              <w14:schemeClr w14:val="tx1"/>
            </w14:solidFill>
          </w14:textFill>
        </w:rPr>
        <w:t>份，甲方</w:t>
      </w:r>
      <w:r>
        <w:rPr>
          <w:rFonts w:hint="eastAsia" w:ascii="仿宋_GB2312" w:hAnsi="仿宋_GB2312" w:cs="仿宋_GB2312"/>
          <w:color w:val="000000" w:themeColor="text1"/>
          <w:sz w:val="24"/>
          <w:u w:val="single"/>
          <w14:textFill>
            <w14:solidFill>
              <w14:schemeClr w14:val="tx1"/>
            </w14:solidFill>
          </w14:textFill>
        </w:rPr>
        <w:t xml:space="preserve"> 叁 </w:t>
      </w:r>
      <w:r>
        <w:rPr>
          <w:rFonts w:hint="eastAsia" w:ascii="仿宋_GB2312" w:hAnsi="仿宋_GB2312" w:cs="仿宋_GB2312"/>
          <w:color w:val="000000" w:themeColor="text1"/>
          <w:sz w:val="24"/>
          <w14:textFill>
            <w14:solidFill>
              <w14:schemeClr w14:val="tx1"/>
            </w14:solidFill>
          </w14:textFill>
        </w:rPr>
        <w:t>份，乙方</w:t>
      </w:r>
      <w:r>
        <w:rPr>
          <w:rFonts w:hint="eastAsia" w:ascii="仿宋_GB2312" w:hAnsi="仿宋_GB2312" w:cs="仿宋_GB2312"/>
          <w:color w:val="000000" w:themeColor="text1"/>
          <w:sz w:val="24"/>
          <w:u w:val="single"/>
          <w14:textFill>
            <w14:solidFill>
              <w14:schemeClr w14:val="tx1"/>
            </w14:solidFill>
          </w14:textFill>
        </w:rPr>
        <w:t xml:space="preserve"> 叁 </w:t>
      </w:r>
      <w:r>
        <w:rPr>
          <w:rFonts w:hint="eastAsia" w:ascii="仿宋_GB2312" w:hAnsi="仿宋_GB2312" w:cs="仿宋_GB2312"/>
          <w:color w:val="000000" w:themeColor="text1"/>
          <w:sz w:val="24"/>
          <w14:textFill>
            <w14:solidFill>
              <w14:schemeClr w14:val="tx1"/>
            </w14:solidFill>
          </w14:textFill>
        </w:rPr>
        <w:t>份，均具有同等法律效力。如有未尽事宜，双方应协商解决；如需签订补充合同，补充合同与本合同具有同等法律效力。</w:t>
      </w:r>
    </w:p>
    <w:p w14:paraId="0E63457D">
      <w:pPr>
        <w:spacing w:line="480" w:lineRule="exact"/>
        <w:ind w:firstLine="480"/>
        <w:jc w:val="left"/>
        <w:rPr>
          <w:rFonts w:ascii="仿宋_GB2312" w:hAnsi="仿宋_GB2312" w:cs="仿宋_GB2312"/>
          <w:b/>
          <w:bCs/>
          <w:color w:val="000000" w:themeColor="text1"/>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（二）本合同经双方签字盖章之日起生效，本合同在甲方停止向乙方采购并办理完最后一笔结算之日起自动终止，乙方的质量责任延续至工程设计使用年限届满。</w:t>
      </w:r>
    </w:p>
    <w:p w14:paraId="6B97BCD9">
      <w:pPr>
        <w:pStyle w:val="8"/>
        <w:spacing w:line="480" w:lineRule="exact"/>
        <w:ind w:firstLine="480"/>
        <w:jc w:val="center"/>
        <w:rPr>
          <w:rFonts w:ascii="仿宋_GB2312" w:hAnsi="仿宋_GB2312" w:cs="仿宋_GB2312"/>
          <w:b/>
          <w:bCs/>
          <w:color w:val="000000" w:themeColor="text1"/>
          <w:sz w:val="24"/>
          <w14:textFill>
            <w14:solidFill>
              <w14:schemeClr w14:val="tx1"/>
            </w14:solidFill>
          </w14:textFill>
        </w:rPr>
      </w:pPr>
    </w:p>
    <w:p w14:paraId="246EC2C2">
      <w:pPr>
        <w:tabs>
          <w:tab w:val="center" w:pos="4500"/>
        </w:tabs>
        <w:spacing w:line="480" w:lineRule="exact"/>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甲方（盖单位章）：                   乙方（盖单位章）：</w:t>
      </w:r>
    </w:p>
    <w:p w14:paraId="76B01374">
      <w:pPr>
        <w:tabs>
          <w:tab w:val="center" w:pos="4500"/>
        </w:tabs>
        <w:spacing w:line="480" w:lineRule="exact"/>
        <w:ind w:firstLine="480"/>
        <w:jc w:val="left"/>
        <w:rPr>
          <w:rFonts w:ascii="仿宋_GB2312" w:hAnsi="仿宋_GB2312" w:cs="仿宋_GB2312"/>
          <w:color w:val="000000" w:themeColor="text1"/>
          <w:sz w:val="24"/>
          <w14:textFill>
            <w14:solidFill>
              <w14:schemeClr w14:val="tx1"/>
            </w14:solidFill>
          </w14:textFill>
        </w:rPr>
      </w:pPr>
    </w:p>
    <w:p w14:paraId="1D5FC05E">
      <w:pPr>
        <w:tabs>
          <w:tab w:val="center" w:pos="4500"/>
        </w:tabs>
        <w:spacing w:line="480" w:lineRule="exact"/>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法定代表人或其授权代理人：          法定代表人或其授权代理人：</w:t>
      </w:r>
    </w:p>
    <w:p w14:paraId="22EC371A">
      <w:pPr>
        <w:tabs>
          <w:tab w:val="center" w:pos="4500"/>
        </w:tabs>
        <w:spacing w:line="480" w:lineRule="exact"/>
        <w:ind w:firstLine="480"/>
        <w:jc w:val="left"/>
        <w:rPr>
          <w:rFonts w:ascii="仿宋_GB2312" w:hAnsi="仿宋_GB2312" w:cs="仿宋_GB2312"/>
          <w:color w:val="000000" w:themeColor="text1"/>
          <w:sz w:val="24"/>
          <w14:textFill>
            <w14:solidFill>
              <w14:schemeClr w14:val="tx1"/>
            </w14:solidFill>
          </w14:textFill>
        </w:rPr>
      </w:pPr>
    </w:p>
    <w:p w14:paraId="02643F78">
      <w:pPr>
        <w:tabs>
          <w:tab w:val="center" w:pos="4500"/>
        </w:tabs>
        <w:spacing w:line="480" w:lineRule="exact"/>
        <w:ind w:firstLine="480"/>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（签字）                           （签字）</w:t>
      </w:r>
    </w:p>
    <w:p w14:paraId="724A4603">
      <w:pPr>
        <w:pStyle w:val="20"/>
        <w:ind w:left="1920" w:firstLine="480"/>
        <w:jc w:val="center"/>
        <w:rPr>
          <w:rFonts w:ascii="仿宋" w:hAnsi="仿宋" w:eastAsia="仿宋" w:cs="仿宋"/>
          <w:color w:val="000000" w:themeColor="text1"/>
          <w14:textFill>
            <w14:solidFill>
              <w14:schemeClr w14:val="tx1"/>
            </w14:solidFill>
          </w14:textFill>
        </w:rPr>
      </w:pPr>
    </w:p>
    <w:p w14:paraId="123591D9">
      <w:pPr>
        <w:pStyle w:val="20"/>
        <w:ind w:left="1920" w:firstLine="480"/>
        <w:jc w:val="center"/>
        <w:rPr>
          <w:rFonts w:ascii="仿宋" w:hAnsi="仿宋" w:eastAsia="仿宋" w:cs="仿宋"/>
          <w:color w:val="000000" w:themeColor="text1"/>
          <w14:textFill>
            <w14:solidFill>
              <w14:schemeClr w14:val="tx1"/>
            </w14:solidFill>
          </w14:textFill>
        </w:rPr>
      </w:pPr>
    </w:p>
    <w:p w14:paraId="460612E7">
      <w:pPr>
        <w:pStyle w:val="20"/>
        <w:ind w:left="0" w:leftChars="0" w:firstLine="480"/>
        <w:rPr>
          <w:rFonts w:ascii="仿宋_GB2312" w:hAnsi="仿宋_GB2312" w:cs="仿宋_GB2312"/>
          <w:bCs/>
          <w:color w:val="000000" w:themeColor="text1"/>
          <w:kern w:val="0"/>
          <w:sz w:val="24"/>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日期：   2025年   月   日               日期：  2025 年    月   日</w:t>
      </w:r>
    </w:p>
    <w:p w14:paraId="36027F72">
      <w:pPr>
        <w:spacing w:line="500" w:lineRule="exact"/>
        <w:ind w:firstLine="0" w:firstLineChars="0"/>
        <w:jc w:val="left"/>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附件：</w:t>
      </w:r>
    </w:p>
    <w:p w14:paraId="4BF3292E">
      <w:pPr>
        <w:spacing w:line="500" w:lineRule="exact"/>
        <w:ind w:firstLine="0" w:firstLineChars="0"/>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四川蜀物兴川物流发展有限公司</w:t>
      </w:r>
    </w:p>
    <w:p w14:paraId="624B0004">
      <w:pPr>
        <w:spacing w:line="500" w:lineRule="exact"/>
        <w:ind w:firstLine="0" w:firstLineChars="0"/>
        <w:jc w:val="center"/>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采购计划确认表</w:t>
      </w:r>
    </w:p>
    <w:p w14:paraId="6F2427FB">
      <w:pPr>
        <w:spacing w:line="500" w:lineRule="exact"/>
        <w:ind w:firstLine="480"/>
        <w:rPr>
          <w:rFonts w:ascii="仿宋_GB2312" w:hAnsi="仿宋_GB2312" w:cs="仿宋_GB2312"/>
          <w:color w:val="000000" w:themeColor="text1"/>
          <w:sz w:val="24"/>
          <w14:textFill>
            <w14:solidFill>
              <w14:schemeClr w14:val="tx1"/>
            </w14:solidFill>
          </w14:textFill>
        </w:rPr>
      </w:pPr>
    </w:p>
    <w:p w14:paraId="00ECB71D">
      <w:pPr>
        <w:spacing w:line="50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致：</w:t>
      </w:r>
      <w:r>
        <w:rPr>
          <w:rFonts w:hint="eastAsia" w:ascii="仿宋_GB2312" w:hAnsi="仿宋_GB2312" w:cs="仿宋_GB2312"/>
          <w:color w:val="000000" w:themeColor="text1"/>
          <w:sz w:val="24"/>
          <w:u w:val="single"/>
          <w14:textFill>
            <w14:solidFill>
              <w14:schemeClr w14:val="tx1"/>
            </w14:solidFill>
          </w14:textFill>
        </w:rPr>
        <w:t xml:space="preserve">             </w:t>
      </w:r>
    </w:p>
    <w:p w14:paraId="17A1CD00">
      <w:pPr>
        <w:wordWrap w:val="0"/>
        <w:spacing w:line="500" w:lineRule="exact"/>
        <w:ind w:firstLine="48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根据贵司与我公司签定的《</w:t>
      </w:r>
      <w:r>
        <w:rPr>
          <w:rFonts w:hint="eastAsia" w:ascii="仿宋_GB2312" w:hAnsi="仿宋_GB2312" w:cs="仿宋_GB2312"/>
          <w:color w:val="000000" w:themeColor="text1"/>
          <w:sz w:val="24"/>
          <w:u w:val="single"/>
          <w14:textFill>
            <w14:solidFill>
              <w14:schemeClr w14:val="tx1"/>
            </w14:solidFill>
          </w14:textFill>
        </w:rPr>
        <w:t xml:space="preserve"> **** </w:t>
      </w:r>
      <w:r>
        <w:rPr>
          <w:rFonts w:hint="eastAsia" w:ascii="仿宋_GB2312" w:hAnsi="仿宋_GB2312" w:cs="仿宋_GB2312"/>
          <w:color w:val="000000" w:themeColor="text1"/>
          <w:sz w:val="24"/>
          <w14:textFill>
            <w14:solidFill>
              <w14:schemeClr w14:val="tx1"/>
            </w14:solidFill>
          </w14:textFill>
        </w:rPr>
        <w:t>合同》（合同号：</w:t>
      </w:r>
      <w:r>
        <w:rPr>
          <w:rFonts w:hint="eastAsia" w:ascii="仿宋_GB2312" w:hAnsi="仿宋_GB2312" w:cs="仿宋_GB2312"/>
          <w:color w:val="000000" w:themeColor="text1"/>
          <w:sz w:val="24"/>
          <w:u w:val="single"/>
          <w14:textFill>
            <w14:solidFill>
              <w14:schemeClr w14:val="tx1"/>
            </w14:solidFill>
          </w14:textFill>
        </w:rPr>
        <w:t>***********</w:t>
      </w:r>
      <w:r>
        <w:rPr>
          <w:rFonts w:hint="eastAsia" w:ascii="仿宋_GB2312" w:hAnsi="仿宋_GB2312" w:cs="仿宋_GB2312"/>
          <w:color w:val="000000" w:themeColor="text1"/>
          <w:sz w:val="24"/>
          <w14:textFill>
            <w14:solidFill>
              <w14:schemeClr w14:val="tx1"/>
            </w14:solidFill>
          </w14:textFill>
        </w:rPr>
        <w:t>)，现将我公司批次采购计划发给贵司，请贵司盖章确认后按时将货物送至指定地点并交我司指定收货人签收。</w:t>
      </w:r>
    </w:p>
    <w:p w14:paraId="3AE633BE">
      <w:pPr>
        <w:spacing w:line="500" w:lineRule="exact"/>
        <w:ind w:left="570" w:firstLine="0" w:firstLineChars="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一、货物名称、规格型号、数量、单价等，详见下表</w:t>
      </w:r>
    </w:p>
    <w:tbl>
      <w:tblPr>
        <w:tblStyle w:val="21"/>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70"/>
        <w:gridCol w:w="1813"/>
        <w:gridCol w:w="1337"/>
        <w:gridCol w:w="1352"/>
        <w:gridCol w:w="1027"/>
        <w:gridCol w:w="1181"/>
        <w:gridCol w:w="1022"/>
      </w:tblGrid>
      <w:tr w14:paraId="57E0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2" w:hRule="atLeast"/>
          <w:jc w:val="center"/>
        </w:trPr>
        <w:tc>
          <w:tcPr>
            <w:tcW w:w="970" w:type="dxa"/>
            <w:tcBorders>
              <w:tl2br w:val="nil"/>
              <w:tr2bl w:val="nil"/>
            </w:tcBorders>
            <w:shd w:val="clear" w:color="auto" w:fill="FFFFFF"/>
            <w:vAlign w:val="center"/>
          </w:tcPr>
          <w:p w14:paraId="15628A08">
            <w:pPr>
              <w:widowControl/>
              <w:kinsoku w:val="0"/>
              <w:autoSpaceDE w:val="0"/>
              <w:autoSpaceDN w:val="0"/>
              <w:adjustRightInd w:val="0"/>
              <w:snapToGrid w:val="0"/>
              <w:spacing w:line="240" w:lineRule="auto"/>
              <w:ind w:firstLine="0" w:firstLineChars="0"/>
              <w:jc w:val="center"/>
              <w:textAlignment w:val="center"/>
              <w:rPr>
                <w:rFonts w:ascii="仿宋_GB2312" w:hAnsi="仿宋_GB2312" w:cs="仿宋_GB2312"/>
                <w:b/>
                <w:snapToGrid w:val="0"/>
                <w:color w:val="000000" w:themeColor="text1"/>
                <w:kern w:val="0"/>
                <w:sz w:val="24"/>
                <w:lang w:bidi="ar"/>
                <w14:textFill>
                  <w14:solidFill>
                    <w14:schemeClr w14:val="tx1"/>
                  </w14:solidFill>
                </w14:textFill>
              </w:rPr>
            </w:pPr>
            <w:r>
              <w:rPr>
                <w:rFonts w:hint="eastAsia" w:ascii="仿宋_GB2312" w:hAnsi="仿宋_GB2312" w:cs="仿宋_GB2312"/>
                <w:b/>
                <w:snapToGrid w:val="0"/>
                <w:color w:val="000000" w:themeColor="text1"/>
                <w:kern w:val="0"/>
                <w:sz w:val="24"/>
                <w:lang w:bidi="ar"/>
                <w14:textFill>
                  <w14:solidFill>
                    <w14:schemeClr w14:val="tx1"/>
                  </w14:solidFill>
                </w14:textFill>
              </w:rPr>
              <w:t>序号</w:t>
            </w:r>
          </w:p>
        </w:tc>
        <w:tc>
          <w:tcPr>
            <w:tcW w:w="1813" w:type="dxa"/>
            <w:tcBorders>
              <w:tl2br w:val="nil"/>
              <w:tr2bl w:val="nil"/>
            </w:tcBorders>
            <w:shd w:val="clear" w:color="auto" w:fill="FFFFFF"/>
            <w:vAlign w:val="center"/>
          </w:tcPr>
          <w:p w14:paraId="6A879CC4">
            <w:pPr>
              <w:widowControl/>
              <w:kinsoku w:val="0"/>
              <w:autoSpaceDE w:val="0"/>
              <w:autoSpaceDN w:val="0"/>
              <w:adjustRightInd w:val="0"/>
              <w:snapToGrid w:val="0"/>
              <w:spacing w:line="240" w:lineRule="auto"/>
              <w:ind w:firstLine="0" w:firstLineChars="0"/>
              <w:jc w:val="center"/>
              <w:textAlignment w:val="center"/>
              <w:rPr>
                <w:rFonts w:ascii="仿宋_GB2312" w:hAnsi="仿宋_GB2312" w:cs="仿宋_GB2312"/>
                <w:b/>
                <w:snapToGrid w:val="0"/>
                <w:color w:val="000000" w:themeColor="text1"/>
                <w:kern w:val="0"/>
                <w:sz w:val="24"/>
                <w:lang w:bidi="ar"/>
                <w14:textFill>
                  <w14:solidFill>
                    <w14:schemeClr w14:val="tx1"/>
                  </w14:solidFill>
                </w14:textFill>
              </w:rPr>
            </w:pPr>
            <w:r>
              <w:rPr>
                <w:rFonts w:hint="eastAsia" w:ascii="仿宋_GB2312" w:hAnsi="仿宋_GB2312" w:cs="仿宋_GB2312"/>
                <w:b/>
                <w:snapToGrid w:val="0"/>
                <w:color w:val="000000" w:themeColor="text1"/>
                <w:kern w:val="0"/>
                <w:sz w:val="24"/>
                <w:lang w:bidi="ar"/>
                <w14:textFill>
                  <w14:solidFill>
                    <w14:schemeClr w14:val="tx1"/>
                  </w14:solidFill>
                </w14:textFill>
              </w:rPr>
              <w:t>物资名称</w:t>
            </w:r>
          </w:p>
        </w:tc>
        <w:tc>
          <w:tcPr>
            <w:tcW w:w="1337" w:type="dxa"/>
            <w:tcBorders>
              <w:tl2br w:val="nil"/>
              <w:tr2bl w:val="nil"/>
            </w:tcBorders>
            <w:shd w:val="clear" w:color="auto" w:fill="FFFFFF"/>
            <w:vAlign w:val="center"/>
          </w:tcPr>
          <w:p w14:paraId="5FFD8C2A">
            <w:pPr>
              <w:widowControl/>
              <w:kinsoku w:val="0"/>
              <w:autoSpaceDE w:val="0"/>
              <w:autoSpaceDN w:val="0"/>
              <w:adjustRightInd w:val="0"/>
              <w:snapToGrid w:val="0"/>
              <w:spacing w:line="240" w:lineRule="auto"/>
              <w:ind w:firstLine="0" w:firstLineChars="0"/>
              <w:jc w:val="center"/>
              <w:textAlignment w:val="center"/>
              <w:rPr>
                <w:rFonts w:ascii="仿宋_GB2312" w:hAnsi="仿宋_GB2312" w:cs="仿宋_GB2312"/>
                <w:b/>
                <w:snapToGrid w:val="0"/>
                <w:color w:val="000000" w:themeColor="text1"/>
                <w:kern w:val="0"/>
                <w:sz w:val="24"/>
                <w:lang w:bidi="ar"/>
                <w14:textFill>
                  <w14:solidFill>
                    <w14:schemeClr w14:val="tx1"/>
                  </w14:solidFill>
                </w14:textFill>
              </w:rPr>
            </w:pPr>
            <w:r>
              <w:rPr>
                <w:rFonts w:hint="eastAsia" w:ascii="仿宋_GB2312" w:hAnsi="仿宋_GB2312" w:cs="仿宋_GB2312"/>
                <w:b/>
                <w:snapToGrid w:val="0"/>
                <w:color w:val="000000" w:themeColor="text1"/>
                <w:kern w:val="0"/>
                <w:sz w:val="24"/>
                <w:lang w:bidi="ar"/>
                <w14:textFill>
                  <w14:solidFill>
                    <w14:schemeClr w14:val="tx1"/>
                  </w14:solidFill>
                </w14:textFill>
              </w:rPr>
              <w:t>规格型号</w:t>
            </w:r>
          </w:p>
        </w:tc>
        <w:tc>
          <w:tcPr>
            <w:tcW w:w="1352" w:type="dxa"/>
            <w:tcBorders>
              <w:tl2br w:val="nil"/>
              <w:tr2bl w:val="nil"/>
            </w:tcBorders>
            <w:shd w:val="clear" w:color="auto" w:fill="FFFFFF"/>
            <w:vAlign w:val="center"/>
          </w:tcPr>
          <w:p w14:paraId="747D8A28">
            <w:pPr>
              <w:widowControl/>
              <w:kinsoku w:val="0"/>
              <w:autoSpaceDE w:val="0"/>
              <w:autoSpaceDN w:val="0"/>
              <w:adjustRightInd w:val="0"/>
              <w:snapToGrid w:val="0"/>
              <w:spacing w:line="240" w:lineRule="auto"/>
              <w:ind w:firstLine="0" w:firstLineChars="0"/>
              <w:jc w:val="center"/>
              <w:textAlignment w:val="center"/>
              <w:rPr>
                <w:rFonts w:ascii="仿宋_GB2312" w:hAnsi="仿宋_GB2312" w:cs="仿宋_GB2312"/>
                <w:b/>
                <w:snapToGrid w:val="0"/>
                <w:color w:val="000000" w:themeColor="text1"/>
                <w:kern w:val="0"/>
                <w:sz w:val="24"/>
                <w:lang w:bidi="ar"/>
                <w14:textFill>
                  <w14:solidFill>
                    <w14:schemeClr w14:val="tx1"/>
                  </w14:solidFill>
                </w14:textFill>
              </w:rPr>
            </w:pPr>
            <w:r>
              <w:rPr>
                <w:rFonts w:hint="eastAsia" w:ascii="仿宋_GB2312" w:hAnsi="仿宋_GB2312" w:cs="仿宋_GB2312"/>
                <w:b/>
                <w:snapToGrid w:val="0"/>
                <w:color w:val="000000" w:themeColor="text1"/>
                <w:kern w:val="0"/>
                <w:sz w:val="24"/>
                <w:lang w:bidi="ar"/>
                <w14:textFill>
                  <w14:solidFill>
                    <w14:schemeClr w14:val="tx1"/>
                  </w14:solidFill>
                </w14:textFill>
              </w:rPr>
              <w:t>数量（m³）</w:t>
            </w:r>
          </w:p>
        </w:tc>
        <w:tc>
          <w:tcPr>
            <w:tcW w:w="1027" w:type="dxa"/>
            <w:tcBorders>
              <w:tl2br w:val="nil"/>
              <w:tr2bl w:val="nil"/>
            </w:tcBorders>
            <w:shd w:val="clear" w:color="auto" w:fill="FFFFFF"/>
            <w:vAlign w:val="center"/>
          </w:tcPr>
          <w:p w14:paraId="089CC11A">
            <w:pPr>
              <w:widowControl/>
              <w:kinsoku w:val="0"/>
              <w:autoSpaceDE w:val="0"/>
              <w:autoSpaceDN w:val="0"/>
              <w:adjustRightInd w:val="0"/>
              <w:snapToGrid w:val="0"/>
              <w:spacing w:line="240" w:lineRule="auto"/>
              <w:ind w:firstLine="0" w:firstLineChars="0"/>
              <w:jc w:val="center"/>
              <w:textAlignment w:val="center"/>
              <w:rPr>
                <w:rFonts w:ascii="仿宋_GB2312" w:hAnsi="仿宋_GB2312" w:cs="仿宋_GB2312"/>
                <w:b/>
                <w:snapToGrid w:val="0"/>
                <w:color w:val="000000" w:themeColor="text1"/>
                <w:kern w:val="0"/>
                <w:sz w:val="24"/>
                <w:lang w:bidi="ar"/>
                <w14:textFill>
                  <w14:solidFill>
                    <w14:schemeClr w14:val="tx1"/>
                  </w14:solidFill>
                </w14:textFill>
              </w:rPr>
            </w:pPr>
            <w:r>
              <w:rPr>
                <w:rFonts w:hint="eastAsia" w:ascii="仿宋_GB2312" w:hAnsi="仿宋_GB2312" w:cs="仿宋_GB2312"/>
                <w:b/>
                <w:snapToGrid w:val="0"/>
                <w:color w:val="000000" w:themeColor="text1"/>
                <w:kern w:val="0"/>
                <w:sz w:val="24"/>
                <w:lang w:bidi="ar"/>
                <w14:textFill>
                  <w14:solidFill>
                    <w14:schemeClr w14:val="tx1"/>
                  </w14:solidFill>
                </w14:textFill>
              </w:rPr>
              <w:t>厂家</w:t>
            </w:r>
          </w:p>
        </w:tc>
        <w:tc>
          <w:tcPr>
            <w:tcW w:w="1181" w:type="dxa"/>
            <w:tcBorders>
              <w:tl2br w:val="nil"/>
              <w:tr2bl w:val="nil"/>
            </w:tcBorders>
            <w:shd w:val="clear" w:color="auto" w:fill="FFFFFF"/>
            <w:vAlign w:val="center"/>
          </w:tcPr>
          <w:p w14:paraId="31864B8B">
            <w:pPr>
              <w:widowControl/>
              <w:kinsoku w:val="0"/>
              <w:autoSpaceDE w:val="0"/>
              <w:autoSpaceDN w:val="0"/>
              <w:adjustRightInd w:val="0"/>
              <w:snapToGrid w:val="0"/>
              <w:spacing w:line="240" w:lineRule="auto"/>
              <w:ind w:firstLine="0" w:firstLineChars="0"/>
              <w:jc w:val="center"/>
              <w:textAlignment w:val="center"/>
              <w:rPr>
                <w:rFonts w:ascii="仿宋_GB2312" w:hAnsi="仿宋_GB2312" w:cs="仿宋_GB2312"/>
                <w:b/>
                <w:snapToGrid w:val="0"/>
                <w:color w:val="000000" w:themeColor="text1"/>
                <w:kern w:val="0"/>
                <w:sz w:val="24"/>
                <w:lang w:bidi="ar"/>
                <w14:textFill>
                  <w14:solidFill>
                    <w14:schemeClr w14:val="tx1"/>
                  </w14:solidFill>
                </w14:textFill>
              </w:rPr>
            </w:pPr>
            <w:r>
              <w:rPr>
                <w:rFonts w:hint="eastAsia" w:ascii="仿宋_GB2312" w:hAnsi="仿宋_GB2312" w:cs="仿宋_GB2312"/>
                <w:b/>
                <w:snapToGrid w:val="0"/>
                <w:color w:val="000000" w:themeColor="text1"/>
                <w:kern w:val="0"/>
                <w:sz w:val="24"/>
                <w:lang w:bidi="ar"/>
                <w14:textFill>
                  <w14:solidFill>
                    <w14:schemeClr w14:val="tx1"/>
                  </w14:solidFill>
                </w14:textFill>
              </w:rPr>
              <w:t>含税单价</w:t>
            </w:r>
          </w:p>
          <w:p w14:paraId="0696EF49">
            <w:pPr>
              <w:widowControl/>
              <w:kinsoku w:val="0"/>
              <w:autoSpaceDE w:val="0"/>
              <w:autoSpaceDN w:val="0"/>
              <w:adjustRightInd w:val="0"/>
              <w:snapToGrid w:val="0"/>
              <w:spacing w:line="240" w:lineRule="auto"/>
              <w:ind w:firstLine="0" w:firstLineChars="0"/>
              <w:jc w:val="center"/>
              <w:textAlignment w:val="center"/>
              <w:rPr>
                <w:rFonts w:ascii="仿宋_GB2312" w:hAnsi="仿宋_GB2312" w:cs="仿宋_GB2312"/>
                <w:b/>
                <w:snapToGrid w:val="0"/>
                <w:color w:val="000000" w:themeColor="text1"/>
                <w:kern w:val="0"/>
                <w:sz w:val="24"/>
                <w:lang w:bidi="ar"/>
                <w14:textFill>
                  <w14:solidFill>
                    <w14:schemeClr w14:val="tx1"/>
                  </w14:solidFill>
                </w14:textFill>
              </w:rPr>
            </w:pPr>
            <w:r>
              <w:rPr>
                <w:rFonts w:hint="eastAsia" w:ascii="仿宋_GB2312" w:hAnsi="仿宋_GB2312" w:cs="仿宋_GB2312"/>
                <w:b/>
                <w:snapToGrid w:val="0"/>
                <w:color w:val="000000" w:themeColor="text1"/>
                <w:kern w:val="0"/>
                <w:sz w:val="24"/>
                <w:lang w:bidi="ar"/>
                <w14:textFill>
                  <w14:solidFill>
                    <w14:schemeClr w14:val="tx1"/>
                  </w14:solidFill>
                </w14:textFill>
              </w:rPr>
              <w:t>（元）</w:t>
            </w:r>
          </w:p>
        </w:tc>
        <w:tc>
          <w:tcPr>
            <w:tcW w:w="1022" w:type="dxa"/>
            <w:tcBorders>
              <w:tl2br w:val="nil"/>
              <w:tr2bl w:val="nil"/>
            </w:tcBorders>
            <w:shd w:val="clear" w:color="auto" w:fill="FFFFFF"/>
            <w:vAlign w:val="center"/>
          </w:tcPr>
          <w:p w14:paraId="1193DC83">
            <w:pPr>
              <w:widowControl/>
              <w:kinsoku w:val="0"/>
              <w:autoSpaceDE w:val="0"/>
              <w:autoSpaceDN w:val="0"/>
              <w:adjustRightInd w:val="0"/>
              <w:snapToGrid w:val="0"/>
              <w:spacing w:line="240" w:lineRule="auto"/>
              <w:ind w:firstLine="0" w:firstLineChars="0"/>
              <w:jc w:val="center"/>
              <w:textAlignment w:val="center"/>
              <w:rPr>
                <w:rFonts w:ascii="仿宋_GB2312" w:hAnsi="仿宋_GB2312" w:cs="仿宋_GB2312"/>
                <w:b/>
                <w:snapToGrid w:val="0"/>
                <w:color w:val="000000" w:themeColor="text1"/>
                <w:kern w:val="0"/>
                <w:sz w:val="24"/>
                <w:lang w:bidi="ar"/>
                <w14:textFill>
                  <w14:solidFill>
                    <w14:schemeClr w14:val="tx1"/>
                  </w14:solidFill>
                </w14:textFill>
              </w:rPr>
            </w:pPr>
            <w:r>
              <w:rPr>
                <w:rFonts w:hint="eastAsia" w:ascii="仿宋_GB2312" w:hAnsi="仿宋_GB2312" w:cs="仿宋_GB2312"/>
                <w:b/>
                <w:snapToGrid w:val="0"/>
                <w:color w:val="000000" w:themeColor="text1"/>
                <w:kern w:val="0"/>
                <w:sz w:val="24"/>
                <w:lang w:bidi="ar"/>
                <w14:textFill>
                  <w14:solidFill>
                    <w14:schemeClr w14:val="tx1"/>
                  </w14:solidFill>
                </w14:textFill>
              </w:rPr>
              <w:t>备注</w:t>
            </w:r>
          </w:p>
        </w:tc>
      </w:tr>
      <w:tr w14:paraId="5E65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7" w:hRule="atLeast"/>
          <w:jc w:val="center"/>
        </w:trPr>
        <w:tc>
          <w:tcPr>
            <w:tcW w:w="970" w:type="dxa"/>
            <w:tcBorders>
              <w:tl2br w:val="nil"/>
              <w:tr2bl w:val="nil"/>
            </w:tcBorders>
            <w:shd w:val="clear" w:color="auto" w:fill="FFFFFF"/>
            <w:vAlign w:val="center"/>
          </w:tcPr>
          <w:p w14:paraId="764D3EC8">
            <w:pPr>
              <w:widowControl/>
              <w:kinsoku w:val="0"/>
              <w:autoSpaceDE w:val="0"/>
              <w:autoSpaceDN w:val="0"/>
              <w:adjustRightInd w:val="0"/>
              <w:snapToGrid w:val="0"/>
              <w:spacing w:line="240" w:lineRule="auto"/>
              <w:ind w:firstLine="0" w:firstLineChars="0"/>
              <w:jc w:val="center"/>
              <w:textAlignment w:val="center"/>
              <w:rPr>
                <w:rFonts w:ascii="仿宋_GB2312" w:hAnsi="仿宋_GB2312" w:cs="仿宋_GB2312"/>
                <w:snapToGrid w:val="0"/>
                <w:color w:val="000000" w:themeColor="text1"/>
                <w:kern w:val="0"/>
                <w:sz w:val="24"/>
                <w:lang w:bidi="ar"/>
                <w14:textFill>
                  <w14:solidFill>
                    <w14:schemeClr w14:val="tx1"/>
                  </w14:solidFill>
                </w14:textFill>
              </w:rPr>
            </w:pPr>
            <w:r>
              <w:rPr>
                <w:rFonts w:hint="eastAsia" w:ascii="仿宋_GB2312" w:hAnsi="仿宋_GB2312" w:cs="仿宋_GB2312"/>
                <w:snapToGrid w:val="0"/>
                <w:color w:val="000000" w:themeColor="text1"/>
                <w:kern w:val="0"/>
                <w:sz w:val="24"/>
                <w:lang w:bidi="ar"/>
                <w14:textFill>
                  <w14:solidFill>
                    <w14:schemeClr w14:val="tx1"/>
                  </w14:solidFill>
                </w14:textFill>
              </w:rPr>
              <w:t>1</w:t>
            </w:r>
          </w:p>
        </w:tc>
        <w:tc>
          <w:tcPr>
            <w:tcW w:w="1813" w:type="dxa"/>
            <w:tcBorders>
              <w:tl2br w:val="nil"/>
              <w:tr2bl w:val="nil"/>
            </w:tcBorders>
            <w:shd w:val="clear" w:color="auto" w:fill="FFFFFF"/>
            <w:vAlign w:val="center"/>
          </w:tcPr>
          <w:p w14:paraId="0C369372">
            <w:pPr>
              <w:widowControl/>
              <w:ind w:firstLine="480"/>
              <w:jc w:val="center"/>
              <w:textAlignment w:val="center"/>
              <w:rPr>
                <w:rFonts w:ascii="仿宋_GB2312" w:hAnsi="仿宋_GB2312" w:cs="仿宋_GB2312"/>
                <w:color w:val="000000" w:themeColor="text1"/>
                <w:kern w:val="0"/>
                <w:sz w:val="24"/>
                <w:lang w:bidi="ar"/>
                <w14:textFill>
                  <w14:solidFill>
                    <w14:schemeClr w14:val="tx1"/>
                  </w14:solidFill>
                </w14:textFill>
              </w:rPr>
            </w:pPr>
          </w:p>
        </w:tc>
        <w:tc>
          <w:tcPr>
            <w:tcW w:w="1337" w:type="dxa"/>
            <w:tcBorders>
              <w:tl2br w:val="nil"/>
              <w:tr2bl w:val="nil"/>
            </w:tcBorders>
            <w:shd w:val="clear" w:color="auto" w:fill="FFFFFF"/>
            <w:vAlign w:val="center"/>
          </w:tcPr>
          <w:p w14:paraId="14539ED7">
            <w:pPr>
              <w:widowControl/>
              <w:ind w:firstLine="480"/>
              <w:jc w:val="center"/>
              <w:textAlignment w:val="center"/>
              <w:rPr>
                <w:rFonts w:ascii="仿宋_GB2312" w:hAnsi="仿宋_GB2312" w:cs="仿宋_GB2312"/>
                <w:color w:val="000000" w:themeColor="text1"/>
                <w:kern w:val="0"/>
                <w:sz w:val="24"/>
                <w:lang w:bidi="ar"/>
                <w14:textFill>
                  <w14:solidFill>
                    <w14:schemeClr w14:val="tx1"/>
                  </w14:solidFill>
                </w14:textFill>
              </w:rPr>
            </w:pPr>
          </w:p>
        </w:tc>
        <w:tc>
          <w:tcPr>
            <w:tcW w:w="1352" w:type="dxa"/>
            <w:tcBorders>
              <w:tl2br w:val="nil"/>
              <w:tr2bl w:val="nil"/>
            </w:tcBorders>
            <w:shd w:val="clear" w:color="auto" w:fill="FFFFFF"/>
            <w:vAlign w:val="center"/>
          </w:tcPr>
          <w:p w14:paraId="2602FF41">
            <w:pPr>
              <w:widowControl/>
              <w:ind w:firstLine="480"/>
              <w:jc w:val="center"/>
              <w:textAlignment w:val="center"/>
              <w:rPr>
                <w:rFonts w:ascii="仿宋_GB2312" w:hAnsi="仿宋_GB2312" w:cs="仿宋_GB2312"/>
                <w:color w:val="000000" w:themeColor="text1"/>
                <w:sz w:val="24"/>
                <w14:textFill>
                  <w14:solidFill>
                    <w14:schemeClr w14:val="tx1"/>
                  </w14:solidFill>
                </w14:textFill>
              </w:rPr>
            </w:pPr>
          </w:p>
        </w:tc>
        <w:tc>
          <w:tcPr>
            <w:tcW w:w="1027" w:type="dxa"/>
            <w:tcBorders>
              <w:tl2br w:val="nil"/>
              <w:tr2bl w:val="nil"/>
            </w:tcBorders>
            <w:shd w:val="clear" w:color="auto" w:fill="FFFFFF"/>
            <w:vAlign w:val="center"/>
          </w:tcPr>
          <w:p w14:paraId="15422CAB">
            <w:pPr>
              <w:widowControl/>
              <w:ind w:firstLine="240" w:firstLineChars="100"/>
              <w:textAlignment w:val="center"/>
              <w:rPr>
                <w:rFonts w:ascii="仿宋_GB2312" w:hAnsi="仿宋_GB2312" w:cs="仿宋_GB2312"/>
                <w:color w:val="000000" w:themeColor="text1"/>
                <w:sz w:val="24"/>
                <w14:textFill>
                  <w14:solidFill>
                    <w14:schemeClr w14:val="tx1"/>
                  </w14:solidFill>
                </w14:textFill>
              </w:rPr>
            </w:pPr>
          </w:p>
        </w:tc>
        <w:tc>
          <w:tcPr>
            <w:tcW w:w="1181" w:type="dxa"/>
            <w:tcBorders>
              <w:tl2br w:val="nil"/>
              <w:tr2bl w:val="nil"/>
            </w:tcBorders>
            <w:shd w:val="clear" w:color="auto" w:fill="FFFFFF"/>
            <w:vAlign w:val="center"/>
          </w:tcPr>
          <w:p w14:paraId="0FB4DD7D">
            <w:pPr>
              <w:widowControl/>
              <w:ind w:firstLine="480"/>
              <w:jc w:val="center"/>
              <w:textAlignment w:val="center"/>
              <w:rPr>
                <w:rFonts w:ascii="仿宋_GB2312" w:hAnsi="仿宋_GB2312" w:cs="仿宋_GB2312"/>
                <w:color w:val="000000" w:themeColor="text1"/>
                <w:sz w:val="24"/>
                <w14:textFill>
                  <w14:solidFill>
                    <w14:schemeClr w14:val="tx1"/>
                  </w14:solidFill>
                </w14:textFill>
              </w:rPr>
            </w:pPr>
          </w:p>
        </w:tc>
        <w:tc>
          <w:tcPr>
            <w:tcW w:w="1022" w:type="dxa"/>
            <w:tcBorders>
              <w:tl2br w:val="nil"/>
              <w:tr2bl w:val="nil"/>
            </w:tcBorders>
            <w:shd w:val="clear" w:color="auto" w:fill="FFFFFF"/>
            <w:vAlign w:val="center"/>
          </w:tcPr>
          <w:p w14:paraId="3C9B0301">
            <w:pPr>
              <w:widowControl/>
              <w:ind w:firstLine="480"/>
              <w:jc w:val="center"/>
              <w:textAlignment w:val="center"/>
              <w:rPr>
                <w:rFonts w:ascii="仿宋_GB2312" w:hAnsi="仿宋_GB2312" w:cs="仿宋_GB2312"/>
                <w:color w:val="000000" w:themeColor="text1"/>
                <w:sz w:val="24"/>
                <w14:textFill>
                  <w14:solidFill>
                    <w14:schemeClr w14:val="tx1"/>
                  </w14:solidFill>
                </w14:textFill>
              </w:rPr>
            </w:pPr>
          </w:p>
        </w:tc>
      </w:tr>
      <w:tr w14:paraId="0006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7" w:hRule="atLeast"/>
          <w:jc w:val="center"/>
        </w:trPr>
        <w:tc>
          <w:tcPr>
            <w:tcW w:w="970" w:type="dxa"/>
            <w:tcBorders>
              <w:tl2br w:val="nil"/>
              <w:tr2bl w:val="nil"/>
            </w:tcBorders>
            <w:shd w:val="clear" w:color="auto" w:fill="FFFFFF"/>
            <w:vAlign w:val="center"/>
          </w:tcPr>
          <w:p w14:paraId="59B80EEF">
            <w:pPr>
              <w:widowControl/>
              <w:kinsoku w:val="0"/>
              <w:autoSpaceDE w:val="0"/>
              <w:autoSpaceDN w:val="0"/>
              <w:adjustRightInd w:val="0"/>
              <w:snapToGrid w:val="0"/>
              <w:spacing w:line="240" w:lineRule="auto"/>
              <w:ind w:firstLine="0" w:firstLineChars="0"/>
              <w:jc w:val="center"/>
              <w:textAlignment w:val="center"/>
              <w:rPr>
                <w:rFonts w:ascii="仿宋_GB2312" w:hAnsi="仿宋_GB2312" w:cs="仿宋_GB2312"/>
                <w:snapToGrid w:val="0"/>
                <w:color w:val="000000" w:themeColor="text1"/>
                <w:kern w:val="0"/>
                <w:sz w:val="24"/>
                <w:lang w:bidi="ar"/>
                <w14:textFill>
                  <w14:solidFill>
                    <w14:schemeClr w14:val="tx1"/>
                  </w14:solidFill>
                </w14:textFill>
              </w:rPr>
            </w:pPr>
            <w:r>
              <w:rPr>
                <w:rFonts w:hint="eastAsia" w:ascii="仿宋_GB2312" w:hAnsi="仿宋_GB2312" w:cs="仿宋_GB2312"/>
                <w:snapToGrid w:val="0"/>
                <w:color w:val="000000" w:themeColor="text1"/>
                <w:kern w:val="0"/>
                <w:sz w:val="24"/>
                <w:lang w:bidi="ar"/>
                <w14:textFill>
                  <w14:solidFill>
                    <w14:schemeClr w14:val="tx1"/>
                  </w14:solidFill>
                </w14:textFill>
              </w:rPr>
              <w:t>2</w:t>
            </w:r>
          </w:p>
        </w:tc>
        <w:tc>
          <w:tcPr>
            <w:tcW w:w="1813" w:type="dxa"/>
            <w:tcBorders>
              <w:tl2br w:val="nil"/>
              <w:tr2bl w:val="nil"/>
            </w:tcBorders>
            <w:shd w:val="clear" w:color="auto" w:fill="FFFFFF"/>
            <w:vAlign w:val="center"/>
          </w:tcPr>
          <w:p w14:paraId="0A1F8423">
            <w:pPr>
              <w:widowControl/>
              <w:ind w:firstLine="480"/>
              <w:jc w:val="center"/>
              <w:textAlignment w:val="center"/>
              <w:rPr>
                <w:rFonts w:ascii="仿宋_GB2312" w:hAnsi="仿宋_GB2312" w:cs="仿宋_GB2312"/>
                <w:color w:val="000000" w:themeColor="text1"/>
                <w:kern w:val="0"/>
                <w:sz w:val="24"/>
                <w:lang w:bidi="ar"/>
                <w14:textFill>
                  <w14:solidFill>
                    <w14:schemeClr w14:val="tx1"/>
                  </w14:solidFill>
                </w14:textFill>
              </w:rPr>
            </w:pPr>
          </w:p>
        </w:tc>
        <w:tc>
          <w:tcPr>
            <w:tcW w:w="1337" w:type="dxa"/>
            <w:tcBorders>
              <w:tl2br w:val="nil"/>
              <w:tr2bl w:val="nil"/>
            </w:tcBorders>
            <w:shd w:val="clear" w:color="auto" w:fill="FFFFFF"/>
            <w:vAlign w:val="center"/>
          </w:tcPr>
          <w:p w14:paraId="1DC8C5FF">
            <w:pPr>
              <w:widowControl/>
              <w:ind w:firstLine="480"/>
              <w:jc w:val="center"/>
              <w:textAlignment w:val="center"/>
              <w:rPr>
                <w:rFonts w:ascii="仿宋_GB2312" w:hAnsi="仿宋_GB2312" w:cs="仿宋_GB2312"/>
                <w:color w:val="000000" w:themeColor="text1"/>
                <w:kern w:val="0"/>
                <w:sz w:val="24"/>
                <w:lang w:bidi="ar"/>
                <w14:textFill>
                  <w14:solidFill>
                    <w14:schemeClr w14:val="tx1"/>
                  </w14:solidFill>
                </w14:textFill>
              </w:rPr>
            </w:pPr>
          </w:p>
        </w:tc>
        <w:tc>
          <w:tcPr>
            <w:tcW w:w="1352" w:type="dxa"/>
            <w:tcBorders>
              <w:tl2br w:val="nil"/>
              <w:tr2bl w:val="nil"/>
            </w:tcBorders>
            <w:shd w:val="clear" w:color="auto" w:fill="FFFFFF"/>
            <w:vAlign w:val="center"/>
          </w:tcPr>
          <w:p w14:paraId="72ED1FEC">
            <w:pPr>
              <w:widowControl/>
              <w:ind w:firstLine="480"/>
              <w:jc w:val="center"/>
              <w:textAlignment w:val="center"/>
              <w:rPr>
                <w:rFonts w:ascii="仿宋_GB2312" w:hAnsi="仿宋_GB2312" w:cs="仿宋_GB2312"/>
                <w:color w:val="000000" w:themeColor="text1"/>
                <w:sz w:val="24"/>
                <w14:textFill>
                  <w14:solidFill>
                    <w14:schemeClr w14:val="tx1"/>
                  </w14:solidFill>
                </w14:textFill>
              </w:rPr>
            </w:pPr>
          </w:p>
        </w:tc>
        <w:tc>
          <w:tcPr>
            <w:tcW w:w="1027" w:type="dxa"/>
            <w:tcBorders>
              <w:tl2br w:val="nil"/>
              <w:tr2bl w:val="nil"/>
            </w:tcBorders>
            <w:shd w:val="clear" w:color="auto" w:fill="FFFFFF"/>
            <w:vAlign w:val="center"/>
          </w:tcPr>
          <w:p w14:paraId="1A2A5F82">
            <w:pPr>
              <w:widowControl/>
              <w:ind w:firstLine="480"/>
              <w:jc w:val="center"/>
              <w:textAlignment w:val="center"/>
              <w:rPr>
                <w:rFonts w:ascii="仿宋_GB2312" w:hAnsi="仿宋_GB2312" w:cs="仿宋_GB2312"/>
                <w:color w:val="000000" w:themeColor="text1"/>
                <w:sz w:val="24"/>
                <w14:textFill>
                  <w14:solidFill>
                    <w14:schemeClr w14:val="tx1"/>
                  </w14:solidFill>
                </w14:textFill>
              </w:rPr>
            </w:pPr>
          </w:p>
        </w:tc>
        <w:tc>
          <w:tcPr>
            <w:tcW w:w="1181" w:type="dxa"/>
            <w:tcBorders>
              <w:tl2br w:val="nil"/>
              <w:tr2bl w:val="nil"/>
            </w:tcBorders>
            <w:shd w:val="clear" w:color="auto" w:fill="FFFFFF"/>
            <w:vAlign w:val="center"/>
          </w:tcPr>
          <w:p w14:paraId="71219AEA">
            <w:pPr>
              <w:widowControl/>
              <w:ind w:firstLine="480"/>
              <w:jc w:val="center"/>
              <w:textAlignment w:val="center"/>
              <w:rPr>
                <w:rFonts w:ascii="仿宋_GB2312" w:hAnsi="仿宋_GB2312" w:cs="仿宋_GB2312"/>
                <w:color w:val="000000" w:themeColor="text1"/>
                <w:sz w:val="24"/>
                <w14:textFill>
                  <w14:solidFill>
                    <w14:schemeClr w14:val="tx1"/>
                  </w14:solidFill>
                </w14:textFill>
              </w:rPr>
            </w:pPr>
          </w:p>
        </w:tc>
        <w:tc>
          <w:tcPr>
            <w:tcW w:w="1022" w:type="dxa"/>
            <w:tcBorders>
              <w:tl2br w:val="nil"/>
              <w:tr2bl w:val="nil"/>
            </w:tcBorders>
            <w:shd w:val="clear" w:color="auto" w:fill="FFFFFF"/>
            <w:vAlign w:val="center"/>
          </w:tcPr>
          <w:p w14:paraId="40D0490B">
            <w:pPr>
              <w:widowControl/>
              <w:ind w:firstLine="480"/>
              <w:jc w:val="center"/>
              <w:textAlignment w:val="center"/>
              <w:rPr>
                <w:rFonts w:ascii="仿宋_GB2312" w:hAnsi="仿宋_GB2312" w:cs="仿宋_GB2312"/>
                <w:color w:val="000000" w:themeColor="text1"/>
                <w:sz w:val="24"/>
                <w14:textFill>
                  <w14:solidFill>
                    <w14:schemeClr w14:val="tx1"/>
                  </w14:solidFill>
                </w14:textFill>
              </w:rPr>
            </w:pPr>
          </w:p>
        </w:tc>
      </w:tr>
      <w:tr w14:paraId="1A92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7" w:hRule="atLeast"/>
          <w:jc w:val="center"/>
        </w:trPr>
        <w:tc>
          <w:tcPr>
            <w:tcW w:w="970" w:type="dxa"/>
            <w:tcBorders>
              <w:tl2br w:val="nil"/>
              <w:tr2bl w:val="nil"/>
            </w:tcBorders>
            <w:shd w:val="clear" w:color="auto" w:fill="FFFFFF"/>
            <w:vAlign w:val="center"/>
          </w:tcPr>
          <w:p w14:paraId="0ED56BFE">
            <w:pPr>
              <w:widowControl/>
              <w:kinsoku w:val="0"/>
              <w:autoSpaceDE w:val="0"/>
              <w:autoSpaceDN w:val="0"/>
              <w:adjustRightInd w:val="0"/>
              <w:snapToGrid w:val="0"/>
              <w:spacing w:line="240" w:lineRule="auto"/>
              <w:ind w:firstLine="0" w:firstLineChars="0"/>
              <w:jc w:val="center"/>
              <w:textAlignment w:val="center"/>
              <w:rPr>
                <w:rFonts w:ascii="仿宋_GB2312" w:hAnsi="仿宋_GB2312" w:cs="仿宋_GB2312"/>
                <w:snapToGrid w:val="0"/>
                <w:color w:val="000000" w:themeColor="text1"/>
                <w:kern w:val="0"/>
                <w:sz w:val="24"/>
                <w:lang w:bidi="ar"/>
                <w14:textFill>
                  <w14:solidFill>
                    <w14:schemeClr w14:val="tx1"/>
                  </w14:solidFill>
                </w14:textFill>
              </w:rPr>
            </w:pPr>
            <w:r>
              <w:rPr>
                <w:rFonts w:hint="eastAsia" w:ascii="仿宋_GB2312" w:hAnsi="仿宋_GB2312" w:cs="仿宋_GB2312"/>
                <w:snapToGrid w:val="0"/>
                <w:color w:val="000000" w:themeColor="text1"/>
                <w:kern w:val="0"/>
                <w:sz w:val="24"/>
                <w:lang w:bidi="ar"/>
                <w14:textFill>
                  <w14:solidFill>
                    <w14:schemeClr w14:val="tx1"/>
                  </w14:solidFill>
                </w14:textFill>
              </w:rPr>
              <w:t>3</w:t>
            </w:r>
          </w:p>
        </w:tc>
        <w:tc>
          <w:tcPr>
            <w:tcW w:w="1813" w:type="dxa"/>
            <w:tcBorders>
              <w:tl2br w:val="nil"/>
              <w:tr2bl w:val="nil"/>
            </w:tcBorders>
            <w:shd w:val="clear" w:color="auto" w:fill="FFFFFF"/>
            <w:vAlign w:val="center"/>
          </w:tcPr>
          <w:p w14:paraId="7BE291A4">
            <w:pPr>
              <w:widowControl/>
              <w:ind w:firstLine="480"/>
              <w:jc w:val="center"/>
              <w:textAlignment w:val="center"/>
              <w:rPr>
                <w:rFonts w:ascii="仿宋_GB2312" w:hAnsi="仿宋_GB2312" w:cs="仿宋_GB2312"/>
                <w:color w:val="000000" w:themeColor="text1"/>
                <w:kern w:val="0"/>
                <w:sz w:val="24"/>
                <w:lang w:bidi="ar"/>
                <w14:textFill>
                  <w14:solidFill>
                    <w14:schemeClr w14:val="tx1"/>
                  </w14:solidFill>
                </w14:textFill>
              </w:rPr>
            </w:pPr>
          </w:p>
        </w:tc>
        <w:tc>
          <w:tcPr>
            <w:tcW w:w="1337" w:type="dxa"/>
            <w:tcBorders>
              <w:tl2br w:val="nil"/>
              <w:tr2bl w:val="nil"/>
            </w:tcBorders>
            <w:shd w:val="clear" w:color="auto" w:fill="FFFFFF"/>
            <w:vAlign w:val="center"/>
          </w:tcPr>
          <w:p w14:paraId="48BD0EE6">
            <w:pPr>
              <w:widowControl/>
              <w:ind w:firstLine="480"/>
              <w:jc w:val="center"/>
              <w:textAlignment w:val="center"/>
              <w:rPr>
                <w:rFonts w:ascii="仿宋_GB2312" w:hAnsi="仿宋_GB2312" w:cs="仿宋_GB2312"/>
                <w:color w:val="000000" w:themeColor="text1"/>
                <w:kern w:val="0"/>
                <w:sz w:val="24"/>
                <w:lang w:bidi="ar"/>
                <w14:textFill>
                  <w14:solidFill>
                    <w14:schemeClr w14:val="tx1"/>
                  </w14:solidFill>
                </w14:textFill>
              </w:rPr>
            </w:pPr>
          </w:p>
        </w:tc>
        <w:tc>
          <w:tcPr>
            <w:tcW w:w="1352" w:type="dxa"/>
            <w:tcBorders>
              <w:tl2br w:val="nil"/>
              <w:tr2bl w:val="nil"/>
            </w:tcBorders>
            <w:shd w:val="clear" w:color="auto" w:fill="FFFFFF"/>
            <w:vAlign w:val="center"/>
          </w:tcPr>
          <w:p w14:paraId="2D4C0359">
            <w:pPr>
              <w:widowControl/>
              <w:ind w:firstLine="480"/>
              <w:jc w:val="center"/>
              <w:textAlignment w:val="center"/>
              <w:rPr>
                <w:rFonts w:ascii="仿宋_GB2312" w:hAnsi="仿宋_GB2312" w:cs="仿宋_GB2312"/>
                <w:color w:val="000000" w:themeColor="text1"/>
                <w:sz w:val="24"/>
                <w14:textFill>
                  <w14:solidFill>
                    <w14:schemeClr w14:val="tx1"/>
                  </w14:solidFill>
                </w14:textFill>
              </w:rPr>
            </w:pPr>
          </w:p>
        </w:tc>
        <w:tc>
          <w:tcPr>
            <w:tcW w:w="1027" w:type="dxa"/>
            <w:tcBorders>
              <w:tl2br w:val="nil"/>
              <w:tr2bl w:val="nil"/>
            </w:tcBorders>
            <w:shd w:val="clear" w:color="auto" w:fill="FFFFFF"/>
            <w:vAlign w:val="center"/>
          </w:tcPr>
          <w:p w14:paraId="548DDE9C">
            <w:pPr>
              <w:widowControl/>
              <w:ind w:firstLine="240" w:firstLineChars="100"/>
              <w:textAlignment w:val="center"/>
              <w:rPr>
                <w:rFonts w:ascii="仿宋_GB2312" w:hAnsi="仿宋_GB2312" w:cs="仿宋_GB2312"/>
                <w:color w:val="000000" w:themeColor="text1"/>
                <w:sz w:val="24"/>
                <w14:textFill>
                  <w14:solidFill>
                    <w14:schemeClr w14:val="tx1"/>
                  </w14:solidFill>
                </w14:textFill>
              </w:rPr>
            </w:pPr>
          </w:p>
        </w:tc>
        <w:tc>
          <w:tcPr>
            <w:tcW w:w="1181" w:type="dxa"/>
            <w:tcBorders>
              <w:tl2br w:val="nil"/>
              <w:tr2bl w:val="nil"/>
            </w:tcBorders>
            <w:shd w:val="clear" w:color="auto" w:fill="FFFFFF"/>
            <w:vAlign w:val="center"/>
          </w:tcPr>
          <w:p w14:paraId="12B668D2">
            <w:pPr>
              <w:widowControl/>
              <w:ind w:firstLine="480"/>
              <w:jc w:val="center"/>
              <w:textAlignment w:val="center"/>
              <w:rPr>
                <w:rFonts w:ascii="仿宋_GB2312" w:hAnsi="仿宋_GB2312" w:cs="仿宋_GB2312"/>
                <w:color w:val="000000" w:themeColor="text1"/>
                <w:sz w:val="24"/>
                <w14:textFill>
                  <w14:solidFill>
                    <w14:schemeClr w14:val="tx1"/>
                  </w14:solidFill>
                </w14:textFill>
              </w:rPr>
            </w:pPr>
          </w:p>
        </w:tc>
        <w:tc>
          <w:tcPr>
            <w:tcW w:w="1022" w:type="dxa"/>
            <w:tcBorders>
              <w:tl2br w:val="nil"/>
              <w:tr2bl w:val="nil"/>
            </w:tcBorders>
            <w:shd w:val="clear" w:color="auto" w:fill="FFFFFF"/>
            <w:vAlign w:val="center"/>
          </w:tcPr>
          <w:p w14:paraId="5F76B062">
            <w:pPr>
              <w:widowControl/>
              <w:ind w:firstLine="480"/>
              <w:jc w:val="center"/>
              <w:textAlignment w:val="center"/>
              <w:rPr>
                <w:rFonts w:ascii="仿宋_GB2312" w:hAnsi="仿宋_GB2312" w:cs="仿宋_GB2312"/>
                <w:color w:val="000000" w:themeColor="text1"/>
                <w:sz w:val="24"/>
                <w14:textFill>
                  <w14:solidFill>
                    <w14:schemeClr w14:val="tx1"/>
                  </w14:solidFill>
                </w14:textFill>
              </w:rPr>
            </w:pPr>
          </w:p>
        </w:tc>
      </w:tr>
      <w:tr w14:paraId="0D65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9" w:hRule="atLeast"/>
          <w:jc w:val="center"/>
        </w:trPr>
        <w:tc>
          <w:tcPr>
            <w:tcW w:w="970" w:type="dxa"/>
            <w:tcBorders>
              <w:tl2br w:val="nil"/>
              <w:tr2bl w:val="nil"/>
            </w:tcBorders>
            <w:shd w:val="clear" w:color="auto" w:fill="FFFFFF"/>
            <w:vAlign w:val="center"/>
          </w:tcPr>
          <w:p w14:paraId="14646A6E">
            <w:pPr>
              <w:widowControl/>
              <w:kinsoku w:val="0"/>
              <w:autoSpaceDE w:val="0"/>
              <w:autoSpaceDN w:val="0"/>
              <w:adjustRightInd w:val="0"/>
              <w:snapToGrid w:val="0"/>
              <w:spacing w:line="240" w:lineRule="auto"/>
              <w:ind w:firstLine="0" w:firstLineChars="0"/>
              <w:jc w:val="center"/>
              <w:textAlignment w:val="center"/>
              <w:rPr>
                <w:rFonts w:ascii="仿宋_GB2312" w:hAnsi="仿宋_GB2312" w:cs="仿宋_GB2312"/>
                <w:snapToGrid w:val="0"/>
                <w:color w:val="000000" w:themeColor="text1"/>
                <w:kern w:val="0"/>
                <w:sz w:val="24"/>
                <w:lang w:bidi="ar"/>
                <w14:textFill>
                  <w14:solidFill>
                    <w14:schemeClr w14:val="tx1"/>
                  </w14:solidFill>
                </w14:textFill>
              </w:rPr>
            </w:pPr>
            <w:r>
              <w:rPr>
                <w:rFonts w:hint="eastAsia" w:ascii="仿宋_GB2312" w:hAnsi="仿宋_GB2312" w:cs="仿宋_GB2312"/>
                <w:snapToGrid w:val="0"/>
                <w:color w:val="000000" w:themeColor="text1"/>
                <w:kern w:val="0"/>
                <w:sz w:val="24"/>
                <w:lang w:bidi="ar"/>
                <w14:textFill>
                  <w14:solidFill>
                    <w14:schemeClr w14:val="tx1"/>
                  </w14:solidFill>
                </w14:textFill>
              </w:rPr>
              <w:t>合计</w:t>
            </w:r>
          </w:p>
        </w:tc>
        <w:tc>
          <w:tcPr>
            <w:tcW w:w="1813" w:type="dxa"/>
            <w:tcBorders>
              <w:tl2br w:val="nil"/>
              <w:tr2bl w:val="nil"/>
            </w:tcBorders>
            <w:shd w:val="clear" w:color="auto" w:fill="FFFFFF"/>
            <w:vAlign w:val="center"/>
          </w:tcPr>
          <w:p w14:paraId="2A25FC1C">
            <w:pPr>
              <w:widowControl/>
              <w:ind w:firstLine="480"/>
              <w:jc w:val="center"/>
              <w:textAlignment w:val="center"/>
              <w:rPr>
                <w:rFonts w:ascii="仿宋_GB2312" w:hAnsi="仿宋_GB2312" w:cs="仿宋_GB2312"/>
                <w:color w:val="000000" w:themeColor="text1"/>
                <w:kern w:val="0"/>
                <w:sz w:val="24"/>
                <w:lang w:bidi="ar"/>
                <w14:textFill>
                  <w14:solidFill>
                    <w14:schemeClr w14:val="tx1"/>
                  </w14:solidFill>
                </w14:textFill>
              </w:rPr>
            </w:pPr>
          </w:p>
        </w:tc>
        <w:tc>
          <w:tcPr>
            <w:tcW w:w="1337" w:type="dxa"/>
            <w:tcBorders>
              <w:tl2br w:val="nil"/>
              <w:tr2bl w:val="nil"/>
            </w:tcBorders>
            <w:shd w:val="clear" w:color="auto" w:fill="FFFFFF"/>
            <w:vAlign w:val="center"/>
          </w:tcPr>
          <w:p w14:paraId="601ABC56">
            <w:pPr>
              <w:widowControl/>
              <w:ind w:firstLine="480"/>
              <w:jc w:val="center"/>
              <w:textAlignment w:val="center"/>
              <w:rPr>
                <w:rFonts w:ascii="仿宋_GB2312" w:hAnsi="仿宋_GB2312" w:cs="仿宋_GB2312"/>
                <w:color w:val="000000" w:themeColor="text1"/>
                <w:kern w:val="0"/>
                <w:sz w:val="24"/>
                <w:lang w:bidi="ar"/>
                <w14:textFill>
                  <w14:solidFill>
                    <w14:schemeClr w14:val="tx1"/>
                  </w14:solidFill>
                </w14:textFill>
              </w:rPr>
            </w:pPr>
          </w:p>
        </w:tc>
        <w:tc>
          <w:tcPr>
            <w:tcW w:w="1352" w:type="dxa"/>
            <w:tcBorders>
              <w:tl2br w:val="nil"/>
              <w:tr2bl w:val="nil"/>
            </w:tcBorders>
            <w:shd w:val="clear" w:color="auto" w:fill="FFFFFF"/>
            <w:vAlign w:val="center"/>
          </w:tcPr>
          <w:p w14:paraId="23E4C55D">
            <w:pPr>
              <w:widowControl/>
              <w:ind w:firstLine="480"/>
              <w:jc w:val="center"/>
              <w:textAlignment w:val="center"/>
              <w:rPr>
                <w:rFonts w:ascii="仿宋_GB2312" w:hAnsi="仿宋_GB2312" w:cs="仿宋_GB2312"/>
                <w:color w:val="000000" w:themeColor="text1"/>
                <w:sz w:val="24"/>
                <w14:textFill>
                  <w14:solidFill>
                    <w14:schemeClr w14:val="tx1"/>
                  </w14:solidFill>
                </w14:textFill>
              </w:rPr>
            </w:pPr>
          </w:p>
        </w:tc>
        <w:tc>
          <w:tcPr>
            <w:tcW w:w="1027" w:type="dxa"/>
            <w:tcBorders>
              <w:tl2br w:val="nil"/>
              <w:tr2bl w:val="nil"/>
            </w:tcBorders>
            <w:shd w:val="clear" w:color="auto" w:fill="FFFFFF"/>
            <w:vAlign w:val="center"/>
          </w:tcPr>
          <w:p w14:paraId="27427D12">
            <w:pPr>
              <w:ind w:firstLine="480"/>
              <w:jc w:val="center"/>
              <w:rPr>
                <w:rFonts w:ascii="仿宋_GB2312" w:hAnsi="仿宋_GB2312" w:cs="仿宋_GB2312"/>
                <w:color w:val="000000" w:themeColor="text1"/>
                <w:sz w:val="24"/>
                <w14:textFill>
                  <w14:solidFill>
                    <w14:schemeClr w14:val="tx1"/>
                  </w14:solidFill>
                </w14:textFill>
              </w:rPr>
            </w:pPr>
          </w:p>
        </w:tc>
        <w:tc>
          <w:tcPr>
            <w:tcW w:w="1181" w:type="dxa"/>
            <w:tcBorders>
              <w:tl2br w:val="nil"/>
              <w:tr2bl w:val="nil"/>
            </w:tcBorders>
            <w:shd w:val="clear" w:color="auto" w:fill="FFFFFF"/>
            <w:vAlign w:val="center"/>
          </w:tcPr>
          <w:p w14:paraId="59FE98AB">
            <w:pPr>
              <w:widowControl/>
              <w:ind w:firstLine="480"/>
              <w:jc w:val="center"/>
              <w:textAlignment w:val="center"/>
              <w:rPr>
                <w:rFonts w:ascii="仿宋_GB2312" w:hAnsi="仿宋_GB2312" w:cs="仿宋_GB2312"/>
                <w:color w:val="000000" w:themeColor="text1"/>
                <w:sz w:val="24"/>
                <w14:textFill>
                  <w14:solidFill>
                    <w14:schemeClr w14:val="tx1"/>
                  </w14:solidFill>
                </w14:textFill>
              </w:rPr>
            </w:pPr>
          </w:p>
        </w:tc>
        <w:tc>
          <w:tcPr>
            <w:tcW w:w="1022" w:type="dxa"/>
            <w:tcBorders>
              <w:tl2br w:val="nil"/>
              <w:tr2bl w:val="nil"/>
            </w:tcBorders>
            <w:shd w:val="clear" w:color="auto" w:fill="FFFFFF"/>
            <w:vAlign w:val="center"/>
          </w:tcPr>
          <w:p w14:paraId="5009FB26">
            <w:pPr>
              <w:widowControl/>
              <w:ind w:firstLine="480"/>
              <w:jc w:val="center"/>
              <w:textAlignment w:val="center"/>
              <w:rPr>
                <w:rFonts w:ascii="仿宋_GB2312" w:hAnsi="仿宋_GB2312" w:cs="仿宋_GB2312"/>
                <w:color w:val="000000" w:themeColor="text1"/>
                <w:sz w:val="24"/>
                <w14:textFill>
                  <w14:solidFill>
                    <w14:schemeClr w14:val="tx1"/>
                  </w14:solidFill>
                </w14:textFill>
              </w:rPr>
            </w:pPr>
          </w:p>
        </w:tc>
      </w:tr>
    </w:tbl>
    <w:p w14:paraId="2FB39C20">
      <w:pPr>
        <w:spacing w:line="500" w:lineRule="exact"/>
        <w:ind w:left="570" w:firstLine="0" w:firstLineChars="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二、交货地点</w:t>
      </w:r>
      <w:r>
        <w:rPr>
          <w:rFonts w:hint="eastAsia" w:ascii="仿宋_GB2312" w:hAnsi="仿宋_GB2312" w:cs="仿宋_GB2312"/>
          <w:color w:val="000000" w:themeColor="text1"/>
          <w:sz w:val="24"/>
          <w14:textFill>
            <w14:solidFill>
              <w14:schemeClr w14:val="tx1"/>
            </w14:solidFill>
          </w14:textFill>
        </w:rPr>
        <w:t>：**市**区**路**项目现场</w:t>
      </w:r>
    </w:p>
    <w:p w14:paraId="623B4D51">
      <w:pPr>
        <w:spacing w:line="500" w:lineRule="exact"/>
        <w:ind w:left="570" w:firstLine="0" w:firstLineChars="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三、交货时间：</w:t>
      </w:r>
      <w:r>
        <w:rPr>
          <w:rFonts w:hint="eastAsia" w:ascii="仿宋_GB2312" w:hAnsi="仿宋_GB2312" w:cs="仿宋_GB2312"/>
          <w:color w:val="000000" w:themeColor="text1"/>
          <w:sz w:val="24"/>
          <w14:textFill>
            <w14:solidFill>
              <w14:schemeClr w14:val="tx1"/>
            </w14:solidFill>
          </w14:textFill>
        </w:rPr>
        <w:t>2025年*月*日</w:t>
      </w:r>
    </w:p>
    <w:p w14:paraId="0228D36E">
      <w:pPr>
        <w:spacing w:line="500" w:lineRule="exact"/>
        <w:ind w:left="570" w:firstLine="0" w:firstLineChars="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b/>
          <w:bCs/>
          <w:color w:val="000000" w:themeColor="text1"/>
          <w:sz w:val="24"/>
          <w14:textFill>
            <w14:solidFill>
              <w14:schemeClr w14:val="tx1"/>
            </w14:solidFill>
          </w14:textFill>
        </w:rPr>
        <w:t>四、收货联系人</w:t>
      </w:r>
      <w:r>
        <w:rPr>
          <w:rFonts w:hint="eastAsia" w:ascii="仿宋_GB2312" w:hAnsi="仿宋_GB2312" w:cs="仿宋_GB2312"/>
          <w:color w:val="000000" w:themeColor="text1"/>
          <w:sz w:val="24"/>
          <w14:textFill>
            <w14:solidFill>
              <w14:schemeClr w14:val="tx1"/>
            </w14:solidFill>
          </w14:textFill>
        </w:rPr>
        <w:t>：***    联系电话：***</w:t>
      </w:r>
    </w:p>
    <w:p w14:paraId="06E5B397">
      <w:pPr>
        <w:spacing w:before="221" w:beforeLines="50" w:line="500" w:lineRule="exact"/>
        <w:ind w:firstLine="240" w:firstLineChars="10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请贵司盖章确认后及时回传我单位（扫描件具有同等效力），谢谢！</w:t>
      </w:r>
    </w:p>
    <w:p w14:paraId="76CBF1FF">
      <w:pPr>
        <w:spacing w:line="500" w:lineRule="exact"/>
        <w:ind w:firstLine="480"/>
        <w:rPr>
          <w:rFonts w:ascii="仿宋_GB2312" w:hAnsi="仿宋_GB2312" w:cs="仿宋_GB2312"/>
          <w:color w:val="000000" w:themeColor="text1"/>
          <w:sz w:val="24"/>
          <w14:textFill>
            <w14:solidFill>
              <w14:schemeClr w14:val="tx1"/>
            </w14:solidFill>
          </w14:textFill>
        </w:rPr>
      </w:pPr>
    </w:p>
    <w:p w14:paraId="1DB355AA">
      <w:pPr>
        <w:spacing w:line="500" w:lineRule="exact"/>
        <w:ind w:firstLine="480"/>
        <w:rPr>
          <w:rFonts w:ascii="仿宋_GB2312" w:hAnsi="仿宋_GB2312" w:cs="仿宋_GB2312"/>
          <w:color w:val="000000" w:themeColor="text1"/>
          <w:sz w:val="24"/>
          <w14:textFill>
            <w14:solidFill>
              <w14:schemeClr w14:val="tx1"/>
            </w14:solidFill>
          </w14:textFill>
        </w:rPr>
      </w:pPr>
    </w:p>
    <w:p w14:paraId="6DE7A55F">
      <w:pPr>
        <w:spacing w:line="500" w:lineRule="exact"/>
        <w:ind w:firstLine="240" w:firstLineChars="10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 xml:space="preserve">四川蜀物兴川物流发展有限公司     </w:t>
      </w:r>
      <w:r>
        <w:rPr>
          <w:rFonts w:hint="eastAsia" w:ascii="仿宋_GB2312" w:hAnsi="仿宋_GB2312" w:cs="仿宋_GB2312"/>
          <w:color w:val="000000" w:themeColor="text1"/>
          <w:sz w:val="24"/>
          <w:lang w:val="en-US" w:eastAsia="zh-CN"/>
          <w14:textFill>
            <w14:solidFill>
              <w14:schemeClr w14:val="tx1"/>
            </w14:solidFill>
          </w14:textFill>
        </w:rPr>
        <w:t>XXXX</w:t>
      </w:r>
      <w:r>
        <w:rPr>
          <w:rFonts w:hint="eastAsia" w:ascii="仿宋_GB2312" w:hAnsi="仿宋_GB2312" w:cs="仿宋_GB2312"/>
          <w:color w:val="000000" w:themeColor="text1"/>
          <w:sz w:val="24"/>
          <w14:textFill>
            <w14:solidFill>
              <w14:schemeClr w14:val="tx1"/>
            </w14:solidFill>
          </w14:textFill>
        </w:rPr>
        <w:t xml:space="preserve">        </w:t>
      </w:r>
    </w:p>
    <w:p w14:paraId="5CDF1EB6">
      <w:pPr>
        <w:spacing w:line="500" w:lineRule="exact"/>
        <w:ind w:firstLine="240" w:firstLineChars="10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经办人：                         经办人：</w:t>
      </w:r>
    </w:p>
    <w:p w14:paraId="37300793">
      <w:pPr>
        <w:spacing w:line="500" w:lineRule="exact"/>
        <w:ind w:firstLine="240" w:firstLineChars="10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2025年*月*日                     2025年*月*日</w:t>
      </w:r>
    </w:p>
    <w:p w14:paraId="5877D7ED">
      <w:pPr>
        <w:ind w:firstLine="452"/>
        <w:rPr>
          <w:rFonts w:ascii="仿宋_GB2312" w:hAnsi="仿宋_GB2312" w:cs="仿宋_GB2312"/>
          <w:b/>
          <w:bCs/>
          <w:color w:val="000000" w:themeColor="text1"/>
          <w:spacing w:val="-7"/>
          <w:sz w:val="24"/>
          <w14:textFill>
            <w14:solidFill>
              <w14:schemeClr w14:val="tx1"/>
            </w14:solidFill>
          </w14:textFill>
        </w:rPr>
      </w:pPr>
      <w:r>
        <w:rPr>
          <w:rFonts w:hint="eastAsia" w:ascii="仿宋_GB2312" w:hAnsi="仿宋_GB2312" w:cs="仿宋_GB2312"/>
          <w:b/>
          <w:bCs/>
          <w:color w:val="000000" w:themeColor="text1"/>
          <w:spacing w:val="-7"/>
          <w:sz w:val="24"/>
          <w14:textFill>
            <w14:solidFill>
              <w14:schemeClr w14:val="tx1"/>
            </w14:solidFill>
          </w14:textFill>
        </w:rPr>
        <w:br w:type="page"/>
      </w:r>
    </w:p>
    <w:p w14:paraId="3FAFFD9A">
      <w:pPr>
        <w:widowControl/>
        <w:kinsoku w:val="0"/>
        <w:autoSpaceDE w:val="0"/>
        <w:autoSpaceDN w:val="0"/>
        <w:adjustRightInd w:val="0"/>
        <w:snapToGrid w:val="0"/>
        <w:spacing w:line="480" w:lineRule="exact"/>
        <w:ind w:firstLine="0" w:firstLineChars="0"/>
        <w:jc w:val="center"/>
        <w:textAlignment w:val="baseline"/>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pacing w:val="-7"/>
          <w:sz w:val="24"/>
          <w14:textFill>
            <w14:solidFill>
              <w14:schemeClr w14:val="tx1"/>
            </w14:solidFill>
          </w14:textFill>
        </w:rPr>
        <w:t>采购廉洁合同</w:t>
      </w:r>
    </w:p>
    <w:p w14:paraId="065D613B">
      <w:pPr>
        <w:widowControl/>
        <w:kinsoku w:val="0"/>
        <w:autoSpaceDE w:val="0"/>
        <w:autoSpaceDN w:val="0"/>
        <w:adjustRightInd w:val="0"/>
        <w:snapToGrid w:val="0"/>
        <w:spacing w:line="480" w:lineRule="exact"/>
        <w:ind w:firstLine="480"/>
        <w:textAlignment w:val="baseline"/>
        <w:rPr>
          <w:rFonts w:ascii="仿宋_GB2312" w:hAnsi="仿宋_GB2312" w:cs="仿宋_GB2312"/>
          <w:color w:val="000000" w:themeColor="text1"/>
          <w:sz w:val="24"/>
          <w14:textFill>
            <w14:solidFill>
              <w14:schemeClr w14:val="tx1"/>
            </w14:solidFill>
          </w14:textFill>
        </w:rPr>
      </w:pPr>
    </w:p>
    <w:p w14:paraId="3A65B904">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购方单位(甲方):四川蜀物兴川物流发展有限公司</w:t>
      </w:r>
    </w:p>
    <w:p w14:paraId="6257312F">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乙方单位(乙方):</w:t>
      </w:r>
    </w:p>
    <w:p w14:paraId="4103514A">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根据党和国家有关廉洁建设的规定，为做好采购业务活动中的党风廉洁建设工作，保证资金的安全和有效使用，防止业务活动中的不廉行为发生，甲乙双方特订立如下合同。</w:t>
      </w:r>
    </w:p>
    <w:p w14:paraId="297E5102">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第一条  甲乙双方的权利和义务</w:t>
      </w:r>
    </w:p>
    <w:p w14:paraId="288F3C72">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一、严格遵守党的政策和国家有关法律法规，严格执行购销合同文件，自觉按合同办事。</w:t>
      </w:r>
    </w:p>
    <w:p w14:paraId="6E5411A8">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二、建立健全廉洁制度，开展廉洁教育，监督并认真查处违法违纪行为。</w:t>
      </w:r>
    </w:p>
    <w:p w14:paraId="7E5F64A2">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三、发现对方在业务活动中有违反廉洁规定的行为，有及时提醒对方纠正的权利和义务。</w:t>
      </w:r>
    </w:p>
    <w:p w14:paraId="4794A33A">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四、发现对方严重违反本合同义务条款的行为，有向其上级有关部门举报、建议给予处理并要求告知处理结果的权利。</w:t>
      </w:r>
    </w:p>
    <w:p w14:paraId="769F6849">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第二条 甲方的义务</w:t>
      </w:r>
    </w:p>
    <w:p w14:paraId="583D18AD">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一、甲方工作人员要秉公办事，不准营私舞弊，不准利用职权从事各种个人有偿中介活动。</w:t>
      </w:r>
    </w:p>
    <w:p w14:paraId="3C9B70D5">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二、甲方工作人员不得索要或接受乙方的礼金、回扣、有价证券和贵重物品，不得在乙方报销任何应由甲方或个人支付的费用等。</w:t>
      </w:r>
    </w:p>
    <w:p w14:paraId="67F0D9F7">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三、甲方工作人员不得参加乙方安排的超标准宴请和娱乐活动；不得接受乙方提供的通讯工具、交通工具和高档办公用品等。</w:t>
      </w:r>
    </w:p>
    <w:p w14:paraId="160E2C60">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四、甲方工作人员不得要求或者接受乙方为其住房装修、婚丧嫁娶活动、配偶子女的工作安排以及出国、出境旅游等提乙方便等。</w:t>
      </w:r>
    </w:p>
    <w:p w14:paraId="6E7FEA7E">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第三条 乙方的义务</w:t>
      </w:r>
    </w:p>
    <w:p w14:paraId="7AF070DC">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一、乙方不得以任何理由向甲方及其工作人员行贿或馈赠礼金、有价证券、贵重礼品；不得以任何名义为甲方及其工作人员报销应由甲方单位或个人支付的任何费用。</w:t>
      </w:r>
    </w:p>
    <w:p w14:paraId="072BEAED">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二、乙方不得以任何理由安排甲方工作人员参加超标准宴请及娱乐活动。</w:t>
      </w:r>
    </w:p>
    <w:p w14:paraId="0F774712">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三、乙方不得为甲方单位和个人购置或提供通讯工具、交通工具和高档办公用品等。</w:t>
      </w:r>
    </w:p>
    <w:p w14:paraId="208818A1">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四、乙方不得为甲方工作人员住房装修、婚丧嫁娶活动、配偶子女的工作安排以及出国、出境旅游等提乙方便等。</w:t>
      </w:r>
    </w:p>
    <w:p w14:paraId="61DF899B">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第四条 违约责任</w:t>
      </w:r>
    </w:p>
    <w:p w14:paraId="13EA0F90">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一、甲方及其工作人员违反本合同第一、二条，按管理权限，依据有关规定给予党纪、政纪或组织处理；给乙方单位造成经济损失的，应给予赔偿。</w:t>
      </w:r>
    </w:p>
    <w:p w14:paraId="0372BD7D">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二、乙方及其工作人员违反本合同第一、三条，按管理权限，依据有关规定给予党纪、政纪或组织处理；给甲方单位造成经济损失的，应给予赔偿。</w:t>
      </w:r>
    </w:p>
    <w:p w14:paraId="6618A33D">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第五条 双方约定：本合同由双方上级单位的纪检监察机关负责监督执行。</w:t>
      </w:r>
    </w:p>
    <w:p w14:paraId="354C86F6">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第六条 本合同与物资购销合同同时签署，有效期为甲乙双方签署之日起至该购销合同执行完毕为止。</w:t>
      </w:r>
    </w:p>
    <w:p w14:paraId="32825CAB">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第七条 本合同作为物资购销合同的附件，与物资购销合同具有同等的法律效力，经合同双方签署立即生效。</w:t>
      </w:r>
    </w:p>
    <w:p w14:paraId="2693AFD3">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第八条 本合同一式陆份，由甲乙双方各执叁份。</w:t>
      </w:r>
    </w:p>
    <w:p w14:paraId="758D2EE6">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p>
    <w:p w14:paraId="789C7B00">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p>
    <w:p w14:paraId="2043DF40">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甲方单位：(盖章)                乙方单位：(盖章)</w:t>
      </w:r>
    </w:p>
    <w:p w14:paraId="057595F1">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法定代表人                      法定代表人</w:t>
      </w:r>
    </w:p>
    <w:p w14:paraId="45290DA7">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或其授权的代理人：              或其授权的代理人：</w:t>
      </w:r>
    </w:p>
    <w:p w14:paraId="59415AD2">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2025 年    月    日             2025 年   月    日</w:t>
      </w:r>
    </w:p>
    <w:p w14:paraId="5AB5167C">
      <w:pPr>
        <w:ind w:firstLine="0" w:firstLineChars="0"/>
        <w:rPr>
          <w:rFonts w:ascii="仿宋_GB2312" w:hAnsi="仿宋_GB2312" w:cs="仿宋_GB2312"/>
          <w:bCs/>
          <w:color w:val="000000" w:themeColor="text1"/>
          <w:kern w:val="0"/>
          <w:sz w:val="24"/>
          <w14:textFill>
            <w14:solidFill>
              <w14:schemeClr w14:val="tx1"/>
            </w14:solidFill>
          </w14:textFill>
        </w:rPr>
      </w:pPr>
    </w:p>
    <w:p w14:paraId="59D4F542">
      <w:pPr>
        <w:ind w:firstLine="0" w:firstLineChars="0"/>
        <w:rPr>
          <w:rFonts w:ascii="仿宋_GB2312" w:hAnsi="仿宋_GB2312" w:cs="仿宋_GB2312"/>
          <w:bCs/>
          <w:color w:val="000000" w:themeColor="text1"/>
          <w:kern w:val="0"/>
          <w:sz w:val="24"/>
          <w14:textFill>
            <w14:solidFill>
              <w14:schemeClr w14:val="tx1"/>
            </w14:solidFill>
          </w14:textFill>
        </w:rPr>
      </w:pPr>
    </w:p>
    <w:p w14:paraId="7F7715C9">
      <w:pPr>
        <w:ind w:firstLine="0" w:firstLineChars="0"/>
        <w:rPr>
          <w:rFonts w:ascii="仿宋_GB2312" w:hAnsi="仿宋_GB2312" w:cs="仿宋_GB2312"/>
          <w:bCs/>
          <w:color w:val="000000" w:themeColor="text1"/>
          <w:kern w:val="0"/>
          <w:sz w:val="24"/>
          <w14:textFill>
            <w14:solidFill>
              <w14:schemeClr w14:val="tx1"/>
            </w14:solidFill>
          </w14:textFill>
        </w:rPr>
      </w:pPr>
    </w:p>
    <w:p w14:paraId="61DDD359">
      <w:pPr>
        <w:ind w:firstLine="0" w:firstLineChars="0"/>
        <w:rPr>
          <w:rFonts w:ascii="仿宋_GB2312" w:hAnsi="仿宋_GB2312" w:cs="仿宋_GB2312"/>
          <w:bCs/>
          <w:color w:val="000000" w:themeColor="text1"/>
          <w:kern w:val="0"/>
          <w:sz w:val="24"/>
          <w14:textFill>
            <w14:solidFill>
              <w14:schemeClr w14:val="tx1"/>
            </w14:solidFill>
          </w14:textFill>
        </w:rPr>
      </w:pPr>
    </w:p>
    <w:p w14:paraId="4521647A"/>
    <w:sectPr>
      <w:headerReference r:id="rId12" w:type="default"/>
      <w:footerReference r:id="rId13" w:type="default"/>
      <w:pgSz w:w="11905" w:h="16838"/>
      <w:pgMar w:top="1440" w:right="1083" w:bottom="1440" w:left="1083" w:header="850" w:footer="992" w:gutter="0"/>
      <w:cols w:space="0" w:num="1"/>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173F5DA-B4EA-4F9D-B0B2-CE3B65D2D22C}"/>
  </w:font>
  <w:font w:name="黑体">
    <w:panose1 w:val="02010609060101010101"/>
    <w:charset w:val="86"/>
    <w:family w:val="auto"/>
    <w:pitch w:val="default"/>
    <w:sig w:usb0="800002BF" w:usb1="38CF7CFA" w:usb2="00000016" w:usb3="00000000" w:csb0="00040001" w:csb1="00000000"/>
    <w:embedRegular r:id="rId2" w:fontKey="{3A2FA1AD-260D-464F-BB45-62AC8AD3AA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D1EF29B-4DEA-445C-9785-1B85FD5F77F0}"/>
  </w:font>
  <w:font w:name="仿宋_GB2312">
    <w:panose1 w:val="02010609030101010101"/>
    <w:charset w:val="86"/>
    <w:family w:val="modern"/>
    <w:pitch w:val="default"/>
    <w:sig w:usb0="00000001" w:usb1="080E0000" w:usb2="00000000" w:usb3="00000000" w:csb0="00040000" w:csb1="00000000"/>
    <w:embedRegular r:id="rId4" w:fontKey="{B0E44367-80DC-4676-8E53-8A427E9542DD}"/>
  </w:font>
  <w:font w:name="方正小标宋简体">
    <w:panose1 w:val="02000000000000000000"/>
    <w:charset w:val="86"/>
    <w:family w:val="script"/>
    <w:pitch w:val="default"/>
    <w:sig w:usb0="00000001" w:usb1="08000000" w:usb2="00000000" w:usb3="00000000" w:csb0="00040000" w:csb1="00000000"/>
    <w:embedRegular r:id="rId5" w:fontKey="{86A3EC60-C0C8-4B8A-9466-0A128E1246B4}"/>
  </w:font>
  <w:font w:name="KaiTi_GB2312">
    <w:altName w:val="楷体"/>
    <w:panose1 w:val="02010609030101010101"/>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19F" w:csb1="00000000"/>
  </w:font>
  <w:font w:name="Arial Unicode MS">
    <w:altName w:val="Arial"/>
    <w:panose1 w:val="020B0604020202020204"/>
    <w:charset w:val="80"/>
    <w:family w:val="swiss"/>
    <w:pitch w:val="default"/>
    <w:sig w:usb0="00000000" w:usb1="00000000" w:usb2="0000003F" w:usb3="00000000" w:csb0="003F01FF" w:csb1="00000000"/>
  </w:font>
  <w:font w:name="Palatino">
    <w:altName w:val="Palatino Linotype"/>
    <w:panose1 w:val="00000000000000000000"/>
    <w:charset w:val="00"/>
    <w:family w:val="auto"/>
    <w:pitch w:val="default"/>
    <w:sig w:usb0="00000000" w:usb1="00000000" w:usb2="14600000" w:usb3="00000000" w:csb0="00000193" w:csb1="00000000"/>
  </w:font>
  <w:font w:name="Palatino Linotype">
    <w:panose1 w:val="02040502050505030304"/>
    <w:charset w:val="00"/>
    <w:family w:val="auto"/>
    <w:pitch w:val="default"/>
    <w:sig w:usb0="E0000287" w:usb1="40000013" w:usb2="00000000" w:usb3="00000000" w:csb0="2000019F" w:csb1="00000000"/>
  </w:font>
  <w:font w:name="方正楷体_GB2312">
    <w:altName w:val="宋体"/>
    <w:panose1 w:val="020B0604020202020204"/>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embedRegular r:id="rId6" w:fontKey="{6C7DF0F0-D2DE-4FEE-AF64-12CA7B7581FD}"/>
  </w:font>
  <w:font w:name="微软雅黑">
    <w:panose1 w:val="020B0503020204020204"/>
    <w:charset w:val="86"/>
    <w:family w:val="swiss"/>
    <w:pitch w:val="default"/>
    <w:sig w:usb0="80000287" w:usb1="2ACF3C50" w:usb2="00000016" w:usb3="00000000" w:csb0="0004001F" w:csb1="00000000"/>
    <w:embedRegular r:id="rId7" w:fontKey="{9B7E0435-4725-4881-99C9-FFD1CD4574BE}"/>
  </w:font>
  <w:font w:name="等线">
    <w:panose1 w:val="02010600030101010101"/>
    <w:charset w:val="86"/>
    <w:family w:val="auto"/>
    <w:pitch w:val="default"/>
    <w:sig w:usb0="A00002BF" w:usb1="38CF7CFA" w:usb2="00000016" w:usb3="00000000" w:csb0="0004000F" w:csb1="00000000"/>
    <w:embedRegular r:id="rId8" w:fontKey="{8AEB8EB3-6941-47F1-8FB0-5A95536B9088}"/>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5291D">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E9E0">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80FFE">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5F5CB">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DACD7">
                          <w:pPr>
                            <w:pStyle w:val="12"/>
                            <w:ind w:firstLine="36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17DACD7">
                    <w:pPr>
                      <w:pStyle w:val="12"/>
                      <w:ind w:firstLine="36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8CC63">
    <w:pPr>
      <w:spacing w:line="218" w:lineRule="auto"/>
      <w:ind w:left="3835" w:firstLine="340"/>
      <w:rPr>
        <w:rFonts w:ascii="等线" w:hAnsi="等线" w:eastAsia="等线" w:cs="等线"/>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E4612">
                          <w:pPr>
                            <w:pStyle w:val="12"/>
                            <w:ind w:firstLine="360"/>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72E4612">
                    <w:pPr>
                      <w:pStyle w:val="12"/>
                      <w:ind w:firstLine="360"/>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A253">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5D724">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78AD">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EB54A">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9932C"/>
    <w:multiLevelType w:val="singleLevel"/>
    <w:tmpl w:val="AED9932C"/>
    <w:lvl w:ilvl="0" w:tentative="0">
      <w:start w:val="1"/>
      <w:numFmt w:val="chineseCounting"/>
      <w:suff w:val="nothing"/>
      <w:lvlText w:val="%1、"/>
      <w:lvlJc w:val="left"/>
      <w:rPr>
        <w:rFonts w:hint="eastAsia"/>
      </w:rPr>
    </w:lvl>
  </w:abstractNum>
  <w:abstractNum w:abstractNumId="1">
    <w:nsid w:val="D88D6196"/>
    <w:multiLevelType w:val="singleLevel"/>
    <w:tmpl w:val="D88D6196"/>
    <w:lvl w:ilvl="0" w:tentative="0">
      <w:start w:val="1"/>
      <w:numFmt w:val="decimal"/>
      <w:suff w:val="nothing"/>
      <w:lvlText w:val="（%1）"/>
      <w:lvlJc w:val="left"/>
    </w:lvl>
  </w:abstractNum>
  <w:abstractNum w:abstractNumId="2">
    <w:nsid w:val="F0E4ABA1"/>
    <w:multiLevelType w:val="singleLevel"/>
    <w:tmpl w:val="F0E4ABA1"/>
    <w:lvl w:ilvl="0" w:tentative="0">
      <w:start w:val="1"/>
      <w:numFmt w:val="chineseCounting"/>
      <w:suff w:val="nothing"/>
      <w:lvlText w:val="（%1）"/>
      <w:lvlJc w:val="left"/>
      <w:rPr>
        <w:rFonts w:hint="eastAsia"/>
      </w:rPr>
    </w:lvl>
  </w:abstractNum>
  <w:abstractNum w:abstractNumId="3">
    <w:nsid w:val="03229E5A"/>
    <w:multiLevelType w:val="multilevel"/>
    <w:tmpl w:val="03229E5A"/>
    <w:lvl w:ilvl="0" w:tentative="0">
      <w:start w:val="1"/>
      <w:numFmt w:val="chineseCounting"/>
      <w:suff w:val="nothing"/>
      <w:lvlText w:val="第%1章 "/>
      <w:lvlJc w:val="left"/>
      <w:pPr>
        <w:tabs>
          <w:tab w:val="left" w:pos="0"/>
        </w:tabs>
        <w:ind w:left="0" w:firstLine="402"/>
      </w:pPr>
      <w:rPr>
        <w:rFonts w:hint="eastAsia" w:eastAsia="方正小标宋简体"/>
        <w:szCs w:val="32"/>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11D5AD02"/>
    <w:multiLevelType w:val="singleLevel"/>
    <w:tmpl w:val="11D5AD02"/>
    <w:lvl w:ilvl="0" w:tentative="0">
      <w:start w:val="1"/>
      <w:numFmt w:val="chineseCounting"/>
      <w:suff w:val="nothing"/>
      <w:lvlText w:val="%1、"/>
      <w:lvlJc w:val="left"/>
      <w:rPr>
        <w:rFonts w:hint="eastAsia"/>
      </w:rPr>
    </w:lvl>
  </w:abstractNum>
  <w:abstractNum w:abstractNumId="5">
    <w:nsid w:val="2E5F8F9A"/>
    <w:multiLevelType w:val="singleLevel"/>
    <w:tmpl w:val="2E5F8F9A"/>
    <w:lvl w:ilvl="0" w:tentative="0">
      <w:start w:val="1"/>
      <w:numFmt w:val="chineseCounting"/>
      <w:suff w:val="nothing"/>
      <w:lvlText w:val="（%1）"/>
      <w:lvlJc w:val="left"/>
      <w:rPr>
        <w:rFonts w:hint="eastAsia"/>
      </w:rPr>
    </w:lvl>
  </w:abstractNum>
  <w:abstractNum w:abstractNumId="6">
    <w:nsid w:val="33C1BB75"/>
    <w:multiLevelType w:val="singleLevel"/>
    <w:tmpl w:val="33C1BB75"/>
    <w:lvl w:ilvl="0" w:tentative="0">
      <w:start w:val="1"/>
      <w:numFmt w:val="chineseCounting"/>
      <w:suff w:val="nothing"/>
      <w:lvlText w:val="%1、"/>
      <w:lvlJc w:val="left"/>
      <w:rPr>
        <w:rFonts w:hint="eastAsia"/>
      </w:rPr>
    </w:lvl>
  </w:abstractNum>
  <w:num w:numId="1">
    <w:abstractNumId w:val="3"/>
  </w:num>
  <w:num w:numId="2">
    <w:abstractNumId w:val="4"/>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320"/>
  <w:drawingGridVerticalSpacing w:val="22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A77FD3"/>
    <w:rsid w:val="000A7D04"/>
    <w:rsid w:val="000D3187"/>
    <w:rsid w:val="001022BB"/>
    <w:rsid w:val="00321C0C"/>
    <w:rsid w:val="003A2E46"/>
    <w:rsid w:val="003C0D69"/>
    <w:rsid w:val="004750F7"/>
    <w:rsid w:val="00530323"/>
    <w:rsid w:val="005441A9"/>
    <w:rsid w:val="00592825"/>
    <w:rsid w:val="005A3BE6"/>
    <w:rsid w:val="006362C6"/>
    <w:rsid w:val="00686D46"/>
    <w:rsid w:val="006B706F"/>
    <w:rsid w:val="00727811"/>
    <w:rsid w:val="00763FD1"/>
    <w:rsid w:val="007A634D"/>
    <w:rsid w:val="007B4D94"/>
    <w:rsid w:val="007F42B6"/>
    <w:rsid w:val="00844C12"/>
    <w:rsid w:val="00856399"/>
    <w:rsid w:val="00861C74"/>
    <w:rsid w:val="00980C4A"/>
    <w:rsid w:val="009D542B"/>
    <w:rsid w:val="00A35471"/>
    <w:rsid w:val="00A63D6B"/>
    <w:rsid w:val="00A77FD3"/>
    <w:rsid w:val="00A91652"/>
    <w:rsid w:val="00A96820"/>
    <w:rsid w:val="00AA2146"/>
    <w:rsid w:val="00AB7610"/>
    <w:rsid w:val="00B07A85"/>
    <w:rsid w:val="00B54869"/>
    <w:rsid w:val="00BF672C"/>
    <w:rsid w:val="00C04F0B"/>
    <w:rsid w:val="00C24D77"/>
    <w:rsid w:val="00D1541D"/>
    <w:rsid w:val="00DC5ECD"/>
    <w:rsid w:val="00E74A56"/>
    <w:rsid w:val="00EA2672"/>
    <w:rsid w:val="00EB17CF"/>
    <w:rsid w:val="00EC6430"/>
    <w:rsid w:val="00F13286"/>
    <w:rsid w:val="00F455A2"/>
    <w:rsid w:val="01222126"/>
    <w:rsid w:val="01BB5DC4"/>
    <w:rsid w:val="02413B50"/>
    <w:rsid w:val="035311E5"/>
    <w:rsid w:val="035D3490"/>
    <w:rsid w:val="037E4FBC"/>
    <w:rsid w:val="03B92AB8"/>
    <w:rsid w:val="04F132AC"/>
    <w:rsid w:val="05603F5D"/>
    <w:rsid w:val="0639523F"/>
    <w:rsid w:val="070F325E"/>
    <w:rsid w:val="077839A8"/>
    <w:rsid w:val="0BBF43C3"/>
    <w:rsid w:val="0BCE78B4"/>
    <w:rsid w:val="0C6E47B5"/>
    <w:rsid w:val="0CE560AB"/>
    <w:rsid w:val="0E063CF7"/>
    <w:rsid w:val="0E4A0D0C"/>
    <w:rsid w:val="0FA25D23"/>
    <w:rsid w:val="10306921"/>
    <w:rsid w:val="10F87708"/>
    <w:rsid w:val="11203191"/>
    <w:rsid w:val="11620DC3"/>
    <w:rsid w:val="123D5964"/>
    <w:rsid w:val="124149C1"/>
    <w:rsid w:val="132A0321"/>
    <w:rsid w:val="134F427F"/>
    <w:rsid w:val="137032F9"/>
    <w:rsid w:val="13A94B5C"/>
    <w:rsid w:val="13E84254"/>
    <w:rsid w:val="14C75C88"/>
    <w:rsid w:val="15292B36"/>
    <w:rsid w:val="18BF5A03"/>
    <w:rsid w:val="18F169BC"/>
    <w:rsid w:val="19973DB9"/>
    <w:rsid w:val="1AD71D73"/>
    <w:rsid w:val="1B0A16A2"/>
    <w:rsid w:val="1B247DAC"/>
    <w:rsid w:val="1BCB78D9"/>
    <w:rsid w:val="1CF23CE0"/>
    <w:rsid w:val="1FB8426D"/>
    <w:rsid w:val="205A570A"/>
    <w:rsid w:val="207E2F0F"/>
    <w:rsid w:val="2081315F"/>
    <w:rsid w:val="20C84A0E"/>
    <w:rsid w:val="214A5FAC"/>
    <w:rsid w:val="21595EB1"/>
    <w:rsid w:val="22142F02"/>
    <w:rsid w:val="23312E0D"/>
    <w:rsid w:val="23A56423"/>
    <w:rsid w:val="259059C1"/>
    <w:rsid w:val="259E5C58"/>
    <w:rsid w:val="2609130B"/>
    <w:rsid w:val="26A4094E"/>
    <w:rsid w:val="298B77CB"/>
    <w:rsid w:val="29C9048F"/>
    <w:rsid w:val="29EC23D0"/>
    <w:rsid w:val="2A347ABE"/>
    <w:rsid w:val="2B1E1529"/>
    <w:rsid w:val="2C6D2AD9"/>
    <w:rsid w:val="2CB93900"/>
    <w:rsid w:val="2D0610CC"/>
    <w:rsid w:val="2D1F0E92"/>
    <w:rsid w:val="311E15E5"/>
    <w:rsid w:val="32236BAB"/>
    <w:rsid w:val="325D030E"/>
    <w:rsid w:val="335873A3"/>
    <w:rsid w:val="35E610D8"/>
    <w:rsid w:val="361A23CB"/>
    <w:rsid w:val="36A57137"/>
    <w:rsid w:val="370B4CEA"/>
    <w:rsid w:val="37D662B3"/>
    <w:rsid w:val="38213B7C"/>
    <w:rsid w:val="39355B41"/>
    <w:rsid w:val="3A06128C"/>
    <w:rsid w:val="3A3D5D91"/>
    <w:rsid w:val="3A7644A5"/>
    <w:rsid w:val="3AA52A6C"/>
    <w:rsid w:val="3BD21F3A"/>
    <w:rsid w:val="3C3B0E7F"/>
    <w:rsid w:val="3C6E2659"/>
    <w:rsid w:val="3D79358A"/>
    <w:rsid w:val="3DA46DF1"/>
    <w:rsid w:val="3E624307"/>
    <w:rsid w:val="40030C9F"/>
    <w:rsid w:val="40343AB0"/>
    <w:rsid w:val="40B44C62"/>
    <w:rsid w:val="412C3B8D"/>
    <w:rsid w:val="4154262F"/>
    <w:rsid w:val="41A3260D"/>
    <w:rsid w:val="42103E63"/>
    <w:rsid w:val="42F5034D"/>
    <w:rsid w:val="43CD7754"/>
    <w:rsid w:val="449608C6"/>
    <w:rsid w:val="457F2DDE"/>
    <w:rsid w:val="45A309C5"/>
    <w:rsid w:val="45CA4C64"/>
    <w:rsid w:val="45EB3D36"/>
    <w:rsid w:val="462C0B94"/>
    <w:rsid w:val="46AB1021"/>
    <w:rsid w:val="46FB2366"/>
    <w:rsid w:val="47206EEE"/>
    <w:rsid w:val="4A6F355B"/>
    <w:rsid w:val="4ACC7988"/>
    <w:rsid w:val="4C330D5A"/>
    <w:rsid w:val="4CAB7E72"/>
    <w:rsid w:val="4EF14C6E"/>
    <w:rsid w:val="4F890C34"/>
    <w:rsid w:val="4F9559BD"/>
    <w:rsid w:val="4FE607A7"/>
    <w:rsid w:val="512739A0"/>
    <w:rsid w:val="51AB09F6"/>
    <w:rsid w:val="531877CB"/>
    <w:rsid w:val="54A45E04"/>
    <w:rsid w:val="55D122F6"/>
    <w:rsid w:val="55FC37E4"/>
    <w:rsid w:val="5619670A"/>
    <w:rsid w:val="57266932"/>
    <w:rsid w:val="57CF6DEE"/>
    <w:rsid w:val="57E14E1A"/>
    <w:rsid w:val="58B8458A"/>
    <w:rsid w:val="597405AC"/>
    <w:rsid w:val="59742225"/>
    <w:rsid w:val="59B83EF9"/>
    <w:rsid w:val="5AA91B21"/>
    <w:rsid w:val="5AD3364E"/>
    <w:rsid w:val="5CE41FC0"/>
    <w:rsid w:val="5D3A69D3"/>
    <w:rsid w:val="5DB5304B"/>
    <w:rsid w:val="5E817C31"/>
    <w:rsid w:val="5EAD75B7"/>
    <w:rsid w:val="5F074CF0"/>
    <w:rsid w:val="5F634179"/>
    <w:rsid w:val="5F6B372B"/>
    <w:rsid w:val="5FD373E9"/>
    <w:rsid w:val="60976575"/>
    <w:rsid w:val="610405DA"/>
    <w:rsid w:val="61B72E71"/>
    <w:rsid w:val="61CE71C3"/>
    <w:rsid w:val="62661FA3"/>
    <w:rsid w:val="62756F54"/>
    <w:rsid w:val="628170C6"/>
    <w:rsid w:val="62EF0350"/>
    <w:rsid w:val="63A54299"/>
    <w:rsid w:val="64A64B16"/>
    <w:rsid w:val="652B2C0E"/>
    <w:rsid w:val="652C55BC"/>
    <w:rsid w:val="662517F3"/>
    <w:rsid w:val="66AF33EB"/>
    <w:rsid w:val="67843BCF"/>
    <w:rsid w:val="67B660A5"/>
    <w:rsid w:val="682A4689"/>
    <w:rsid w:val="686D21BE"/>
    <w:rsid w:val="69594684"/>
    <w:rsid w:val="699A5717"/>
    <w:rsid w:val="6A0A1CBA"/>
    <w:rsid w:val="6A363272"/>
    <w:rsid w:val="6A403927"/>
    <w:rsid w:val="6AB30D31"/>
    <w:rsid w:val="6B5B0D8E"/>
    <w:rsid w:val="6D876DDE"/>
    <w:rsid w:val="6E861244"/>
    <w:rsid w:val="6FC314D3"/>
    <w:rsid w:val="70820965"/>
    <w:rsid w:val="7092134D"/>
    <w:rsid w:val="717970B3"/>
    <w:rsid w:val="71B13BB9"/>
    <w:rsid w:val="71D44D3B"/>
    <w:rsid w:val="71F413EE"/>
    <w:rsid w:val="7205458D"/>
    <w:rsid w:val="721A045B"/>
    <w:rsid w:val="73111257"/>
    <w:rsid w:val="7698200F"/>
    <w:rsid w:val="7A117811"/>
    <w:rsid w:val="7BFC1097"/>
    <w:rsid w:val="7CD40018"/>
    <w:rsid w:val="7DEE26D5"/>
    <w:rsid w:val="7EAA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keepNext/>
      <w:keepLines/>
      <w:spacing w:line="600" w:lineRule="exact"/>
      <w:jc w:val="center"/>
      <w:outlineLvl w:val="0"/>
    </w:pPr>
    <w:rPr>
      <w:rFonts w:hint="eastAsia" w:ascii="宋体" w:hAnsi="宋体" w:eastAsia="方正小标宋简体"/>
      <w:kern w:val="44"/>
      <w:sz w:val="44"/>
    </w:rPr>
  </w:style>
  <w:style w:type="paragraph" w:styleId="3">
    <w:name w:val="heading 2"/>
    <w:basedOn w:val="1"/>
    <w:next w:val="4"/>
    <w:autoRedefine/>
    <w:qFormat/>
    <w:uiPriority w:val="0"/>
    <w:pPr>
      <w:keepNext/>
      <w:keepLines/>
      <w:ind w:firstLine="880"/>
      <w:jc w:val="left"/>
      <w:outlineLvl w:val="1"/>
    </w:pPr>
    <w:rPr>
      <w:rFonts w:hint="eastAsia" w:ascii="Arial" w:hAnsi="Arial" w:eastAsia="黑体"/>
    </w:rPr>
  </w:style>
  <w:style w:type="paragraph" w:styleId="5">
    <w:name w:val="heading 3"/>
    <w:basedOn w:val="1"/>
    <w:next w:val="4"/>
    <w:autoRedefine/>
    <w:qFormat/>
    <w:uiPriority w:val="0"/>
    <w:pPr>
      <w:keepNext/>
      <w:keepLines/>
      <w:ind w:firstLine="880"/>
      <w:outlineLvl w:val="2"/>
    </w:pPr>
    <w:rPr>
      <w:rFonts w:eastAsia="KaiTi_GB2312"/>
    </w:rPr>
  </w:style>
  <w:style w:type="paragraph" w:styleId="6">
    <w:name w:val="heading 4"/>
    <w:basedOn w:val="1"/>
    <w:next w:val="1"/>
    <w:autoRedefine/>
    <w:qFormat/>
    <w:uiPriority w:val="0"/>
    <w:pPr>
      <w:keepNext/>
      <w:keepLines/>
      <w:outlineLvl w:val="3"/>
    </w:pPr>
    <w:rPr>
      <w:rFonts w:ascii="Arial" w:hAnsi="Arial"/>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eastAsia="宋体"/>
      <w:kern w:val="0"/>
      <w:sz w:val="20"/>
      <w:szCs w:val="20"/>
    </w:rPr>
  </w:style>
  <w:style w:type="paragraph" w:styleId="7">
    <w:name w:val="annotation text"/>
    <w:basedOn w:val="1"/>
    <w:link w:val="54"/>
    <w:autoRedefine/>
    <w:qFormat/>
    <w:uiPriority w:val="0"/>
    <w:pPr>
      <w:jc w:val="left"/>
    </w:pPr>
  </w:style>
  <w:style w:type="paragraph" w:styleId="8">
    <w:name w:val="Body Text"/>
    <w:basedOn w:val="1"/>
    <w:next w:val="1"/>
    <w:autoRedefine/>
    <w:unhideWhenUsed/>
    <w:qFormat/>
    <w:uiPriority w:val="99"/>
    <w:pPr>
      <w:spacing w:before="100" w:beforeAutospacing="1" w:after="120"/>
    </w:pPr>
  </w:style>
  <w:style w:type="paragraph" w:styleId="9">
    <w:name w:val="Body Text Indent"/>
    <w:basedOn w:val="1"/>
    <w:autoRedefine/>
    <w:qFormat/>
    <w:uiPriority w:val="0"/>
    <w:pPr>
      <w:spacing w:after="120"/>
      <w:ind w:left="420" w:leftChars="200"/>
    </w:pPr>
    <w:rPr>
      <w:kern w:val="0"/>
      <w:sz w:val="20"/>
    </w:rPr>
  </w:style>
  <w:style w:type="paragraph" w:styleId="10">
    <w:name w:val="toc 3"/>
    <w:basedOn w:val="1"/>
    <w:next w:val="1"/>
    <w:autoRedefine/>
    <w:qFormat/>
    <w:uiPriority w:val="39"/>
    <w:pPr>
      <w:ind w:left="840" w:leftChars="400"/>
    </w:pPr>
  </w:style>
  <w:style w:type="paragraph" w:styleId="11">
    <w:name w:val="Plain Text"/>
    <w:basedOn w:val="1"/>
    <w:autoRedefine/>
    <w:qFormat/>
    <w:uiPriority w:val="99"/>
    <w:rPr>
      <w:rFonts w:ascii="宋体" w:hAnsi="Courier New"/>
      <w:szCs w:val="21"/>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autoRedefine/>
    <w:qFormat/>
    <w:uiPriority w:val="39"/>
  </w:style>
  <w:style w:type="paragraph" w:styleId="15">
    <w:name w:val="Subtitle"/>
    <w:basedOn w:val="1"/>
    <w:next w:val="1"/>
    <w:autoRedefine/>
    <w:qFormat/>
    <w:uiPriority w:val="0"/>
    <w:pPr>
      <w:spacing w:line="288" w:lineRule="auto"/>
      <w:outlineLvl w:val="1"/>
    </w:pPr>
    <w:rPr>
      <w:rFonts w:ascii="Helvetica" w:hAnsi="Helvetica" w:eastAsia="Arial Unicode MS" w:cs="Arial Unicode MS"/>
      <w:b/>
      <w:bCs/>
      <w:color w:val="565452"/>
      <w:spacing w:val="7"/>
      <w:sz w:val="36"/>
      <w:szCs w:val="36"/>
      <w:lang w:val="de-DE"/>
    </w:rPr>
  </w:style>
  <w:style w:type="paragraph" w:styleId="16">
    <w:name w:val="toc 2"/>
    <w:basedOn w:val="1"/>
    <w:next w:val="1"/>
    <w:autoRedefine/>
    <w:qFormat/>
    <w:uiPriority w:val="39"/>
    <w:pPr>
      <w:ind w:left="420" w:leftChars="200"/>
    </w:pPr>
  </w:style>
  <w:style w:type="paragraph" w:styleId="17">
    <w:name w:val="Body Text 2"/>
    <w:basedOn w:val="1"/>
    <w:autoRedefine/>
    <w:qFormat/>
    <w:uiPriority w:val="0"/>
    <w:pPr>
      <w:ind w:firstLine="880"/>
    </w:pPr>
  </w:style>
  <w:style w:type="paragraph" w:styleId="18">
    <w:name w:val="Normal (Web)"/>
    <w:basedOn w:val="1"/>
    <w:autoRedefine/>
    <w:qFormat/>
    <w:uiPriority w:val="0"/>
    <w:pPr>
      <w:spacing w:beforeAutospacing="1" w:afterAutospacing="1"/>
      <w:jc w:val="left"/>
    </w:pPr>
    <w:rPr>
      <w:kern w:val="0"/>
      <w:sz w:val="24"/>
    </w:rPr>
  </w:style>
  <w:style w:type="paragraph" w:styleId="19">
    <w:name w:val="annotation subject"/>
    <w:basedOn w:val="7"/>
    <w:next w:val="7"/>
    <w:link w:val="55"/>
    <w:qFormat/>
    <w:uiPriority w:val="0"/>
    <w:rPr>
      <w:b/>
      <w:bCs/>
    </w:rPr>
  </w:style>
  <w:style w:type="paragraph" w:styleId="20">
    <w:name w:val="Body Text First Indent 2"/>
    <w:basedOn w:val="9"/>
    <w:autoRedefine/>
    <w:unhideWhenUsed/>
    <w:qFormat/>
    <w:uiPriority w:val="0"/>
    <w:pPr>
      <w:ind w:left="600" w:leftChars="600" w:firstLine="210"/>
    </w:pPr>
    <w:rPr>
      <w:kern w:val="2"/>
      <w:sz w:val="24"/>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Hyperlink"/>
    <w:basedOn w:val="23"/>
    <w:autoRedefine/>
    <w:qFormat/>
    <w:uiPriority w:val="99"/>
    <w:rPr>
      <w:color w:val="0000FF"/>
      <w:u w:val="single"/>
    </w:rPr>
  </w:style>
  <w:style w:type="character" w:styleId="26">
    <w:name w:val="annotation reference"/>
    <w:basedOn w:val="23"/>
    <w:autoRedefine/>
    <w:qFormat/>
    <w:uiPriority w:val="0"/>
    <w:rPr>
      <w:sz w:val="21"/>
      <w:szCs w:val="21"/>
    </w:rPr>
  </w:style>
  <w:style w:type="paragraph" w:customStyle="1" w:styleId="27">
    <w:name w:val="引用1"/>
    <w:basedOn w:val="1"/>
    <w:next w:val="1"/>
    <w:autoRedefine/>
    <w:qFormat/>
    <w:uiPriority w:val="99"/>
    <w:pPr>
      <w:widowControl/>
      <w:wordWrap w:val="0"/>
      <w:spacing w:before="200" w:after="160"/>
      <w:ind w:left="864" w:right="864"/>
      <w:jc w:val="center"/>
    </w:pPr>
    <w:rPr>
      <w:rFonts w:ascii="宋体"/>
      <w:i/>
      <w:color w:val="404040"/>
    </w:rPr>
  </w:style>
  <w:style w:type="paragraph" w:customStyle="1" w:styleId="28">
    <w:name w:val="首行缩进"/>
    <w:basedOn w:val="1"/>
    <w:autoRedefine/>
    <w:qFormat/>
    <w:uiPriority w:val="0"/>
    <w:pPr>
      <w:ind w:firstLine="200"/>
    </w:pPr>
    <w:rPr>
      <w:rFonts w:eastAsia="宋体"/>
      <w:lang w:val="zh-CN"/>
    </w:rPr>
  </w:style>
  <w:style w:type="paragraph" w:customStyle="1" w:styleId="29">
    <w:name w:val="样式王"/>
    <w:basedOn w:val="1"/>
    <w:autoRedefine/>
    <w:qFormat/>
    <w:uiPriority w:val="0"/>
    <w:rPr>
      <w:rFonts w:eastAsia="宋体"/>
    </w:rPr>
  </w:style>
  <w:style w:type="paragraph" w:customStyle="1" w:styleId="30">
    <w:name w:val="正文 2"/>
    <w:autoRedefine/>
    <w:qFormat/>
    <w:uiPriority w:val="0"/>
    <w:rPr>
      <w:rFonts w:hint="eastAsia" w:ascii="Arial Unicode MS" w:hAnsi="Arial Unicode MS" w:eastAsia="Arial Unicode MS" w:cs="Arial Unicode MS"/>
      <w:color w:val="000000"/>
      <w:sz w:val="24"/>
      <w:szCs w:val="24"/>
      <w:lang w:val="zh-CN" w:eastAsia="zh-CN" w:bidi="ar-SA"/>
    </w:rPr>
  </w:style>
  <w:style w:type="paragraph" w:customStyle="1" w:styleId="31">
    <w:name w:val="说明"/>
    <w:autoRedefine/>
    <w:qFormat/>
    <w:uiPriority w:val="0"/>
    <w:pPr>
      <w:spacing w:after="240" w:line="312" w:lineRule="auto"/>
      <w:jc w:val="center"/>
    </w:pPr>
    <w:rPr>
      <w:rFonts w:ascii="Palatino" w:hAnsi="Palatino" w:eastAsia="Palatino" w:cs="Palatino"/>
      <w:i/>
      <w:iCs/>
      <w:color w:val="008CB4"/>
      <w:sz w:val="26"/>
      <w:szCs w:val="26"/>
      <w:lang w:val="en-US" w:eastAsia="zh-CN" w:bidi="ar-SA"/>
    </w:rPr>
  </w:style>
  <w:style w:type="paragraph" w:customStyle="1" w:styleId="32">
    <w:name w:val="自由格式"/>
    <w:autoRedefine/>
    <w:qFormat/>
    <w:uiPriority w:val="0"/>
    <w:pPr>
      <w:spacing w:line="288" w:lineRule="auto"/>
      <w:ind w:firstLine="600"/>
    </w:pPr>
    <w:rPr>
      <w:rFonts w:hint="eastAsia" w:ascii="Arial Unicode MS" w:hAnsi="Arial Unicode MS" w:eastAsia="Arial Unicode MS" w:cs="Arial Unicode MS"/>
      <w:color w:val="000000"/>
      <w:sz w:val="24"/>
      <w:szCs w:val="24"/>
      <w:lang w:val="zh-CN" w:eastAsia="zh-CN" w:bidi="ar-SA"/>
    </w:rPr>
  </w:style>
  <w:style w:type="paragraph" w:customStyle="1" w:styleId="33">
    <w:name w:val="Table Paragraph"/>
    <w:basedOn w:val="1"/>
    <w:autoRedefine/>
    <w:qFormat/>
    <w:uiPriority w:val="1"/>
    <w:rPr>
      <w:rFonts w:eastAsia="宋体"/>
    </w:rPr>
  </w:style>
  <w:style w:type="paragraph" w:customStyle="1" w:styleId="34">
    <w:name w:val="列表段落1"/>
    <w:basedOn w:val="1"/>
    <w:autoRedefine/>
    <w:qFormat/>
    <w:uiPriority w:val="0"/>
    <w:pPr>
      <w:ind w:firstLine="420"/>
    </w:pPr>
    <w:rPr>
      <w:rFonts w:eastAsia="宋体"/>
      <w:sz w:val="18"/>
      <w:szCs w:val="18"/>
    </w:rPr>
  </w:style>
  <w:style w:type="paragraph" w:customStyle="1" w:styleId="35">
    <w:name w:val="列出段落2"/>
    <w:basedOn w:val="1"/>
    <w:autoRedefine/>
    <w:qFormat/>
    <w:uiPriority w:val="34"/>
    <w:pPr>
      <w:ind w:firstLine="420"/>
    </w:pPr>
  </w:style>
  <w:style w:type="paragraph" w:customStyle="1" w:styleId="36">
    <w:name w:val="正文文本缩进1"/>
    <w:basedOn w:val="1"/>
    <w:autoRedefine/>
    <w:qFormat/>
    <w:uiPriority w:val="99"/>
    <w:pPr>
      <w:ind w:firstLine="570"/>
    </w:pPr>
    <w:rPr>
      <w:kern w:val="0"/>
      <w:sz w:val="28"/>
      <w:u w:val="single"/>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2"/>
    <w:basedOn w:val="23"/>
    <w:autoRedefine/>
    <w:qFormat/>
    <w:uiPriority w:val="0"/>
    <w:rPr>
      <w:rFonts w:hint="eastAsia" w:ascii="方正小标宋简体" w:hAnsi="方正小标宋简体" w:eastAsia="方正小标宋简体" w:cs="方正小标宋简体"/>
      <w:color w:val="000000"/>
      <w:sz w:val="40"/>
      <w:szCs w:val="40"/>
      <w:u w:val="none"/>
    </w:rPr>
  </w:style>
  <w:style w:type="character" w:customStyle="1" w:styleId="39">
    <w:name w:val="font101"/>
    <w:basedOn w:val="23"/>
    <w:autoRedefine/>
    <w:qFormat/>
    <w:uiPriority w:val="0"/>
    <w:rPr>
      <w:rFonts w:hint="eastAsia" w:ascii="方正小标宋简体" w:hAnsi="方正小标宋简体" w:eastAsia="方正小标宋简体" w:cs="方正小标宋简体"/>
      <w:color w:val="000000"/>
      <w:sz w:val="40"/>
      <w:szCs w:val="40"/>
      <w:u w:val="single"/>
    </w:rPr>
  </w:style>
  <w:style w:type="character" w:customStyle="1" w:styleId="40">
    <w:name w:val="font31"/>
    <w:basedOn w:val="23"/>
    <w:autoRedefine/>
    <w:qFormat/>
    <w:uiPriority w:val="0"/>
    <w:rPr>
      <w:rFonts w:hint="default" w:ascii="方正楷体_GB2312" w:hAnsi="方正楷体_GB2312" w:eastAsia="方正楷体_GB2312" w:cs="方正楷体_GB2312"/>
      <w:color w:val="000000"/>
      <w:sz w:val="22"/>
      <w:szCs w:val="22"/>
      <w:u w:val="none"/>
    </w:rPr>
  </w:style>
  <w:style w:type="character" w:customStyle="1" w:styleId="41">
    <w:name w:val="font111"/>
    <w:basedOn w:val="23"/>
    <w:autoRedefine/>
    <w:qFormat/>
    <w:uiPriority w:val="0"/>
    <w:rPr>
      <w:rFonts w:hint="default" w:ascii="方正楷体_GB2312" w:hAnsi="方正楷体_GB2312" w:eastAsia="方正楷体_GB2312" w:cs="方正楷体_GB2312"/>
      <w:color w:val="000000"/>
      <w:sz w:val="22"/>
      <w:szCs w:val="22"/>
      <w:u w:val="single"/>
    </w:rPr>
  </w:style>
  <w:style w:type="paragraph" w:customStyle="1" w:styleId="42">
    <w:name w:val="正文2"/>
    <w:basedOn w:val="1"/>
    <w:next w:val="1"/>
    <w:autoRedefine/>
    <w:qFormat/>
    <w:uiPriority w:val="0"/>
    <w:pPr>
      <w:ind w:firstLine="570"/>
    </w:pPr>
    <w:rPr>
      <w:rFonts w:ascii="仿宋" w:hAnsi="仿宋" w:eastAsia="仿宋"/>
      <w:kern w:val="0"/>
      <w:sz w:val="20"/>
    </w:rPr>
  </w:style>
  <w:style w:type="paragraph" w:customStyle="1" w:styleId="43">
    <w:name w:val="WPSOffice手动目录 1"/>
    <w:autoRedefine/>
    <w:qFormat/>
    <w:uiPriority w:val="0"/>
    <w:rPr>
      <w:rFonts w:ascii="Times New Roman" w:hAnsi="Times New Roman" w:eastAsia="宋体" w:cs="Times New Roman"/>
      <w:lang w:val="en-US" w:eastAsia="zh-CN" w:bidi="ar-SA"/>
    </w:rPr>
  </w:style>
  <w:style w:type="paragraph" w:customStyle="1" w:styleId="44">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styleId="46">
    <w:name w:val="List Paragraph"/>
    <w:basedOn w:val="1"/>
    <w:autoRedefine/>
    <w:qFormat/>
    <w:uiPriority w:val="34"/>
    <w:pPr>
      <w:ind w:firstLine="420"/>
    </w:pPr>
    <w:rPr>
      <w:rFonts w:eastAsia="宋体"/>
      <w:szCs w:val="20"/>
    </w:rPr>
  </w:style>
  <w:style w:type="character" w:customStyle="1" w:styleId="47">
    <w:name w:val="font11"/>
    <w:basedOn w:val="23"/>
    <w:autoRedefine/>
    <w:qFormat/>
    <w:uiPriority w:val="0"/>
    <w:rPr>
      <w:rFonts w:hint="eastAsia" w:ascii="仿宋" w:hAnsi="仿宋" w:eastAsia="仿宋" w:cs="仿宋"/>
      <w:color w:val="000000"/>
      <w:sz w:val="22"/>
      <w:szCs w:val="22"/>
      <w:u w:val="none"/>
    </w:rPr>
  </w:style>
  <w:style w:type="character" w:customStyle="1" w:styleId="48">
    <w:name w:val="font21"/>
    <w:basedOn w:val="23"/>
    <w:autoRedefine/>
    <w:qFormat/>
    <w:uiPriority w:val="0"/>
    <w:rPr>
      <w:rFonts w:hint="eastAsia" w:ascii="仿宋" w:hAnsi="仿宋" w:eastAsia="仿宋" w:cs="仿宋"/>
      <w:color w:val="000000"/>
      <w:sz w:val="22"/>
      <w:szCs w:val="22"/>
      <w:u w:val="none"/>
    </w:rPr>
  </w:style>
  <w:style w:type="character" w:customStyle="1" w:styleId="49">
    <w:name w:val="font51"/>
    <w:basedOn w:val="23"/>
    <w:autoRedefine/>
    <w:qFormat/>
    <w:uiPriority w:val="0"/>
    <w:rPr>
      <w:rFonts w:hint="eastAsia" w:ascii="宋体" w:hAnsi="宋体" w:eastAsia="宋体" w:cs="宋体"/>
      <w:b/>
      <w:bCs/>
      <w:color w:val="000000"/>
      <w:sz w:val="20"/>
      <w:szCs w:val="20"/>
      <w:u w:val="single"/>
    </w:rPr>
  </w:style>
  <w:style w:type="paragraph" w:customStyle="1" w:styleId="50">
    <w:name w:val="List Paragraph1"/>
    <w:basedOn w:val="1"/>
    <w:qFormat/>
    <w:uiPriority w:val="99"/>
    <w:pPr>
      <w:ind w:firstLine="420"/>
    </w:pPr>
    <w:rPr>
      <w:rFonts w:ascii="Calibri" w:hAnsi="Calibri" w:eastAsia="宋体"/>
    </w:rPr>
  </w:style>
  <w:style w:type="paragraph" w:customStyle="1" w:styleId="51">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2">
    <w:name w:val="修订1"/>
    <w:hidden/>
    <w:unhideWhenUsed/>
    <w:qFormat/>
    <w:uiPriority w:val="99"/>
    <w:rPr>
      <w:rFonts w:ascii="Times New Roman" w:hAnsi="Times New Roman" w:eastAsia="仿宋_GB2312" w:cs="Times New Roman"/>
      <w:kern w:val="2"/>
      <w:sz w:val="32"/>
      <w:szCs w:val="24"/>
      <w:lang w:val="en-US" w:eastAsia="zh-CN" w:bidi="ar-SA"/>
    </w:rPr>
  </w:style>
  <w:style w:type="paragraph" w:customStyle="1" w:styleId="53">
    <w:name w:val="Revision"/>
    <w:hidden/>
    <w:unhideWhenUsed/>
    <w:qFormat/>
    <w:uiPriority w:val="99"/>
    <w:rPr>
      <w:rFonts w:ascii="Times New Roman" w:hAnsi="Times New Roman" w:eastAsia="仿宋_GB2312" w:cs="Times New Roman"/>
      <w:kern w:val="2"/>
      <w:sz w:val="32"/>
      <w:szCs w:val="24"/>
      <w:lang w:val="en-US" w:eastAsia="zh-CN" w:bidi="ar-SA"/>
    </w:rPr>
  </w:style>
  <w:style w:type="character" w:customStyle="1" w:styleId="54">
    <w:name w:val="批注文字 字符"/>
    <w:basedOn w:val="23"/>
    <w:link w:val="7"/>
    <w:qFormat/>
    <w:uiPriority w:val="0"/>
    <w:rPr>
      <w:rFonts w:eastAsia="仿宋_GB2312"/>
      <w:kern w:val="2"/>
      <w:sz w:val="32"/>
      <w:szCs w:val="24"/>
    </w:rPr>
  </w:style>
  <w:style w:type="character" w:customStyle="1" w:styleId="55">
    <w:name w:val="批注主题 字符"/>
    <w:basedOn w:val="54"/>
    <w:link w:val="19"/>
    <w:qFormat/>
    <w:uiPriority w:val="0"/>
    <w:rPr>
      <w:rFonts w:eastAsia="仿宋_GB2312"/>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四川交投物流有限公司</Company>
  <Pages>27</Pages>
  <Words>12792</Words>
  <Characters>13829</Characters>
  <Lines>256</Lines>
  <Paragraphs>72</Paragraphs>
  <TotalTime>4</TotalTime>
  <ScaleCrop>false</ScaleCrop>
  <LinksUpToDate>false</LinksUpToDate>
  <CharactersWithSpaces>14814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2025-06-26T08:53:00Z</dcterms:created>
  <dc:creator>冷露</dc:creator>
  <cp:lastModifiedBy>李远博</cp:lastModifiedBy>
  <cp:lastPrinted>2024-02-26T02:52:00Z</cp:lastPrinted>
  <dcterms:modified xsi:type="dcterms:W3CDTF">2025-10-20T02:19:35Z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47026496399E4C22BB2A88249D46042C_13</vt:lpwstr>
  </property>
  <property fmtid="{D5CDD505-2E9C-101B-9397-08002B2CF9AE}" pid="4" name="KSOTemplateDocerSaveRecord">
    <vt:lpwstr>eyJoZGlkIjoiMzEwNTM5NzYwMDRjMzkwZTVkZjY2ODkwMGIxNGU0OTUiLCJ1c2VySWQiOiIxNjMyNzEyMjI5In0=</vt:lpwstr>
  </property>
</Properties>
</file>