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1758">
      <w:pPr>
        <w:rPr>
          <w:rFonts w:hint="default" w:ascii="方正仿宋_GB2312" w:hAnsi="方正仿宋_GB2312" w:eastAsia="方正仿宋_GB2312" w:cs="方正仿宋_GB2312"/>
          <w:b w:val="0"/>
          <w:bCs w:val="0"/>
          <w:color w:val="auto"/>
          <w:sz w:val="32"/>
          <w:szCs w:val="32"/>
          <w:highlight w:val="none"/>
          <w:lang w:val="en-US" w:eastAsia="zh-CN"/>
        </w:rPr>
      </w:pPr>
      <w:bookmarkStart w:id="0" w:name="_Toc9903"/>
      <w:bookmarkStart w:id="1" w:name="_Toc16098"/>
      <w:bookmarkStart w:id="2" w:name="_Toc23663"/>
      <w:bookmarkStart w:id="3" w:name="_Toc4830"/>
      <w:bookmarkStart w:id="4" w:name="_Toc23535"/>
      <w:bookmarkStart w:id="5" w:name="_Toc17499"/>
      <w:bookmarkStart w:id="6" w:name="_Toc663"/>
      <w:bookmarkStart w:id="7" w:name="_Toc12242"/>
      <w:r>
        <w:rPr>
          <w:rFonts w:hint="eastAsia" w:ascii="方正仿宋_GB2312" w:hAnsi="方正仿宋_GB2312" w:eastAsia="方正仿宋_GB2312" w:cs="方正仿宋_GB2312"/>
          <w:b w:val="0"/>
          <w:bCs w:val="0"/>
          <w:color w:val="auto"/>
          <w:sz w:val="32"/>
          <w:szCs w:val="32"/>
          <w:highlight w:val="none"/>
          <w:lang w:val="en-US" w:eastAsia="zh-CN"/>
        </w:rPr>
        <w:t>项目编号：JTWZ20251101</w:t>
      </w:r>
    </w:p>
    <w:p w14:paraId="63C34150">
      <w:pPr>
        <w:pStyle w:val="2"/>
        <w:rPr>
          <w:rFonts w:hint="eastAsia"/>
          <w:color w:val="auto"/>
          <w:highlight w:val="none"/>
          <w:lang w:val="en-US" w:eastAsia="zh-CN"/>
        </w:rPr>
      </w:pPr>
    </w:p>
    <w:p w14:paraId="41DBCC2C">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四川省交通物资有限责任公司</w:t>
      </w:r>
    </w:p>
    <w:p w14:paraId="702EDA3F">
      <w:pPr>
        <w:jc w:val="center"/>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专项法律服务机构</w:t>
      </w:r>
    </w:p>
    <w:p w14:paraId="1ECADA0F">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0C216AEB">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4BA6DA0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0E574342">
      <w:pPr>
        <w:tabs>
          <w:tab w:val="left" w:pos="6972"/>
        </w:tabs>
        <w:jc w:val="left"/>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ab/>
      </w:r>
    </w:p>
    <w:p w14:paraId="43CCBE9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比</w:t>
      </w:r>
    </w:p>
    <w:p w14:paraId="41677FC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选</w:t>
      </w:r>
    </w:p>
    <w:p w14:paraId="5621BBBA">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文</w:t>
      </w:r>
    </w:p>
    <w:p w14:paraId="68401D1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件</w:t>
      </w:r>
    </w:p>
    <w:p w14:paraId="1E4F2135">
      <w:pPr>
        <w:jc w:val="center"/>
        <w:rPr>
          <w:rFonts w:hint="eastAsia" w:ascii="方正仿宋_GB2312" w:hAnsi="方正仿宋_GB2312" w:eastAsia="方正仿宋_GB2312" w:cs="方正仿宋_GB2312"/>
          <w:b/>
          <w:bCs/>
          <w:color w:val="auto"/>
          <w:sz w:val="32"/>
          <w:szCs w:val="32"/>
          <w:highlight w:val="none"/>
          <w:lang w:val="en-US" w:eastAsia="zh-CN"/>
        </w:rPr>
      </w:pPr>
    </w:p>
    <w:p w14:paraId="404D531A">
      <w:pPr>
        <w:jc w:val="center"/>
        <w:rPr>
          <w:rFonts w:hint="eastAsia" w:ascii="方正仿宋_GB2312" w:hAnsi="方正仿宋_GB2312" w:eastAsia="方正仿宋_GB2312" w:cs="方正仿宋_GB2312"/>
          <w:b/>
          <w:bCs/>
          <w:color w:val="auto"/>
          <w:sz w:val="32"/>
          <w:szCs w:val="32"/>
          <w:highlight w:val="none"/>
          <w:lang w:val="en-US" w:eastAsia="zh-CN"/>
        </w:rPr>
      </w:pPr>
    </w:p>
    <w:p w14:paraId="7A35E059">
      <w:pPr>
        <w:jc w:val="both"/>
        <w:rPr>
          <w:rFonts w:hint="eastAsia" w:ascii="方正仿宋_GB2312" w:hAnsi="方正仿宋_GB2312" w:eastAsia="方正仿宋_GB2312" w:cs="方正仿宋_GB2312"/>
          <w:b/>
          <w:bCs/>
          <w:color w:val="auto"/>
          <w:sz w:val="32"/>
          <w:szCs w:val="32"/>
          <w:highlight w:val="none"/>
          <w:lang w:val="en-US" w:eastAsia="zh-CN"/>
        </w:rPr>
      </w:pPr>
    </w:p>
    <w:p w14:paraId="56F2BFD0">
      <w:pPr>
        <w:jc w:val="center"/>
        <w:rPr>
          <w:rFonts w:hint="default"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比选人：四川省交通物资有限责任公司</w:t>
      </w:r>
    </w:p>
    <w:p w14:paraId="71AE76B2">
      <w:pPr>
        <w:jc w:val="center"/>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二0二五年十一月</w:t>
      </w:r>
    </w:p>
    <w:p w14:paraId="621AD712">
      <w:pPr>
        <w:jc w:val="center"/>
        <w:rPr>
          <w:rFonts w:hint="eastAsia" w:ascii="仿宋" w:hAnsi="仿宋" w:eastAsia="仿宋" w:cs="仿宋"/>
          <w:b/>
          <w:bCs/>
          <w:color w:val="auto"/>
          <w:sz w:val="36"/>
          <w:szCs w:val="36"/>
          <w:highlight w:val="none"/>
        </w:rPr>
        <w:sectPr>
          <w:footerReference r:id="rId3" w:type="default"/>
          <w:pgSz w:w="11906" w:h="16838"/>
          <w:pgMar w:top="1134" w:right="1134" w:bottom="1134" w:left="1418" w:header="851" w:footer="992" w:gutter="0"/>
          <w:pgNumType w:fmt="numberInDash"/>
          <w:cols w:space="720" w:num="1"/>
          <w:docGrid w:type="lines" w:linePitch="312" w:charSpace="0"/>
        </w:sectPr>
      </w:pPr>
    </w:p>
    <w:p w14:paraId="55E2DA83">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15150002">
      <w:pPr>
        <w:rPr>
          <w:rFonts w:ascii="仿宋" w:hAnsi="仿宋" w:eastAsia="仿宋" w:cs="仿宋"/>
          <w:b/>
          <w:bCs/>
          <w:color w:val="auto"/>
          <w:sz w:val="32"/>
          <w:szCs w:val="32"/>
          <w:highlight w:val="none"/>
        </w:rPr>
      </w:pPr>
    </w:p>
    <w:p w14:paraId="365A4C85">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"_Toc2468"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第一章 比选公告</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p>
    <w:p w14:paraId="37D2550E">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"_Toc8513"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第二章 比选申请人须知</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4</w:t>
      </w:r>
      <w:r>
        <w:rPr>
          <w:rFonts w:hint="eastAsia" w:ascii="仿宋" w:hAnsi="仿宋" w:eastAsia="仿宋" w:cs="仿宋"/>
          <w:b/>
          <w:bCs/>
          <w:color w:val="auto"/>
          <w:sz w:val="32"/>
          <w:szCs w:val="32"/>
          <w:highlight w:val="none"/>
          <w:lang w:val="en-US" w:eastAsia="zh-CN" w:bidi="ar-SA"/>
        </w:rPr>
        <w:fldChar w:fldCharType="end"/>
      </w:r>
    </w:p>
    <w:p w14:paraId="4465951D">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"_Toc19085"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第三章 比选申请人的资格要求证明材料</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0</w:t>
      </w:r>
    </w:p>
    <w:p w14:paraId="5046DDD7">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"_Toc302"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第四章 比选申请书格式</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1</w:t>
      </w:r>
    </w:p>
    <w:p w14:paraId="09823CEE">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"_Toc31984"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第五章 项目需求及服务、团队等相关要求</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2</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9</w:t>
      </w:r>
    </w:p>
    <w:p w14:paraId="06D62F28">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"_Toc17709"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第六章 评审方法</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31</w:t>
      </w:r>
    </w:p>
    <w:p w14:paraId="3E39986F">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"_Toc10904"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第七章 主要合同条款（草案）</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3</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4</w:t>
      </w:r>
    </w:p>
    <w:p w14:paraId="7950402D">
      <w:pPr>
        <w:jc w:val="center"/>
        <w:rPr>
          <w:rFonts w:ascii="仿宋_GB2312" w:hAnsi="仿宋_GB2312" w:eastAsia="仿宋_GB2312" w:cs="仿宋_GB2312"/>
          <w:b/>
          <w:bCs/>
          <w:color w:val="auto"/>
          <w:sz w:val="36"/>
          <w:szCs w:val="36"/>
          <w:highlight w:val="none"/>
        </w:rPr>
      </w:pPr>
    </w:p>
    <w:p w14:paraId="73E1CB79">
      <w:pPr>
        <w:rPr>
          <w:rFonts w:ascii="仿宋_GB2312" w:hAnsi="仿宋_GB2312" w:eastAsia="仿宋_GB2312" w:cs="仿宋_GB2312"/>
          <w:b/>
          <w:bCs/>
          <w:color w:val="auto"/>
          <w:sz w:val="32"/>
          <w:szCs w:val="32"/>
          <w:highlight w:val="none"/>
        </w:rPr>
      </w:pPr>
    </w:p>
    <w:p w14:paraId="29F4B862">
      <w:pPr>
        <w:keepNext/>
        <w:keepLines/>
        <w:widowControl w:val="0"/>
        <w:spacing w:before="340" w:after="330" w:line="460" w:lineRule="exact"/>
        <w:jc w:val="center"/>
        <w:outlineLvl w:val="0"/>
        <w:rPr>
          <w:rFonts w:ascii="仿宋_GB2312" w:hAnsi="仿宋_GB2312" w:eastAsia="仿宋_GB2312" w:cs="仿宋_GB2312"/>
          <w:b/>
          <w:bCs/>
          <w:color w:val="auto"/>
          <w:kern w:val="44"/>
          <w:sz w:val="24"/>
          <w:szCs w:val="24"/>
          <w:highlight w:val="none"/>
          <w:lang w:val="en-US" w:eastAsia="zh-CN" w:bidi="ar-SA"/>
        </w:rPr>
      </w:pPr>
    </w:p>
    <w:p w14:paraId="036230FE">
      <w:pPr>
        <w:spacing w:line="460" w:lineRule="exact"/>
        <w:rPr>
          <w:rFonts w:ascii="仿宋_GB2312" w:hAnsi="仿宋_GB2312" w:eastAsia="仿宋_GB2312" w:cs="仿宋_GB2312"/>
          <w:color w:val="auto"/>
          <w:sz w:val="24"/>
          <w:highlight w:val="none"/>
        </w:rPr>
      </w:pPr>
    </w:p>
    <w:p w14:paraId="13C93B9A">
      <w:pPr>
        <w:spacing w:line="460" w:lineRule="exact"/>
        <w:rPr>
          <w:rFonts w:ascii="仿宋_GB2312" w:hAnsi="仿宋_GB2312" w:eastAsia="仿宋_GB2312" w:cs="仿宋_GB2312"/>
          <w:color w:val="auto"/>
          <w:sz w:val="24"/>
          <w:highlight w:val="none"/>
        </w:rPr>
      </w:pPr>
    </w:p>
    <w:p w14:paraId="2997537D">
      <w:pPr>
        <w:spacing w:line="460" w:lineRule="exact"/>
        <w:rPr>
          <w:rFonts w:ascii="仿宋_GB2312" w:hAnsi="仿宋_GB2312" w:eastAsia="仿宋_GB2312" w:cs="仿宋_GB2312"/>
          <w:color w:val="auto"/>
          <w:sz w:val="24"/>
          <w:highlight w:val="none"/>
        </w:rPr>
      </w:pPr>
    </w:p>
    <w:p w14:paraId="6D305770">
      <w:pPr>
        <w:keepNext/>
        <w:keepLines/>
        <w:widowControl w:val="0"/>
        <w:spacing w:before="340" w:after="330" w:line="460" w:lineRule="exact"/>
        <w:jc w:val="both"/>
        <w:outlineLvl w:val="0"/>
        <w:rPr>
          <w:rFonts w:ascii="仿宋_GB2312" w:hAnsi="仿宋_GB2312" w:eastAsia="仿宋_GB2312" w:cs="仿宋_GB2312"/>
          <w:b/>
          <w:bCs/>
          <w:color w:val="auto"/>
          <w:kern w:val="44"/>
          <w:sz w:val="24"/>
          <w:szCs w:val="24"/>
          <w:highlight w:val="none"/>
          <w:lang w:val="en-US" w:eastAsia="zh-CN" w:bidi="ar-SA"/>
        </w:rPr>
      </w:pPr>
    </w:p>
    <w:p w14:paraId="237581C7">
      <w:pPr>
        <w:spacing w:line="460" w:lineRule="exact"/>
        <w:rPr>
          <w:rFonts w:ascii="仿宋_GB2312" w:hAnsi="仿宋_GB2312" w:eastAsia="仿宋_GB2312" w:cs="仿宋_GB2312"/>
          <w:color w:val="auto"/>
          <w:sz w:val="24"/>
          <w:highlight w:val="none"/>
        </w:rPr>
      </w:pPr>
    </w:p>
    <w:p w14:paraId="0B43AFD9">
      <w:pPr>
        <w:spacing w:line="460" w:lineRule="exact"/>
        <w:rPr>
          <w:rFonts w:ascii="仿宋_GB2312" w:hAnsi="仿宋_GB2312" w:eastAsia="仿宋_GB2312" w:cs="仿宋_GB2312"/>
          <w:color w:val="auto"/>
          <w:sz w:val="24"/>
          <w:highlight w:val="none"/>
        </w:rPr>
        <w:sectPr>
          <w:footerReference r:id="rId4" w:type="default"/>
          <w:pgSz w:w="11906" w:h="16838"/>
          <w:pgMar w:top="1134" w:right="1134" w:bottom="1134" w:left="1418" w:header="851" w:footer="992" w:gutter="0"/>
          <w:pgNumType w:fmt="numberInDash" w:start="1"/>
          <w:cols w:space="720" w:num="1"/>
          <w:docGrid w:type="lines" w:linePitch="312" w:charSpace="0"/>
        </w:sectPr>
      </w:pPr>
    </w:p>
    <w:p w14:paraId="123B08C7">
      <w:pPr>
        <w:keepNext/>
        <w:keepLines/>
        <w:widowControl w:val="0"/>
        <w:numPr>
          <w:ilvl w:val="0"/>
          <w:numId w:val="1"/>
        </w:numPr>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8" w:name="_Toc25176"/>
      <w:bookmarkStart w:id="9" w:name="_Toc24957"/>
      <w:bookmarkStart w:id="10" w:name="_Toc2468"/>
      <w:bookmarkStart w:id="11" w:name="_Toc31088"/>
      <w:r>
        <w:rPr>
          <w:rFonts w:hint="eastAsia" w:ascii="仿宋_GB2312" w:hAnsi="仿宋_GB2312" w:eastAsia="仿宋_GB2312" w:cs="仿宋_GB2312"/>
          <w:b/>
          <w:bCs/>
          <w:color w:val="auto"/>
          <w:kern w:val="44"/>
          <w:sz w:val="32"/>
          <w:szCs w:val="32"/>
          <w:highlight w:val="none"/>
          <w:lang w:val="en-US" w:eastAsia="zh-CN" w:bidi="ar-SA"/>
        </w:rPr>
        <w:t>比选</w:t>
      </w:r>
      <w:bookmarkEnd w:id="0"/>
      <w:bookmarkEnd w:id="1"/>
      <w:bookmarkEnd w:id="2"/>
      <w:bookmarkEnd w:id="3"/>
      <w:bookmarkEnd w:id="4"/>
      <w:bookmarkEnd w:id="5"/>
      <w:bookmarkEnd w:id="6"/>
      <w:bookmarkEnd w:id="7"/>
      <w:bookmarkEnd w:id="8"/>
      <w:bookmarkEnd w:id="9"/>
      <w:bookmarkEnd w:id="10"/>
      <w:bookmarkEnd w:id="11"/>
      <w:r>
        <w:rPr>
          <w:rFonts w:hint="eastAsia" w:ascii="仿宋_GB2312" w:hAnsi="仿宋_GB2312" w:eastAsia="仿宋_GB2312" w:cs="仿宋_GB2312"/>
          <w:b/>
          <w:bCs/>
          <w:color w:val="auto"/>
          <w:kern w:val="44"/>
          <w:sz w:val="32"/>
          <w:szCs w:val="32"/>
          <w:highlight w:val="none"/>
          <w:lang w:val="en-US" w:eastAsia="zh-CN" w:bidi="ar-SA"/>
        </w:rPr>
        <w:t>公告</w:t>
      </w:r>
    </w:p>
    <w:p w14:paraId="6CBCDC6C">
      <w:pPr>
        <w:keepNext w:val="0"/>
        <w:keepLines w:val="0"/>
        <w:pageBreakBefore w:val="0"/>
        <w:widowControl w:val="0"/>
        <w:kinsoku/>
        <w:overflowPunct/>
        <w:topLinePunct w:val="0"/>
        <w:autoSpaceDE/>
        <w:autoSpaceDN/>
        <w:bidi w:val="0"/>
        <w:adjustRightInd/>
        <w:snapToGrid/>
        <w:spacing w:after="156" w:afterLines="50" w:line="560" w:lineRule="exact"/>
        <w:ind w:firstLine="482" w:firstLineChars="200"/>
        <w:jc w:val="lef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四川省交通物资有限责任公司（以下简称：“比选人”“交通物资公司”或“公司”）</w:t>
      </w:r>
      <w:r>
        <w:rPr>
          <w:rFonts w:hint="eastAsia" w:ascii="仿宋_GB2312" w:hAnsi="仿宋_GB2312" w:eastAsia="仿宋_GB2312" w:cs="仿宋_GB2312"/>
          <w:color w:val="auto"/>
          <w:kern w:val="2"/>
          <w:sz w:val="24"/>
          <w:szCs w:val="24"/>
          <w:highlight w:val="none"/>
          <w:lang w:val="en-US" w:eastAsia="zh-CN" w:bidi="ar-SA"/>
        </w:rPr>
        <w:t>公开比选与</w:t>
      </w:r>
      <w:r>
        <w:rPr>
          <w:rFonts w:hint="eastAsia" w:ascii="仿宋_GB2312" w:hAnsi="仿宋_GB2312" w:eastAsia="仿宋_GB2312" w:cs="仿宋_GB2312"/>
          <w:color w:val="auto"/>
          <w:sz w:val="24"/>
          <w:highlight w:val="none"/>
          <w:lang w:val="en-US" w:eastAsia="zh-CN"/>
        </w:rPr>
        <w:t>某公司买卖合同纠纷案件专项法律服务机构</w:t>
      </w:r>
      <w:r>
        <w:rPr>
          <w:rFonts w:hint="eastAsia" w:ascii="仿宋_GB2312" w:hAnsi="仿宋_GB2312" w:eastAsia="仿宋_GB2312" w:cs="仿宋_GB2312"/>
          <w:color w:val="auto"/>
          <w:kern w:val="2"/>
          <w:sz w:val="24"/>
          <w:szCs w:val="24"/>
          <w:highlight w:val="none"/>
          <w:lang w:val="en-US" w:eastAsia="zh-CN" w:bidi="ar-SA"/>
        </w:rPr>
        <w:t xml:space="preserve">。根据四川省国资委相关规定、《蜀道投资集团法律事务管理暂行办法》等有关规定，现将公开比选有关事项公告如下： </w:t>
      </w:r>
    </w:p>
    <w:p w14:paraId="14D646E6">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12" w:name="_Toc22141"/>
      <w:bookmarkStart w:id="13" w:name="_Toc13534"/>
      <w:bookmarkStart w:id="14" w:name="_Toc26286"/>
      <w:r>
        <w:rPr>
          <w:rFonts w:hint="eastAsia" w:ascii="仿宋_GB2312" w:hAnsi="仿宋_GB2312" w:eastAsia="仿宋_GB2312" w:cs="仿宋_GB2312"/>
          <w:b/>
          <w:bCs/>
          <w:color w:val="auto"/>
          <w:kern w:val="2"/>
          <w:sz w:val="24"/>
          <w:szCs w:val="24"/>
          <w:highlight w:val="none"/>
          <w:lang w:val="en-US" w:eastAsia="zh-CN" w:bidi="ar-SA"/>
        </w:rPr>
        <w:t>一、</w:t>
      </w:r>
      <w:r>
        <w:rPr>
          <w:rFonts w:hint="eastAsia" w:ascii="仿宋_GB2312" w:hAnsi="仿宋_GB2312" w:eastAsia="仿宋_GB2312" w:cs="仿宋_GB2312"/>
          <w:b/>
          <w:bCs/>
          <w:color w:val="auto"/>
          <w:sz w:val="24"/>
          <w:highlight w:val="none"/>
        </w:rPr>
        <w:t>项目名称：</w:t>
      </w:r>
      <w:bookmarkEnd w:id="12"/>
      <w:bookmarkEnd w:id="13"/>
      <w:bookmarkEnd w:id="14"/>
    </w:p>
    <w:p w14:paraId="60D56BE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四川省交通物资有限责任公司关于选聘与某公司买卖合同纠纷案件专项法律服务机构</w:t>
      </w:r>
      <w:r>
        <w:rPr>
          <w:rFonts w:hint="eastAsia" w:ascii="仿宋_GB2312" w:hAnsi="仿宋_GB2312" w:eastAsia="仿宋_GB2312" w:cs="仿宋_GB2312"/>
          <w:color w:val="auto"/>
          <w:sz w:val="24"/>
          <w:highlight w:val="none"/>
        </w:rPr>
        <w:t>。</w:t>
      </w:r>
    </w:p>
    <w:p w14:paraId="6EB61215">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color w:val="auto"/>
          <w:sz w:val="24"/>
          <w:highlight w:val="none"/>
        </w:rPr>
      </w:pPr>
      <w:bookmarkStart w:id="15" w:name="_Toc22566"/>
      <w:bookmarkStart w:id="16" w:name="_Toc25535"/>
      <w:bookmarkStart w:id="17" w:name="_Toc31392"/>
      <w:r>
        <w:rPr>
          <w:rFonts w:hint="eastAsia" w:ascii="仿宋_GB2312" w:hAnsi="仿宋_GB2312" w:eastAsia="仿宋_GB2312" w:cs="仿宋_GB2312"/>
          <w:b/>
          <w:color w:val="auto"/>
          <w:kern w:val="2"/>
          <w:sz w:val="24"/>
          <w:szCs w:val="24"/>
          <w:highlight w:val="none"/>
          <w:lang w:val="en-US" w:eastAsia="zh-CN" w:bidi="ar-SA"/>
        </w:rPr>
        <w:t>二、</w:t>
      </w:r>
      <w:r>
        <w:rPr>
          <w:rFonts w:hint="eastAsia" w:ascii="仿宋_GB2312" w:hAnsi="仿宋_GB2312" w:eastAsia="仿宋_GB2312" w:cs="仿宋_GB2312"/>
          <w:b/>
          <w:color w:val="auto"/>
          <w:sz w:val="24"/>
          <w:highlight w:val="none"/>
        </w:rPr>
        <w:t>资金来源：</w:t>
      </w:r>
      <w:bookmarkEnd w:id="15"/>
      <w:bookmarkEnd w:id="16"/>
      <w:bookmarkEnd w:id="17"/>
    </w:p>
    <w:p w14:paraId="209C62E2">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自筹资金。</w:t>
      </w:r>
    </w:p>
    <w:p w14:paraId="04C7FAC4">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18" w:name="_Toc30655"/>
      <w:bookmarkStart w:id="19" w:name="_Toc6088"/>
      <w:bookmarkStart w:id="20" w:name="_Toc4797"/>
      <w:r>
        <w:rPr>
          <w:rFonts w:hint="eastAsia" w:ascii="仿宋_GB2312" w:hAnsi="仿宋_GB2312" w:eastAsia="仿宋_GB2312" w:cs="仿宋_GB2312"/>
          <w:b/>
          <w:bCs/>
          <w:color w:val="auto"/>
          <w:sz w:val="24"/>
          <w:highlight w:val="none"/>
        </w:rPr>
        <w:t>三、比选项目简介：</w:t>
      </w:r>
      <w:bookmarkEnd w:id="18"/>
      <w:bookmarkEnd w:id="19"/>
      <w:bookmarkEnd w:id="20"/>
    </w:p>
    <w:tbl>
      <w:tblPr>
        <w:tblStyle w:val="7"/>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6"/>
        <w:gridCol w:w="2610"/>
        <w:gridCol w:w="2610"/>
      </w:tblGrid>
      <w:tr w14:paraId="421C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6" w:type="dxa"/>
            <w:vAlign w:val="center"/>
          </w:tcPr>
          <w:p w14:paraId="3D25B48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2610" w:type="dxa"/>
            <w:vAlign w:val="center"/>
          </w:tcPr>
          <w:p w14:paraId="77514ED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tc>
        <w:tc>
          <w:tcPr>
            <w:tcW w:w="2610" w:type="dxa"/>
            <w:vAlign w:val="center"/>
          </w:tcPr>
          <w:p w14:paraId="29B46F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项目编号</w:t>
            </w:r>
          </w:p>
        </w:tc>
      </w:tr>
      <w:tr w14:paraId="5C6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866" w:type="dxa"/>
            <w:vAlign w:val="center"/>
          </w:tcPr>
          <w:p w14:paraId="235DE78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四川省交通物资有限责任公司关于选聘与某公司买卖合同纠纷案件专项法律服务机构</w:t>
            </w:r>
          </w:p>
        </w:tc>
        <w:tc>
          <w:tcPr>
            <w:tcW w:w="2610" w:type="dxa"/>
            <w:vAlign w:val="center"/>
          </w:tcPr>
          <w:p w14:paraId="37195F9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合计最高限价20.6万</w:t>
            </w:r>
          </w:p>
        </w:tc>
        <w:tc>
          <w:tcPr>
            <w:tcW w:w="2610" w:type="dxa"/>
            <w:vAlign w:val="center"/>
          </w:tcPr>
          <w:p w14:paraId="3317AFE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JTWZ20251101</w:t>
            </w:r>
          </w:p>
        </w:tc>
      </w:tr>
      <w:tr w14:paraId="6C68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86" w:type="dxa"/>
            <w:gridSpan w:val="3"/>
            <w:vAlign w:val="center"/>
          </w:tcPr>
          <w:p w14:paraId="77D677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具体内容详见本比选文件第五章。</w:t>
            </w:r>
          </w:p>
        </w:tc>
      </w:tr>
    </w:tbl>
    <w:p w14:paraId="5C42D0AC">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kern w:val="2"/>
          <w:sz w:val="24"/>
          <w:szCs w:val="24"/>
          <w:highlight w:val="none"/>
          <w:lang w:val="en-US" w:eastAsia="zh-CN" w:bidi="ar-SA"/>
        </w:rPr>
      </w:pPr>
      <w:bookmarkStart w:id="21" w:name="_Toc28898"/>
      <w:bookmarkStart w:id="22" w:name="_Toc9252"/>
      <w:bookmarkStart w:id="23" w:name="_Toc8827"/>
      <w:r>
        <w:rPr>
          <w:rFonts w:hint="eastAsia" w:ascii="仿宋_GB2312" w:hAnsi="仿宋_GB2312" w:eastAsia="仿宋_GB2312" w:cs="仿宋_GB2312"/>
          <w:b/>
          <w:bCs/>
          <w:color w:val="auto"/>
          <w:kern w:val="2"/>
          <w:sz w:val="24"/>
          <w:szCs w:val="24"/>
          <w:highlight w:val="none"/>
          <w:lang w:val="en-US" w:eastAsia="zh-CN" w:bidi="ar-SA"/>
        </w:rPr>
        <w:t>四、案件基本情况</w:t>
      </w:r>
    </w:p>
    <w:p w14:paraId="329C055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（一）涉案本金：约2830万元；</w:t>
      </w:r>
    </w:p>
    <w:p w14:paraId="37951F1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（二）管辖地：云南省昭通市；</w:t>
      </w:r>
    </w:p>
    <w:p w14:paraId="04CC7DAF">
      <w:pPr>
        <w:pStyle w:val="3"/>
        <w:keepNext w:val="0"/>
        <w:keepLines w:val="0"/>
        <w:pageBreakBefore w:val="0"/>
        <w:widowControl/>
        <w:kinsoku/>
        <w:wordWrap/>
        <w:overflowPunct/>
        <w:topLinePunct w:val="0"/>
        <w:autoSpaceDE/>
        <w:autoSpaceDN/>
        <w:bidi w:val="0"/>
        <w:adjustRightInd w:val="0"/>
        <w:snapToGrid w:val="0"/>
        <w:spacing w:line="560" w:lineRule="exact"/>
        <w:ind w:left="0" w:right="0" w:firstLine="480" w:firstLineChars="200"/>
        <w:jc w:val="left"/>
        <w:textAlignment w:val="baseline"/>
        <w:rPr>
          <w:rFonts w:hint="eastAsia" w:ascii="仿宋_GB2312" w:hAnsi="仿宋_GB2312" w:eastAsia="仿宋_GB2312" w:cs="仿宋_GB2312"/>
          <w:snapToGrid/>
          <w:color w:val="000000"/>
          <w:kern w:val="2"/>
          <w:sz w:val="24"/>
          <w:szCs w:val="24"/>
          <w:lang w:val="en-US" w:eastAsia="zh-CN" w:bidi="ar-SA"/>
        </w:rPr>
      </w:pPr>
      <w:r>
        <w:rPr>
          <w:rFonts w:hint="eastAsia" w:ascii="仿宋_GB2312" w:hAnsi="仿宋_GB2312" w:eastAsia="仿宋_GB2312" w:cs="仿宋_GB2312"/>
          <w:color w:val="auto"/>
          <w:sz w:val="24"/>
          <w:highlight w:val="none"/>
          <w:lang w:val="en-US" w:eastAsia="zh-CN"/>
        </w:rPr>
        <w:t>（三）案件情况：</w:t>
      </w:r>
      <w:r>
        <w:rPr>
          <w:rFonts w:hint="eastAsia" w:ascii="仿宋_GB2312" w:hAnsi="仿宋_GB2312" w:eastAsia="仿宋_GB2312" w:cs="仿宋_GB2312"/>
          <w:snapToGrid/>
          <w:color w:val="000000"/>
          <w:kern w:val="2"/>
          <w:sz w:val="24"/>
          <w:szCs w:val="24"/>
          <w:lang w:val="en-US" w:eastAsia="zh-CN" w:bidi="ar-SA"/>
        </w:rPr>
        <w:t>交通物资公司于2022年9月30日与某公司签订了两份水泥购销合同。合同签订后，交通物资公司按时足额供货，但某公司于2024年9月开始未按合同约定足额支付货款。经多次催收，对方均不予回款。</w:t>
      </w:r>
    </w:p>
    <w:p w14:paraId="48F30D67">
      <w:pPr>
        <w:keepNext w:val="0"/>
        <w:keepLines w:val="0"/>
        <w:pageBreakBefore w:val="0"/>
        <w:widowControl w:val="0"/>
        <w:kinsoku/>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p>
    <w:p w14:paraId="0AE516E1">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SA"/>
        </w:rPr>
        <w:t>五、</w:t>
      </w:r>
      <w:r>
        <w:rPr>
          <w:rFonts w:hint="eastAsia" w:ascii="仿宋_GB2312" w:hAnsi="仿宋_GB2312" w:eastAsia="仿宋_GB2312" w:cs="仿宋_GB2312"/>
          <w:b/>
          <w:bCs/>
          <w:color w:val="auto"/>
          <w:sz w:val="24"/>
          <w:highlight w:val="none"/>
        </w:rPr>
        <w:t>对比选申请人的资格要求：</w:t>
      </w:r>
      <w:bookmarkEnd w:id="21"/>
      <w:bookmarkEnd w:id="22"/>
      <w:bookmarkEnd w:id="23"/>
    </w:p>
    <w:p w14:paraId="08F341C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资质要求：依法在中华人民共和国境内设立的律师事务所，持有合法有效律师事务所执业许可证，以及国家法律法规要求的相关从业资质（提供年检合格的律师事务所执业许可证复印件）；如分所或分支机构参加比选的，分所或分支机构须获得总所唯一授权，须提供总所的业务许可证复印件（可以一次授权或总体授权，同一个事务所的多家分支机构不可同时参加比选）；</w:t>
      </w:r>
    </w:p>
    <w:p w14:paraId="051874F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（二）人员要求：</w:t>
      </w:r>
      <w:r>
        <w:rPr>
          <w:rFonts w:hint="eastAsia" w:ascii="仿宋_GB2312" w:hAnsi="仿宋_GB2312" w:eastAsia="仿宋_GB2312" w:cs="仿宋_GB2312"/>
          <w:color w:val="auto"/>
          <w:sz w:val="24"/>
          <w:highlight w:val="none"/>
          <w:lang w:val="en-US" w:eastAsia="zh-CN"/>
        </w:rPr>
        <w:t>能在四川省内提供本地化服务，</w:t>
      </w:r>
      <w:r>
        <w:rPr>
          <w:rFonts w:hint="eastAsia" w:ascii="仿宋_GB2312" w:hAnsi="仿宋_GB2312" w:eastAsia="仿宋_GB2312" w:cs="仿宋_GB2312"/>
          <w:color w:val="auto"/>
          <w:sz w:val="24"/>
          <w:highlight w:val="none"/>
        </w:rPr>
        <w:t>组建相对固定且不少于</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人的律师团队，律师应具有司法行政主管部门颁发的《律师执业证》，执业时间3年以上，合法有效且年检合格</w:t>
      </w:r>
      <w:r>
        <w:rPr>
          <w:rFonts w:hint="eastAsia" w:ascii="仿宋_GB2312" w:hAnsi="仿宋_GB2312" w:eastAsia="仿宋_GB2312" w:cs="仿宋_GB2312"/>
          <w:color w:val="auto"/>
          <w:sz w:val="24"/>
          <w:highlight w:val="none"/>
          <w:lang w:eastAsia="zh-CN"/>
        </w:rPr>
        <w:t>；</w:t>
      </w:r>
    </w:p>
    <w:p w14:paraId="5F8978F1">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（三）信誉要求：信誉良好，投标申请人及其执业律师最近3年内未受到司法行政部门的行政处罚;</w:t>
      </w:r>
    </w:p>
    <w:p w14:paraId="572148C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证明材料:提供司法局律师工作处证明。（四）财务要求：财务状况良好，近</w:t>
      </w:r>
      <w:r>
        <w:rPr>
          <w:rFonts w:hint="eastAsia" w:ascii="仿宋_GB2312" w:hAnsi="仿宋_GB2312" w:eastAsia="仿宋_GB2312" w:cs="仿宋_GB2312"/>
          <w:color w:val="auto"/>
          <w:sz w:val="24"/>
          <w:highlight w:val="none"/>
          <w:lang w:eastAsia="zh-CN"/>
        </w:rPr>
        <w:t>3年无亏损</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2022年、2023年、2024</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44C69CD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7771A12B">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）本项目不接受联合体投标</w:t>
      </w:r>
      <w:r>
        <w:rPr>
          <w:rFonts w:hint="eastAsia" w:ascii="仿宋_GB2312" w:hAnsi="仿宋_GB2312" w:eastAsia="仿宋_GB2312" w:cs="仿宋_GB2312"/>
          <w:color w:val="auto"/>
          <w:sz w:val="24"/>
          <w:highlight w:val="none"/>
          <w:lang w:eastAsia="zh-CN"/>
        </w:rPr>
        <w:t>。</w:t>
      </w:r>
    </w:p>
    <w:p w14:paraId="5CB9C6C6">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4" w:name="_Toc24559"/>
      <w:bookmarkStart w:id="25" w:name="_Toc8257"/>
      <w:bookmarkStart w:id="26" w:name="_Toc8698"/>
      <w:r>
        <w:rPr>
          <w:rFonts w:hint="eastAsia" w:ascii="仿宋_GB2312" w:hAnsi="仿宋_GB2312" w:eastAsia="仿宋_GB2312" w:cs="仿宋_GB2312"/>
          <w:b/>
          <w:bCs/>
          <w:color w:val="auto"/>
          <w:sz w:val="24"/>
          <w:highlight w:val="none"/>
          <w:lang w:val="en-US" w:eastAsia="zh-CN"/>
        </w:rPr>
        <w:t>六</w:t>
      </w:r>
      <w:r>
        <w:rPr>
          <w:rFonts w:hint="eastAsia" w:ascii="仿宋_GB2312" w:hAnsi="仿宋_GB2312" w:eastAsia="仿宋_GB2312" w:cs="仿宋_GB2312"/>
          <w:b/>
          <w:bCs/>
          <w:color w:val="auto"/>
          <w:sz w:val="24"/>
          <w:highlight w:val="none"/>
        </w:rPr>
        <w:t>、比选文件获取时间及地点</w:t>
      </w:r>
      <w:bookmarkEnd w:id="24"/>
      <w:bookmarkEnd w:id="25"/>
      <w:bookmarkEnd w:id="26"/>
    </w:p>
    <w:p w14:paraId="729E62BC">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1.获取比选文件</w:t>
      </w:r>
      <w:r>
        <w:rPr>
          <w:rFonts w:hint="eastAsia" w:ascii="仿宋_GB2312" w:hAnsi="仿宋_GB2312" w:eastAsia="仿宋_GB2312" w:cs="仿宋_GB2312"/>
          <w:color w:val="auto"/>
          <w:sz w:val="24"/>
          <w:highlight w:val="none"/>
        </w:rPr>
        <w:t>时间：自</w:t>
      </w:r>
      <w:r>
        <w:rPr>
          <w:rFonts w:hint="eastAsia" w:ascii="仿宋_GB2312" w:hAnsi="仿宋_GB2312" w:eastAsia="仿宋_GB2312" w:cs="仿宋_GB2312"/>
          <w:color w:val="auto"/>
          <w:sz w:val="24"/>
          <w:highlight w:val="none"/>
          <w:lang w:val="en-US" w:eastAsia="zh-CN"/>
        </w:rPr>
        <w:t>2025年11月28日</w:t>
      </w:r>
      <w:r>
        <w:rPr>
          <w:rFonts w:hint="eastAsia" w:ascii="仿宋_GB2312" w:hAnsi="仿宋_GB2312" w:eastAsia="仿宋_GB2312" w:cs="仿宋_GB2312"/>
          <w:color w:val="auto"/>
          <w:sz w:val="24"/>
          <w:highlight w:val="none"/>
        </w:rPr>
        <w:t>至</w:t>
      </w: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5日9:00前</w:t>
      </w:r>
      <w:r>
        <w:rPr>
          <w:rFonts w:hint="eastAsia" w:ascii="仿宋_GB2312" w:hAnsi="仿宋_GB2312" w:eastAsia="仿宋_GB2312" w:cs="仿宋_GB2312"/>
          <w:color w:val="auto"/>
          <w:sz w:val="24"/>
          <w:highlight w:val="none"/>
        </w:rPr>
        <w:t>。</w:t>
      </w:r>
    </w:p>
    <w:p w14:paraId="61D02ED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2.比选文件获取方式：本次比选公告在四川蜀道物流集团有限公司网站（https://www.shudaowl.com/xwzx/jtyw/index.shtml）发布。比选申请人通过指定网站自行下载。</w:t>
      </w:r>
    </w:p>
    <w:p w14:paraId="2BEC074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7" w:name="_Toc6668"/>
      <w:bookmarkStart w:id="28" w:name="_Toc10949"/>
      <w:bookmarkStart w:id="29" w:name="_Toc17101"/>
      <w:r>
        <w:rPr>
          <w:rFonts w:hint="eastAsia" w:ascii="仿宋_GB2312" w:hAnsi="仿宋_GB2312" w:eastAsia="仿宋_GB2312" w:cs="仿宋_GB2312"/>
          <w:b/>
          <w:bCs/>
          <w:color w:val="auto"/>
          <w:sz w:val="24"/>
          <w:highlight w:val="none"/>
          <w:lang w:val="en-US" w:eastAsia="zh-CN"/>
        </w:rPr>
        <w:t>七</w:t>
      </w:r>
      <w:r>
        <w:rPr>
          <w:rFonts w:hint="eastAsia" w:ascii="仿宋_GB2312" w:hAnsi="仿宋_GB2312" w:eastAsia="仿宋_GB2312" w:cs="仿宋_GB2312"/>
          <w:b/>
          <w:bCs/>
          <w:color w:val="auto"/>
          <w:sz w:val="24"/>
          <w:highlight w:val="none"/>
        </w:rPr>
        <w:t>、比选申请书的递交：</w:t>
      </w:r>
      <w:bookmarkEnd w:id="27"/>
      <w:bookmarkEnd w:id="28"/>
      <w:bookmarkEnd w:id="29"/>
    </w:p>
    <w:p w14:paraId="538929F5">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1.递交比选申请书</w:t>
      </w:r>
      <w:r>
        <w:rPr>
          <w:rFonts w:hint="eastAsia" w:ascii="仿宋_GB2312" w:hAnsi="仿宋_GB2312" w:eastAsia="仿宋_GB2312" w:cs="仿宋_GB2312"/>
          <w:color w:val="auto"/>
          <w:sz w:val="24"/>
          <w:highlight w:val="none"/>
          <w:lang w:val="en-US" w:eastAsia="zh-CN"/>
        </w:rPr>
        <w:t>递交</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12月5日9:30至10:00</w:t>
      </w:r>
      <w:r>
        <w:rPr>
          <w:rFonts w:hint="eastAsia" w:ascii="仿宋_GB2312" w:hAnsi="仿宋_GB2312" w:eastAsia="仿宋_GB2312" w:cs="仿宋_GB2312"/>
          <w:color w:val="auto"/>
          <w:sz w:val="24"/>
          <w:highlight w:val="none"/>
        </w:rPr>
        <w:t>（北京时间）。</w:t>
      </w:r>
    </w:p>
    <w:p w14:paraId="5AC25BC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2.递交比选申请书地点：四川省成都市青羊区光华北五路266号青羊总部经济基地2号楼A座6楼。</w:t>
      </w:r>
    </w:p>
    <w:p w14:paraId="419786E1">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3.逾期送达或者未送达指定地点的比选申请书，比选人将不予接收。</w:t>
      </w:r>
    </w:p>
    <w:p w14:paraId="16AD4EDE">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30" w:name="_Toc11556"/>
      <w:bookmarkStart w:id="31" w:name="_Toc3060"/>
      <w:bookmarkStart w:id="32" w:name="_Toc44"/>
      <w:r>
        <w:rPr>
          <w:rFonts w:hint="eastAsia" w:ascii="仿宋_GB2312" w:hAnsi="仿宋_GB2312" w:eastAsia="仿宋_GB2312" w:cs="仿宋_GB2312"/>
          <w:b/>
          <w:bCs/>
          <w:color w:val="auto"/>
          <w:sz w:val="24"/>
          <w:highlight w:val="none"/>
          <w:lang w:val="en-US" w:eastAsia="zh-CN"/>
        </w:rPr>
        <w:t>八</w:t>
      </w:r>
      <w:r>
        <w:rPr>
          <w:rFonts w:hint="eastAsia" w:ascii="仿宋_GB2312" w:hAnsi="仿宋_GB2312" w:eastAsia="仿宋_GB2312" w:cs="仿宋_GB2312"/>
          <w:b/>
          <w:bCs/>
          <w:color w:val="auto"/>
          <w:sz w:val="24"/>
          <w:highlight w:val="none"/>
        </w:rPr>
        <w:t>、比选结果</w:t>
      </w:r>
      <w:bookmarkEnd w:id="30"/>
      <w:bookmarkEnd w:id="31"/>
      <w:bookmarkEnd w:id="32"/>
      <w:r>
        <w:rPr>
          <w:rFonts w:hint="eastAsia" w:ascii="仿宋_GB2312" w:hAnsi="仿宋_GB2312" w:eastAsia="仿宋_GB2312" w:cs="仿宋_GB2312"/>
          <w:b/>
          <w:bCs/>
          <w:color w:val="auto"/>
          <w:sz w:val="24"/>
          <w:highlight w:val="none"/>
        </w:rPr>
        <w:t>公示</w:t>
      </w:r>
    </w:p>
    <w:p w14:paraId="15501B6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bookmarkStart w:id="33" w:name="_Toc27109"/>
      <w:bookmarkStart w:id="34" w:name="_Toc3220"/>
      <w:bookmarkStart w:id="35" w:name="_Toc20715"/>
      <w:r>
        <w:rPr>
          <w:rFonts w:hint="eastAsia" w:ascii="仿宋_GB2312" w:hAnsi="仿宋_GB2312" w:eastAsia="仿宋_GB2312" w:cs="仿宋_GB2312"/>
          <w:color w:val="auto"/>
          <w:sz w:val="24"/>
          <w:highlight w:val="none"/>
        </w:rPr>
        <w:t>比选结果在四川蜀道物流集团有限公司网站（https://www.shudaowl.com/xwzx/jtyw/index.shtml）上公示3日，以接受社会公开监督。比选申请人或者其他利害关系人对评审结果有异议的，应当在公示期间提出。</w:t>
      </w:r>
    </w:p>
    <w:p w14:paraId="271DAEB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九</w:t>
      </w:r>
      <w:r>
        <w:rPr>
          <w:rFonts w:hint="eastAsia" w:ascii="仿宋_GB2312" w:hAnsi="仿宋_GB2312" w:eastAsia="仿宋_GB2312" w:cs="仿宋_GB2312"/>
          <w:b/>
          <w:bCs/>
          <w:color w:val="auto"/>
          <w:sz w:val="24"/>
          <w:highlight w:val="none"/>
        </w:rPr>
        <w:t>、联系方式</w:t>
      </w:r>
      <w:bookmarkEnd w:id="33"/>
      <w:bookmarkEnd w:id="34"/>
      <w:bookmarkEnd w:id="35"/>
    </w:p>
    <w:p w14:paraId="70281DBF">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四川省交通物资有限责任公司</w:t>
      </w:r>
    </w:p>
    <w:p w14:paraId="4A522B8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地址：四川省成都市青羊区光华北五路266号青羊总部经济基地2号楼A座6楼</w:t>
      </w:r>
    </w:p>
    <w:p w14:paraId="112BF7B3">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苟格</w:t>
      </w:r>
    </w:p>
    <w:p w14:paraId="69E79EA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 xml:space="preserve">15828331774 </w:t>
      </w:r>
    </w:p>
    <w:p w14:paraId="0D5038C6">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四川省交通物资有限责任公司</w:t>
      </w:r>
    </w:p>
    <w:p w14:paraId="4FCBD0F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28</w:t>
      </w:r>
      <w:r>
        <w:rPr>
          <w:rFonts w:hint="eastAsia" w:ascii="仿宋_GB2312" w:hAnsi="仿宋_GB2312" w:eastAsia="仿宋_GB2312" w:cs="仿宋_GB2312"/>
          <w:color w:val="auto"/>
          <w:sz w:val="24"/>
          <w:highlight w:val="none"/>
        </w:rPr>
        <w:t xml:space="preserve">日       </w:t>
      </w:r>
    </w:p>
    <w:p w14:paraId="7BAC5BD8">
      <w:pPr>
        <w:spacing w:line="460" w:lineRule="exact"/>
        <w:jc w:val="center"/>
        <w:rPr>
          <w:rFonts w:ascii="仿宋_GB2312" w:hAnsi="仿宋_GB2312" w:eastAsia="仿宋_GB2312" w:cs="仿宋_GB2312"/>
          <w:color w:val="auto"/>
          <w:sz w:val="24"/>
          <w:szCs w:val="24"/>
          <w:highlight w:val="none"/>
        </w:rPr>
        <w:sectPr>
          <w:footerReference r:id="rId5" w:type="default"/>
          <w:pgSz w:w="11906" w:h="16838"/>
          <w:pgMar w:top="1134" w:right="1134" w:bottom="1134" w:left="1418" w:header="851" w:footer="992" w:gutter="0"/>
          <w:pgNumType w:fmt="decimal" w:start="1"/>
          <w:cols w:space="720" w:num="1"/>
          <w:docGrid w:type="lines" w:linePitch="312" w:charSpace="0"/>
        </w:sectPr>
      </w:pPr>
      <w:bookmarkStart w:id="36" w:name="_Toc10831"/>
      <w:bookmarkStart w:id="37" w:name="_Toc15543"/>
    </w:p>
    <w:p w14:paraId="27DC214D">
      <w:pPr>
        <w:keepNext/>
        <w:keepLines/>
        <w:widowControl w:val="0"/>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38" w:name="_Toc11789"/>
      <w:bookmarkStart w:id="39" w:name="_Toc12159"/>
      <w:bookmarkStart w:id="40" w:name="_Toc11060"/>
      <w:bookmarkStart w:id="41" w:name="_Toc28121"/>
      <w:bookmarkStart w:id="42" w:name="_Toc32694"/>
      <w:bookmarkStart w:id="43" w:name="_Toc8513"/>
      <w:bookmarkStart w:id="44" w:name="_Toc29401"/>
      <w:bookmarkStart w:id="45" w:name="_Toc18098"/>
      <w:bookmarkStart w:id="46" w:name="_Toc28084"/>
      <w:bookmarkStart w:id="47" w:name="_Toc2958"/>
      <w:r>
        <w:rPr>
          <w:rFonts w:hint="eastAsia" w:ascii="仿宋_GB2312" w:hAnsi="仿宋_GB2312" w:eastAsia="仿宋_GB2312" w:cs="仿宋_GB2312"/>
          <w:b/>
          <w:bCs/>
          <w:color w:val="auto"/>
          <w:kern w:val="44"/>
          <w:sz w:val="32"/>
          <w:szCs w:val="32"/>
          <w:highlight w:val="none"/>
          <w:lang w:val="en-US" w:eastAsia="zh-CN" w:bidi="ar-SA"/>
        </w:rPr>
        <w:t>第二章 比选申请人须知</w:t>
      </w:r>
      <w:bookmarkEnd w:id="36"/>
      <w:bookmarkEnd w:id="37"/>
      <w:bookmarkEnd w:id="38"/>
      <w:bookmarkEnd w:id="39"/>
      <w:bookmarkEnd w:id="40"/>
      <w:bookmarkEnd w:id="41"/>
      <w:bookmarkEnd w:id="42"/>
      <w:bookmarkEnd w:id="43"/>
      <w:bookmarkEnd w:id="44"/>
      <w:bookmarkEnd w:id="45"/>
      <w:bookmarkEnd w:id="46"/>
      <w:bookmarkEnd w:id="47"/>
    </w:p>
    <w:p w14:paraId="6E1A1817">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bookmarkStart w:id="48" w:name="_Toc29372"/>
      <w:bookmarkStart w:id="49" w:name="_Toc20515"/>
      <w:bookmarkStart w:id="50" w:name="_Toc28840"/>
      <w:bookmarkStart w:id="51" w:name="_Toc7543"/>
      <w:bookmarkStart w:id="52" w:name="_Toc13191"/>
      <w:r>
        <w:rPr>
          <w:rFonts w:hint="eastAsia" w:ascii="仿宋_GB2312" w:hAnsi="仿宋_GB2312" w:eastAsia="仿宋_GB2312" w:cs="仿宋_GB2312"/>
          <w:b/>
          <w:bCs/>
          <w:color w:val="auto"/>
          <w:kern w:val="28"/>
          <w:sz w:val="24"/>
          <w:szCs w:val="24"/>
          <w:highlight w:val="none"/>
          <w:lang w:val="en-US" w:eastAsia="zh-CN" w:bidi="ar-SA"/>
        </w:rPr>
        <w:t>一、比选申请人须知前附表</w:t>
      </w:r>
      <w:bookmarkEnd w:id="48"/>
      <w:bookmarkEnd w:id="49"/>
      <w:bookmarkEnd w:id="50"/>
      <w:bookmarkEnd w:id="51"/>
      <w:bookmarkEnd w:id="52"/>
    </w:p>
    <w:tbl>
      <w:tblPr>
        <w:tblStyle w:val="7"/>
        <w:tblW w:w="98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392"/>
        <w:gridCol w:w="6662"/>
      </w:tblGrid>
      <w:tr w14:paraId="64D23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99" w:type="dxa"/>
            <w:vAlign w:val="center"/>
          </w:tcPr>
          <w:p w14:paraId="48B654C2">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392" w:type="dxa"/>
            <w:vAlign w:val="center"/>
          </w:tcPr>
          <w:p w14:paraId="792B9C1C">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内    容</w:t>
            </w:r>
          </w:p>
        </w:tc>
        <w:tc>
          <w:tcPr>
            <w:tcW w:w="6662" w:type="dxa"/>
            <w:vAlign w:val="center"/>
          </w:tcPr>
          <w:p w14:paraId="3141B91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 明 与 要 求</w:t>
            </w:r>
          </w:p>
        </w:tc>
      </w:tr>
      <w:tr w14:paraId="25F9F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99" w:type="dxa"/>
            <w:vAlign w:val="center"/>
          </w:tcPr>
          <w:p w14:paraId="3860CAF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92" w:type="dxa"/>
            <w:vAlign w:val="center"/>
          </w:tcPr>
          <w:p w14:paraId="19C430C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p>
        </w:tc>
        <w:tc>
          <w:tcPr>
            <w:tcW w:w="6662" w:type="dxa"/>
            <w:vAlign w:val="center"/>
          </w:tcPr>
          <w:p w14:paraId="6946275F">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四川省交通物资有限责任公司</w:t>
            </w:r>
          </w:p>
          <w:p w14:paraId="5A373AA5">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地址：四川省成都市青羊区光华北五路266号青羊总部经济基地2号楼A座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楼</w:t>
            </w:r>
          </w:p>
          <w:p w14:paraId="04C7397C">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 xml:space="preserve">苟格  </w:t>
            </w:r>
          </w:p>
          <w:p w14:paraId="6CD8ED95">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15828331774</w:t>
            </w:r>
          </w:p>
          <w:p w14:paraId="4FF468A1">
            <w:pPr>
              <w:pStyle w:val="3"/>
              <w:rPr>
                <w:rFonts w:hint="default"/>
                <w:color w:val="auto"/>
                <w:highlight w:val="none"/>
                <w:lang w:val="en-US" w:eastAsia="zh-CN"/>
              </w:rPr>
            </w:pPr>
            <w:r>
              <w:rPr>
                <w:rFonts w:hint="eastAsia" w:ascii="仿宋_GB2312" w:hAnsi="仿宋_GB2312" w:eastAsia="仿宋_GB2312" w:cs="仿宋_GB2312"/>
                <w:color w:val="auto"/>
                <w:sz w:val="24"/>
                <w:highlight w:val="none"/>
                <w:lang w:val="en-US" w:eastAsia="zh-CN"/>
              </w:rPr>
              <w:t>电子邮箱：15828331774</w:t>
            </w:r>
            <w:r>
              <w:rPr>
                <w:rFonts w:hint="eastAsia" w:ascii="方正小标宋简体" w:hAnsi="方正小标宋简体" w:eastAsia="方正小标宋简体" w:cs="方正小标宋简体"/>
                <w:color w:val="auto"/>
                <w:sz w:val="24"/>
                <w:highlight w:val="none"/>
              </w:rPr>
              <w:t>@</w:t>
            </w:r>
            <w:r>
              <w:rPr>
                <w:rFonts w:hint="eastAsia" w:ascii="仿宋_GB2312" w:hAnsi="仿宋_GB2312" w:eastAsia="仿宋_GB2312" w:cs="仿宋_GB2312"/>
                <w:color w:val="auto"/>
                <w:sz w:val="24"/>
                <w:highlight w:val="none"/>
                <w:lang w:val="en-US" w:eastAsia="zh-CN"/>
              </w:rPr>
              <w:t>163</w:t>
            </w:r>
            <w:r>
              <w:rPr>
                <w:rFonts w:hint="eastAsia" w:ascii="仿宋_GB2312" w:hAnsi="仿宋_GB2312" w:eastAsia="仿宋_GB2312" w:cs="仿宋_GB2312"/>
                <w:color w:val="auto"/>
                <w:sz w:val="24"/>
                <w:highlight w:val="none"/>
              </w:rPr>
              <w:t>.com</w:t>
            </w:r>
          </w:p>
        </w:tc>
      </w:tr>
      <w:tr w14:paraId="3A3A4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3349B83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92" w:type="dxa"/>
            <w:vAlign w:val="center"/>
          </w:tcPr>
          <w:p w14:paraId="2A325B4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6662" w:type="dxa"/>
            <w:vAlign w:val="center"/>
          </w:tcPr>
          <w:p w14:paraId="42B20CFD">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四川省交通物资有限责任公司关于选聘与某公司买卖合同纠纷案件专项法律服务机构</w:t>
            </w:r>
          </w:p>
        </w:tc>
      </w:tr>
      <w:tr w14:paraId="3EB9CAF2">
        <w:tblPrEx>
          <w:tblCellMar>
            <w:top w:w="0" w:type="dxa"/>
            <w:left w:w="108" w:type="dxa"/>
            <w:bottom w:w="0" w:type="dxa"/>
            <w:right w:w="108" w:type="dxa"/>
          </w:tblCellMar>
        </w:tblPrEx>
        <w:trPr>
          <w:trHeight w:val="833" w:hRule="atLeast"/>
          <w:jc w:val="center"/>
        </w:trPr>
        <w:tc>
          <w:tcPr>
            <w:tcW w:w="799" w:type="dxa"/>
            <w:vAlign w:val="center"/>
          </w:tcPr>
          <w:p w14:paraId="6C255C3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92" w:type="dxa"/>
            <w:vAlign w:val="center"/>
          </w:tcPr>
          <w:p w14:paraId="128ED43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比选申请书的</w:t>
            </w:r>
          </w:p>
          <w:p w14:paraId="29019AD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印制和签署</w:t>
            </w:r>
          </w:p>
          <w:p w14:paraId="34096718">
            <w:pPr>
              <w:spacing w:line="460" w:lineRule="exact"/>
              <w:jc w:val="center"/>
              <w:rPr>
                <w:rFonts w:ascii="仿宋_GB2312" w:hAnsi="仿宋_GB2312" w:eastAsia="仿宋_GB2312" w:cs="仿宋_GB2312"/>
                <w:color w:val="auto"/>
                <w:sz w:val="24"/>
                <w:highlight w:val="none"/>
              </w:rPr>
            </w:pPr>
          </w:p>
        </w:tc>
        <w:tc>
          <w:tcPr>
            <w:tcW w:w="6662" w:type="dxa"/>
            <w:vAlign w:val="center"/>
          </w:tcPr>
          <w:p w14:paraId="4FA9DBBE">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比选申请书数量：</w:t>
            </w:r>
            <w:r>
              <w:rPr>
                <w:rFonts w:hint="eastAsia" w:ascii="仿宋_GB2312" w:hAnsi="仿宋_GB2312" w:eastAsia="仿宋_GB2312" w:cs="仿宋_GB2312"/>
                <w:color w:val="auto"/>
                <w:sz w:val="24"/>
                <w:highlight w:val="none"/>
              </w:rPr>
              <w:t>正本壹份，副本壹份</w:t>
            </w:r>
          </w:p>
          <w:p w14:paraId="40238E08">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制作要求：</w:t>
            </w:r>
            <w:r>
              <w:rPr>
                <w:rFonts w:hint="eastAsia" w:ascii="仿宋_GB2312" w:hAnsi="仿宋_GB2312" w:eastAsia="仿宋_GB2312" w:cs="仿宋_GB2312"/>
                <w:color w:val="auto"/>
                <w:sz w:val="24"/>
                <w:highlight w:val="none"/>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5E981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52236FB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92" w:type="dxa"/>
            <w:vAlign w:val="center"/>
          </w:tcPr>
          <w:p w14:paraId="55B5FFDA">
            <w:pPr>
              <w:spacing w:line="460" w:lineRule="exact"/>
              <w:jc w:val="center"/>
              <w:rPr>
                <w:rFonts w:ascii="仿宋_GB2312" w:hAnsi="仿宋_GB2312" w:eastAsia="仿宋_GB2312" w:cs="仿宋_GB2312"/>
                <w:color w:val="auto"/>
                <w:sz w:val="24"/>
                <w:highlight w:val="none"/>
              </w:rPr>
            </w:pPr>
          </w:p>
          <w:p w14:paraId="32B86E37">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p w14:paraId="5D68CAAA">
            <w:pPr>
              <w:spacing w:line="460" w:lineRule="exact"/>
              <w:jc w:val="center"/>
              <w:rPr>
                <w:rFonts w:ascii="仿宋_GB2312" w:hAnsi="仿宋_GB2312" w:eastAsia="仿宋_GB2312" w:cs="仿宋_GB2312"/>
                <w:color w:val="auto"/>
                <w:sz w:val="24"/>
                <w:highlight w:val="none"/>
              </w:rPr>
            </w:pPr>
          </w:p>
        </w:tc>
        <w:tc>
          <w:tcPr>
            <w:tcW w:w="6662" w:type="dxa"/>
            <w:vAlign w:val="center"/>
          </w:tcPr>
          <w:p w14:paraId="3617DC97">
            <w:pPr>
              <w:pStyle w:val="3"/>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基础代理费不超过3.4万元、风险代理费不超过17.2万元。风险代理费和基础代理费合计不超过20.6万元。</w:t>
            </w:r>
          </w:p>
        </w:tc>
      </w:tr>
      <w:tr w14:paraId="3E449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dxa"/>
            <w:vAlign w:val="center"/>
          </w:tcPr>
          <w:p w14:paraId="07A709AF">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392" w:type="dxa"/>
            <w:vAlign w:val="center"/>
          </w:tcPr>
          <w:p w14:paraId="02F3136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报价方式</w:t>
            </w:r>
          </w:p>
        </w:tc>
        <w:tc>
          <w:tcPr>
            <w:tcW w:w="6662" w:type="dxa"/>
            <w:vAlign w:val="center"/>
          </w:tcPr>
          <w:p w14:paraId="6EA3FB61">
            <w:pPr>
              <w:pStyle w:val="3"/>
              <w:keepNext w:val="0"/>
              <w:keepLines w:val="0"/>
              <w:pageBreakBefore w:val="0"/>
              <w:widowControl/>
              <w:kinsoku/>
              <w:wordWrap/>
              <w:overflowPunct/>
              <w:topLinePunct w:val="0"/>
              <w:autoSpaceDE/>
              <w:autoSpaceDN/>
              <w:bidi w:val="0"/>
              <w:adjustRightInd w:val="0"/>
              <w:snapToGrid w:val="0"/>
              <w:spacing w:line="560" w:lineRule="exact"/>
              <w:ind w:right="0"/>
              <w:jc w:val="left"/>
              <w:textAlignment w:val="baseline"/>
              <w:rPr>
                <w:rFonts w:hint="eastAsia" w:ascii="仿宋" w:hAnsi="仿宋" w:eastAsia="仿宋" w:cs="Times New Roman"/>
                <w:snapToGrid/>
                <w:color w:val="000000"/>
                <w:kern w:val="2"/>
                <w:sz w:val="24"/>
                <w:szCs w:val="24"/>
                <w:lang w:val="en-US" w:eastAsia="zh-CN" w:bidi="ar-SA"/>
              </w:rPr>
            </w:pPr>
            <w:r>
              <w:rPr>
                <w:rFonts w:hint="eastAsia" w:ascii="仿宋" w:hAnsi="仿宋" w:eastAsia="仿宋" w:cs="Times New Roman"/>
                <w:snapToGrid/>
                <w:color w:val="000000"/>
                <w:kern w:val="2"/>
                <w:sz w:val="24"/>
                <w:szCs w:val="24"/>
                <w:lang w:val="en-US" w:eastAsia="zh-CN" w:bidi="ar-SA"/>
              </w:rPr>
              <w:t>按照“基础代理费+风险代理费”方式进行报价。基础代理费和风险代理费均以“元”为单位，报价费用包括但不限于仲裁程序，申请撤销仲裁裁决程序(若有),强制执行程序(若有),不予执行仲裁裁决程序(若有),执行异议、复议程序(若有)代理费用，差旅费。不包含案件办理过程中可能涉及的诉讼费、保全费、鉴定费、公告费等第三方收取的相关费用。</w:t>
            </w:r>
          </w:p>
          <w:p w14:paraId="38971479">
            <w:pPr>
              <w:spacing w:line="460" w:lineRule="exact"/>
              <w:jc w:val="left"/>
              <w:rPr>
                <w:rFonts w:hint="default" w:ascii="仿宋_GB2312" w:hAnsi="仿宋_GB2312" w:eastAsia="仿宋_GB2312" w:cs="仿宋_GB2312"/>
                <w:color w:val="auto"/>
                <w:sz w:val="24"/>
                <w:highlight w:val="none"/>
                <w:lang w:val="en-US" w:eastAsia="zh-CN"/>
              </w:rPr>
            </w:pPr>
          </w:p>
        </w:tc>
      </w:tr>
      <w:tr w14:paraId="7D31F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3D6BB3DF">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p>
        </w:tc>
        <w:tc>
          <w:tcPr>
            <w:tcW w:w="2392" w:type="dxa"/>
            <w:vAlign w:val="center"/>
          </w:tcPr>
          <w:p w14:paraId="74250DD7">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考察现场、标前</w:t>
            </w:r>
          </w:p>
          <w:p w14:paraId="1B569A2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答疑会</w:t>
            </w:r>
          </w:p>
        </w:tc>
        <w:tc>
          <w:tcPr>
            <w:tcW w:w="6662" w:type="dxa"/>
            <w:vAlign w:val="center"/>
          </w:tcPr>
          <w:p w14:paraId="2D70E6C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本项目不组织现场考察、标前答疑会</w:t>
            </w:r>
          </w:p>
        </w:tc>
      </w:tr>
      <w:tr w14:paraId="39E36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637D75AA">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p>
        </w:tc>
        <w:tc>
          <w:tcPr>
            <w:tcW w:w="2392" w:type="dxa"/>
            <w:vAlign w:val="center"/>
          </w:tcPr>
          <w:p w14:paraId="62BB7FD8">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现场陈述</w:t>
            </w:r>
          </w:p>
        </w:tc>
        <w:tc>
          <w:tcPr>
            <w:tcW w:w="6662" w:type="dxa"/>
            <w:vAlign w:val="center"/>
          </w:tcPr>
          <w:p w14:paraId="204D354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本项目不组织现场陈述</w:t>
            </w:r>
          </w:p>
        </w:tc>
      </w:tr>
      <w:tr w14:paraId="2BC31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04E85BAE">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c>
          <w:tcPr>
            <w:tcW w:w="2392" w:type="dxa"/>
            <w:vAlign w:val="center"/>
          </w:tcPr>
          <w:p w14:paraId="508AEAA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评审方法</w:t>
            </w:r>
          </w:p>
        </w:tc>
        <w:tc>
          <w:tcPr>
            <w:tcW w:w="6662" w:type="dxa"/>
            <w:vAlign w:val="center"/>
          </w:tcPr>
          <w:p w14:paraId="67CD58D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详见比选文件第六章。</w:t>
            </w:r>
          </w:p>
        </w:tc>
      </w:tr>
      <w:tr w14:paraId="008AE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799" w:type="dxa"/>
            <w:vAlign w:val="center"/>
          </w:tcPr>
          <w:p w14:paraId="6855380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9</w:t>
            </w:r>
          </w:p>
        </w:tc>
        <w:tc>
          <w:tcPr>
            <w:tcW w:w="2392" w:type="dxa"/>
            <w:vAlign w:val="center"/>
          </w:tcPr>
          <w:p w14:paraId="30813A9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关于比选文件规定的时间释义</w:t>
            </w:r>
          </w:p>
        </w:tc>
        <w:tc>
          <w:tcPr>
            <w:tcW w:w="6662" w:type="dxa"/>
            <w:vAlign w:val="center"/>
          </w:tcPr>
          <w:p w14:paraId="61EDAA3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本项目比选文件中规定的时间均以北京时间为准。</w:t>
            </w:r>
          </w:p>
        </w:tc>
      </w:tr>
      <w:tr w14:paraId="1949B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F1511DD">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2392" w:type="dxa"/>
            <w:vAlign w:val="center"/>
          </w:tcPr>
          <w:p w14:paraId="56B5A6C6">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参与比选活动保证金</w:t>
            </w:r>
          </w:p>
        </w:tc>
        <w:tc>
          <w:tcPr>
            <w:tcW w:w="6662" w:type="dxa"/>
            <w:vAlign w:val="center"/>
          </w:tcPr>
          <w:p w14:paraId="2B68CA29">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本项目不作要求。</w:t>
            </w:r>
          </w:p>
        </w:tc>
      </w:tr>
      <w:tr w14:paraId="22B80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44AD62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392" w:type="dxa"/>
            <w:vAlign w:val="center"/>
          </w:tcPr>
          <w:p w14:paraId="295445D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案件情况</w:t>
            </w:r>
          </w:p>
        </w:tc>
        <w:tc>
          <w:tcPr>
            <w:tcW w:w="6662" w:type="dxa"/>
            <w:vAlign w:val="center"/>
          </w:tcPr>
          <w:p w14:paraId="1BDA34A5">
            <w:pPr>
              <w:spacing w:line="46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鉴于本案性质为买卖合同纠纷，涉案金额较大，情况复杂，请在</w:t>
            </w: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17:00</w:t>
            </w:r>
            <w:r>
              <w:rPr>
                <w:rFonts w:hint="eastAsia" w:ascii="仿宋_GB2312" w:hAnsi="仿宋_GB2312" w:eastAsia="仿宋_GB2312" w:cs="仿宋_GB2312"/>
                <w:color w:val="auto"/>
                <w:sz w:val="24"/>
                <w:highlight w:val="none"/>
              </w:rPr>
              <w:t>前，将</w:t>
            </w:r>
            <w:r>
              <w:rPr>
                <w:rFonts w:hint="eastAsia" w:ascii="仿宋_GB2312" w:hAnsi="仿宋_GB2312" w:eastAsia="仿宋_GB2312" w:cs="仿宋_GB2312"/>
                <w:color w:val="auto"/>
                <w:sz w:val="24"/>
                <w:highlight w:val="none"/>
                <w:lang w:val="en-US" w:eastAsia="zh-CN"/>
              </w:rPr>
              <w:t>第四章四点“比选申请人的资格要求证明材料承诺函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反馈至</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。该承诺函需加盖</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公章，并由法定代表人或授权代表签字，</w:t>
            </w:r>
            <w:r>
              <w:rPr>
                <w:rFonts w:hint="eastAsia" w:ascii="仿宋_GB2312" w:hAnsi="仿宋_GB2312" w:eastAsia="仿宋_GB2312" w:cs="仿宋_GB2312"/>
                <w:color w:val="auto"/>
                <w:sz w:val="24"/>
                <w:highlight w:val="none"/>
                <w:lang w:val="en-US" w:eastAsia="zh-CN"/>
              </w:rPr>
              <w:t>以邮件的形式将扫描件及联系方式发送至邮箱15828331774@163.com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并将原件附在响应文件中，</w:t>
            </w:r>
            <w:r>
              <w:rPr>
                <w:rFonts w:hint="eastAsia" w:ascii="仿宋_GB2312" w:hAnsi="仿宋_GB2312" w:eastAsia="仿宋_GB2312" w:cs="仿宋_GB2312"/>
                <w:color w:val="auto"/>
                <w:sz w:val="24"/>
                <w:highlight w:val="none"/>
              </w:rPr>
              <w:t>以确保案件信息的保密性和安全性。</w:t>
            </w:r>
          </w:p>
          <w:p w14:paraId="38E27E11">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在收到</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签署的承诺函后，</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将向</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提供详细的案件材料，以便</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深入研究分析。同时，为方便</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进一步了解案件情况，也可</w:t>
            </w:r>
            <w:r>
              <w:rPr>
                <w:rFonts w:hint="eastAsia" w:ascii="仿宋_GB2312" w:hAnsi="仿宋_GB2312" w:eastAsia="仿宋_GB2312" w:cs="仿宋_GB2312"/>
                <w:color w:val="auto"/>
                <w:sz w:val="24"/>
                <w:highlight w:val="none"/>
                <w:lang w:val="en-US" w:eastAsia="zh-CN"/>
              </w:rPr>
              <w:t>与比选人联系，</w:t>
            </w:r>
            <w:r>
              <w:rPr>
                <w:rFonts w:hint="eastAsia" w:ascii="仿宋_GB2312" w:hAnsi="仿宋_GB2312" w:eastAsia="仿宋_GB2312" w:cs="仿宋_GB2312"/>
                <w:color w:val="auto"/>
                <w:sz w:val="24"/>
                <w:highlight w:val="none"/>
              </w:rPr>
              <w:t>安排相关律师前往</w:t>
            </w:r>
            <w:r>
              <w:rPr>
                <w:rFonts w:hint="eastAsia" w:ascii="仿宋_GB2312" w:hAnsi="仿宋_GB2312" w:eastAsia="仿宋_GB2312" w:cs="仿宋_GB2312"/>
                <w:color w:val="auto"/>
                <w:sz w:val="24"/>
                <w:highlight w:val="none"/>
                <w:lang w:val="en-US" w:eastAsia="zh-CN"/>
              </w:rPr>
              <w:t>比选人公司</w:t>
            </w:r>
            <w:r>
              <w:rPr>
                <w:rFonts w:hint="eastAsia" w:ascii="仿宋_GB2312" w:hAnsi="仿宋_GB2312" w:eastAsia="仿宋_GB2312" w:cs="仿宋_GB2312"/>
                <w:color w:val="auto"/>
                <w:sz w:val="24"/>
                <w:highlight w:val="none"/>
              </w:rPr>
              <w:t>现场查阅案件材料。</w:t>
            </w:r>
          </w:p>
        </w:tc>
      </w:tr>
      <w:tr w14:paraId="0B78F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138D0581">
            <w:pPr>
              <w:spacing w:line="460" w:lineRule="exact"/>
              <w:jc w:val="center"/>
              <w:rPr>
                <w:rFonts w:hint="default" w:ascii="仿宋_GB2312" w:hAnsi="仿宋_GB2312" w:eastAsia="仿宋_GB2312" w:cs="仿宋_GB2312"/>
                <w:color w:val="auto"/>
                <w:sz w:val="24"/>
                <w:highlight w:val="none"/>
                <w:lang w:val="en-US" w:eastAsia="zh-CN"/>
              </w:rPr>
            </w:pPr>
            <w:bookmarkStart w:id="53" w:name="_Toc26013"/>
            <w:bookmarkStart w:id="54" w:name="_Toc10423"/>
            <w:bookmarkStart w:id="55" w:name="_Toc29260"/>
            <w:r>
              <w:rPr>
                <w:rFonts w:hint="eastAsia" w:ascii="仿宋_GB2312" w:hAnsi="仿宋_GB2312" w:eastAsia="仿宋_GB2312" w:cs="仿宋_GB2312"/>
                <w:color w:val="auto"/>
                <w:sz w:val="24"/>
                <w:highlight w:val="none"/>
                <w:lang w:val="en-US" w:eastAsia="zh-CN"/>
              </w:rPr>
              <w:t>12</w:t>
            </w:r>
          </w:p>
        </w:tc>
        <w:tc>
          <w:tcPr>
            <w:tcW w:w="2392" w:type="dxa"/>
            <w:vAlign w:val="center"/>
          </w:tcPr>
          <w:p w14:paraId="6D25BDE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报价有效期</w:t>
            </w:r>
          </w:p>
        </w:tc>
        <w:tc>
          <w:tcPr>
            <w:tcW w:w="6662" w:type="dxa"/>
            <w:vAlign w:val="center"/>
          </w:tcPr>
          <w:p w14:paraId="64B2C8A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报价截止之日起</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w:t>
            </w:r>
          </w:p>
        </w:tc>
      </w:tr>
      <w:tr w14:paraId="0E6C5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01F47A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392" w:type="dxa"/>
            <w:vAlign w:val="center"/>
          </w:tcPr>
          <w:p w14:paraId="5090289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签字盖章</w:t>
            </w:r>
          </w:p>
        </w:tc>
        <w:tc>
          <w:tcPr>
            <w:tcW w:w="6662" w:type="dxa"/>
            <w:vAlign w:val="center"/>
          </w:tcPr>
          <w:p w14:paraId="7B8BE38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比选申请人必须按照采购文件的规定和要求签字、盖章。</w:t>
            </w:r>
          </w:p>
        </w:tc>
      </w:tr>
      <w:tr w14:paraId="69F54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7548733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2392" w:type="dxa"/>
            <w:vAlign w:val="center"/>
          </w:tcPr>
          <w:p w14:paraId="0C0E7D5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响应文件的装订</w:t>
            </w:r>
          </w:p>
        </w:tc>
        <w:tc>
          <w:tcPr>
            <w:tcW w:w="6662" w:type="dxa"/>
            <w:vAlign w:val="center"/>
          </w:tcPr>
          <w:p w14:paraId="6E2276D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一份正本和一份副本分别装订。</w:t>
            </w:r>
          </w:p>
        </w:tc>
      </w:tr>
      <w:tr w14:paraId="494F9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6D74FA3">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5</w:t>
            </w:r>
          </w:p>
        </w:tc>
        <w:tc>
          <w:tcPr>
            <w:tcW w:w="2392" w:type="dxa"/>
            <w:vAlign w:val="center"/>
          </w:tcPr>
          <w:p w14:paraId="49B339D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响应文件封面的标注</w:t>
            </w:r>
          </w:p>
        </w:tc>
        <w:tc>
          <w:tcPr>
            <w:tcW w:w="6662" w:type="dxa"/>
            <w:vAlign w:val="center"/>
          </w:tcPr>
          <w:p w14:paraId="2460DD8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响应文件正本和副本的封面上均应标明：</w:t>
            </w:r>
            <w:r>
              <w:rPr>
                <w:rFonts w:hint="eastAsia" w:ascii="仿宋_GB2312" w:hAnsi="仿宋_GB2312" w:eastAsia="仿宋_GB2312" w:cs="仿宋_GB2312"/>
                <w:color w:val="auto"/>
                <w:sz w:val="24"/>
                <w:highlight w:val="none"/>
                <w:lang w:val="en-US" w:eastAsia="zh-CN"/>
              </w:rPr>
              <w:t>项目编号、</w:t>
            </w:r>
            <w:r>
              <w:rPr>
                <w:rFonts w:hint="eastAsia" w:ascii="仿宋_GB2312" w:hAnsi="仿宋_GB2312" w:eastAsia="仿宋_GB2312" w:cs="仿宋_GB2312"/>
                <w:color w:val="auto"/>
                <w:sz w:val="24"/>
                <w:highlight w:val="none"/>
              </w:rPr>
              <w:t>采购项目名称、申请人名称、年月日；并分别在右上角标明“正本”和“副本”字样。</w:t>
            </w:r>
          </w:p>
        </w:tc>
      </w:tr>
      <w:tr w14:paraId="21F12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2C21B13">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p>
        </w:tc>
        <w:tc>
          <w:tcPr>
            <w:tcW w:w="2392" w:type="dxa"/>
            <w:vAlign w:val="center"/>
          </w:tcPr>
          <w:p w14:paraId="623725B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响应文件外层密封袋的标注</w:t>
            </w:r>
          </w:p>
        </w:tc>
        <w:tc>
          <w:tcPr>
            <w:tcW w:w="6662" w:type="dxa"/>
            <w:vAlign w:val="center"/>
          </w:tcPr>
          <w:p w14:paraId="74A82209">
            <w:pPr>
              <w:widowControl w:val="0"/>
              <w:spacing w:line="4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项目编号、采购项目名称、申请人名称、响应时间，密封袋背面应贴上密封条并注明“开标前不得开启”字样</w:t>
            </w:r>
          </w:p>
        </w:tc>
      </w:tr>
      <w:tr w14:paraId="6D6E1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E00BA2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7</w:t>
            </w:r>
          </w:p>
        </w:tc>
        <w:tc>
          <w:tcPr>
            <w:tcW w:w="2392" w:type="dxa"/>
            <w:vAlign w:val="center"/>
          </w:tcPr>
          <w:p w14:paraId="143ECD5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递交报价文件地点</w:t>
            </w:r>
          </w:p>
        </w:tc>
        <w:tc>
          <w:tcPr>
            <w:tcW w:w="6662" w:type="dxa"/>
            <w:vAlign w:val="center"/>
          </w:tcPr>
          <w:p w14:paraId="720E356C">
            <w:pPr>
              <w:spacing w:line="460" w:lineRule="exact"/>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rPr>
              <w:t>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default" w:ascii="仿宋_GB2312" w:hAnsi="仿宋_GB2312" w:eastAsia="仿宋_GB2312" w:cs="仿宋_GB2312"/>
                <w:color w:val="auto"/>
                <w:sz w:val="24"/>
                <w:highlight w:val="none"/>
              </w:rPr>
              <w:t>楼</w:t>
            </w:r>
          </w:p>
        </w:tc>
      </w:tr>
      <w:tr w14:paraId="06E7A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2FFE40D">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p>
        </w:tc>
        <w:tc>
          <w:tcPr>
            <w:tcW w:w="2392" w:type="dxa"/>
            <w:vAlign w:val="center"/>
          </w:tcPr>
          <w:p w14:paraId="26381A3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评审时间和地点</w:t>
            </w:r>
          </w:p>
        </w:tc>
        <w:tc>
          <w:tcPr>
            <w:tcW w:w="6662" w:type="dxa"/>
            <w:vAlign w:val="center"/>
          </w:tcPr>
          <w:p w14:paraId="514A135D">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w:t>
            </w:r>
            <w:r>
              <w:rPr>
                <w:rFonts w:hint="eastAsia" w:ascii="仿宋_GB2312" w:hAnsi="仿宋_GB2312" w:eastAsia="仿宋_GB2312" w:cs="仿宋_GB2312"/>
                <w:color w:val="auto"/>
                <w:sz w:val="24"/>
                <w:highlight w:val="none"/>
                <w:lang w:val="en-US" w:eastAsia="zh-CN"/>
              </w:rPr>
              <w:t>同报价截止时间:</w:t>
            </w:r>
            <w:r>
              <w:rPr>
                <w:rFonts w:hint="eastAsia" w:ascii="仿宋_GB2312" w:hAnsi="仿宋_GB2312" w:eastAsia="仿宋_GB2312" w:cs="仿宋_GB2312"/>
                <w:color w:val="auto"/>
                <w:sz w:val="24"/>
                <w:highlight w:val="none"/>
              </w:rPr>
              <w:t>；</w:t>
            </w:r>
          </w:p>
          <w:p w14:paraId="37849662">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评审地点：</w:t>
            </w:r>
            <w:r>
              <w:rPr>
                <w:rFonts w:hint="eastAsia" w:ascii="仿宋_GB2312" w:hAnsi="仿宋_GB2312" w:eastAsia="仿宋_GB2312" w:cs="仿宋_GB2312"/>
                <w:color w:val="auto"/>
                <w:sz w:val="24"/>
                <w:highlight w:val="none"/>
                <w:lang w:val="en-US" w:eastAsia="zh-CN"/>
              </w:rPr>
              <w:t>同递交比选申请书地点</w:t>
            </w:r>
            <w:r>
              <w:rPr>
                <w:rFonts w:hint="eastAsia" w:ascii="仿宋_GB2312" w:hAnsi="仿宋_GB2312" w:eastAsia="仿宋_GB2312" w:cs="仿宋_GB2312"/>
                <w:color w:val="auto"/>
                <w:sz w:val="24"/>
                <w:highlight w:val="none"/>
              </w:rPr>
              <w:t>。</w:t>
            </w:r>
          </w:p>
        </w:tc>
      </w:tr>
      <w:tr w14:paraId="78D64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F73A1C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9</w:t>
            </w:r>
          </w:p>
        </w:tc>
        <w:tc>
          <w:tcPr>
            <w:tcW w:w="2392" w:type="dxa"/>
            <w:vAlign w:val="center"/>
          </w:tcPr>
          <w:p w14:paraId="1042261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付款方式</w:t>
            </w:r>
          </w:p>
        </w:tc>
        <w:tc>
          <w:tcPr>
            <w:tcW w:w="6662" w:type="dxa"/>
            <w:vAlign w:val="center"/>
          </w:tcPr>
          <w:p w14:paraId="0A6125E7">
            <w:pPr>
              <w:spacing w:before="156" w:beforeLines="50" w:line="360" w:lineRule="exact"/>
              <w:jc w:val="both"/>
              <w:rPr>
                <w:rFonts w:hint="eastAsia" w:ascii="仿宋_GB2312" w:hAnsi="仿宋_GB2312" w:eastAsia="仿宋_GB2312" w:cs="仿宋_GB2312"/>
                <w:color w:val="000000" w:themeColor="text1"/>
                <w:sz w:val="24"/>
                <w:szCs w:val="24"/>
                <w:highlight w:val="none"/>
                <w:u w:val="singl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基础代理费由签订合同且甲方收到乙方发票后1</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5个工作日</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支付</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%。风险代理以甲方收到乙方发票后</w:t>
            </w:r>
            <w:r>
              <w:rPr>
                <w:rFonts w:hint="eastAsia" w:ascii="仿宋_GB2312" w:hAnsi="仿宋_GB2312" w:eastAsia="仿宋_GB2312" w:cs="仿宋_GB2312"/>
                <w:strike w:val="0"/>
                <w:dstrike w:val="0"/>
                <w:color w:val="000000" w:themeColor="text1"/>
                <w:sz w:val="24"/>
                <w:szCs w:val="24"/>
                <w:highlight w:val="none"/>
                <w:u w:val="single"/>
                <w:lang w:val="en-US" w:eastAsia="zh-CN"/>
                <w14:textFill>
                  <w14:solidFill>
                    <w14:schemeClr w14:val="tx1"/>
                  </w14:solidFill>
                </w14:textFill>
              </w:rPr>
              <w:t>15个工作日内</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，按照甲方收到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部分等比例支付，甲方收到的案件回均认定为“先本后息”。</w:t>
            </w:r>
          </w:p>
          <w:p w14:paraId="09B5C95B">
            <w:pPr>
              <w:spacing w:line="460" w:lineRule="exact"/>
              <w:rPr>
                <w:rFonts w:hint="default" w:ascii="仿宋_GB2312" w:hAnsi="仿宋_GB2312" w:eastAsia="仿宋_GB2312" w:cs="仿宋_GB2312"/>
                <w:color w:val="auto"/>
                <w:sz w:val="24"/>
                <w:highlight w:val="none"/>
                <w:lang w:val="en-US"/>
              </w:rPr>
            </w:pPr>
          </w:p>
        </w:tc>
      </w:tr>
    </w:tbl>
    <w:p w14:paraId="1F703BEB">
      <w:pPr>
        <w:spacing w:before="240" w:after="60" w:line="460" w:lineRule="exact"/>
        <w:outlineLvl w:val="1"/>
        <w:rPr>
          <w:rFonts w:hint="eastAsia" w:ascii="仿宋_GB2312" w:hAnsi="仿宋_GB2312" w:eastAsia="仿宋_GB2312" w:cs="仿宋_GB2312"/>
          <w:b/>
          <w:color w:val="auto"/>
          <w:sz w:val="24"/>
          <w:highlight w:val="none"/>
        </w:rPr>
      </w:pPr>
      <w:bookmarkStart w:id="56" w:name="_Toc30748"/>
      <w:bookmarkStart w:id="57" w:name="_Toc23806"/>
      <w:bookmarkStart w:id="58" w:name="_Toc7226"/>
    </w:p>
    <w:p w14:paraId="34C9A16A">
      <w:pPr>
        <w:spacing w:before="240" w:after="60" w:line="460" w:lineRule="exact"/>
        <w:outlineLvl w:val="1"/>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二、总则</w:t>
      </w:r>
      <w:bookmarkEnd w:id="53"/>
      <w:bookmarkEnd w:id="54"/>
      <w:bookmarkEnd w:id="55"/>
      <w:bookmarkEnd w:id="56"/>
      <w:bookmarkEnd w:id="57"/>
      <w:bookmarkEnd w:id="58"/>
    </w:p>
    <w:p w14:paraId="70B6F10A">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59" w:name="_Toc183582205"/>
      <w:bookmarkStart w:id="60" w:name="_Toc183682342"/>
      <w:bookmarkStart w:id="61" w:name="_Toc466391880"/>
      <w:bookmarkStart w:id="62" w:name="_Toc474502513"/>
      <w:bookmarkStart w:id="63" w:name="_Toc361325741"/>
      <w:bookmarkStart w:id="64" w:name="_Toc465149293"/>
      <w:bookmarkStart w:id="65" w:name="_Toc23579"/>
      <w:bookmarkStart w:id="66" w:name="_Toc480453647"/>
      <w:bookmarkStart w:id="67" w:name="_Toc217446034"/>
      <w:bookmarkStart w:id="68" w:name="_Toc513468977"/>
      <w:bookmarkStart w:id="69" w:name="_Toc14301616"/>
      <w:bookmarkStart w:id="70" w:name="_Toc444620282"/>
      <w:bookmarkStart w:id="71" w:name="_Toc362988437"/>
      <w:bookmarkStart w:id="72" w:name="_Toc22245"/>
      <w:bookmarkStart w:id="73" w:name="_Toc13301"/>
      <w:bookmarkStart w:id="74" w:name="_Toc14336241"/>
      <w:bookmarkStart w:id="75" w:name="_Toc14948"/>
      <w:bookmarkStart w:id="76" w:name="_Toc361388549"/>
      <w:bookmarkStart w:id="77" w:name="_Toc474326973"/>
      <w:bookmarkStart w:id="78" w:name="_Toc25528"/>
      <w:bookmarkStart w:id="79" w:name="_Toc15283"/>
      <w:bookmarkStart w:id="80" w:name="_Toc505261839"/>
      <w:r>
        <w:rPr>
          <w:rFonts w:hint="eastAsia" w:ascii="仿宋_GB2312" w:hAnsi="仿宋_GB2312" w:eastAsia="仿宋_GB2312" w:cs="仿宋_GB2312"/>
          <w:b/>
          <w:bCs/>
          <w:color w:val="auto"/>
          <w:kern w:val="2"/>
          <w:sz w:val="24"/>
          <w:szCs w:val="24"/>
          <w:highlight w:val="none"/>
          <w:lang w:val="en-US" w:eastAsia="zh-CN" w:bidi="ar-SA"/>
        </w:rPr>
        <w:t>1</w:t>
      </w:r>
      <w:bookmarkEnd w:id="59"/>
      <w:bookmarkEnd w:id="60"/>
      <w:r>
        <w:rPr>
          <w:rFonts w:hint="eastAsia" w:ascii="仿宋_GB2312" w:hAnsi="仿宋_GB2312" w:eastAsia="仿宋_GB2312" w:cs="仿宋_GB2312"/>
          <w:b/>
          <w:bCs/>
          <w:color w:val="auto"/>
          <w:kern w:val="2"/>
          <w:sz w:val="24"/>
          <w:szCs w:val="24"/>
          <w:highlight w:val="none"/>
          <w:lang w:val="en-US" w:eastAsia="zh-CN" w:bidi="ar-SA"/>
        </w:rPr>
        <w:t>.适用范围</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9155A9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本比选文件仅适用于本次比选项目。</w:t>
      </w:r>
    </w:p>
    <w:p w14:paraId="511C54AE">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81" w:name="_Toc361325742"/>
      <w:bookmarkStart w:id="82" w:name="_Toc29183"/>
      <w:bookmarkStart w:id="83" w:name="_Toc7966"/>
      <w:bookmarkStart w:id="84" w:name="_Toc361388550"/>
      <w:bookmarkStart w:id="85" w:name="_Toc362988438"/>
      <w:bookmarkStart w:id="86" w:name="_Toc474502514"/>
      <w:bookmarkStart w:id="87" w:name="_Toc505261840"/>
      <w:bookmarkStart w:id="88" w:name="_Toc13250"/>
      <w:bookmarkStart w:id="89" w:name="_Toc465149294"/>
      <w:bookmarkStart w:id="90" w:name="_Toc513468978"/>
      <w:bookmarkStart w:id="91" w:name="_Toc444620283"/>
      <w:bookmarkStart w:id="92" w:name="_Toc9946"/>
      <w:bookmarkStart w:id="93" w:name="_Toc14336242"/>
      <w:bookmarkStart w:id="94" w:name="_Toc16870"/>
      <w:bookmarkStart w:id="95" w:name="_Toc466391881"/>
      <w:bookmarkStart w:id="96" w:name="_Toc14301617"/>
      <w:bookmarkStart w:id="97" w:name="_Toc217446035"/>
      <w:bookmarkStart w:id="98" w:name="_Toc480453648"/>
      <w:bookmarkStart w:id="99" w:name="_Toc474326974"/>
      <w:bookmarkStart w:id="100" w:name="_Toc24301"/>
      <w:r>
        <w:rPr>
          <w:rFonts w:hint="eastAsia" w:ascii="仿宋_GB2312" w:hAnsi="仿宋_GB2312" w:eastAsia="仿宋_GB2312" w:cs="仿宋_GB2312"/>
          <w:b/>
          <w:bCs/>
          <w:color w:val="auto"/>
          <w:kern w:val="2"/>
          <w:sz w:val="24"/>
          <w:szCs w:val="24"/>
          <w:highlight w:val="none"/>
          <w:lang w:val="en-US" w:eastAsia="zh-CN" w:bidi="ar-SA"/>
        </w:rPr>
        <w:t>2.有关定义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0E5786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2.1“比选人”系指本次比选活动的采购方。</w:t>
      </w:r>
    </w:p>
    <w:p w14:paraId="69CE2C74">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2.2“比选申请人”系指获取了比选文件拟参加比选活动和向比选人提供服务的律师事务所。</w:t>
      </w:r>
    </w:p>
    <w:p w14:paraId="2C4F05CE">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01" w:name="_Toc217390843"/>
      <w:bookmarkStart w:id="102" w:name="_Toc217446036"/>
      <w:bookmarkStart w:id="103" w:name="_Toc183682344"/>
      <w:bookmarkStart w:id="104" w:name="_Toc183582207"/>
      <w:bookmarkStart w:id="105" w:name="_Toc14336243"/>
      <w:bookmarkStart w:id="106" w:name="_Toc14301618"/>
      <w:bookmarkStart w:id="107" w:name="_Toc23605"/>
      <w:bookmarkStart w:id="108" w:name="_Toc505261841"/>
      <w:bookmarkStart w:id="109" w:name="_Toc480453649"/>
      <w:bookmarkStart w:id="110" w:name="_Toc469403730"/>
      <w:bookmarkStart w:id="111" w:name="_Toc474502515"/>
      <w:bookmarkStart w:id="112" w:name="_Toc474326975"/>
      <w:bookmarkStart w:id="113" w:name="_Toc513468979"/>
      <w:bookmarkStart w:id="114" w:name="_Toc11316"/>
      <w:bookmarkStart w:id="115" w:name="_Toc32609"/>
      <w:bookmarkStart w:id="116" w:name="_Toc30072"/>
      <w:bookmarkStart w:id="117" w:name="_Toc2091"/>
      <w:bookmarkStart w:id="118" w:name="_Toc20749"/>
      <w:r>
        <w:rPr>
          <w:rFonts w:hint="eastAsia" w:ascii="仿宋_GB2312" w:hAnsi="仿宋_GB2312" w:eastAsia="仿宋_GB2312" w:cs="仿宋_GB2312"/>
          <w:b/>
          <w:bCs/>
          <w:color w:val="auto"/>
          <w:kern w:val="2"/>
          <w:sz w:val="24"/>
          <w:szCs w:val="24"/>
          <w:highlight w:val="none"/>
          <w:lang w:val="en-US" w:eastAsia="zh-CN" w:bidi="ar-SA"/>
        </w:rPr>
        <w:t>3.合格的</w:t>
      </w:r>
      <w:bookmarkEnd w:id="101"/>
      <w:bookmarkEnd w:id="102"/>
      <w:bookmarkEnd w:id="103"/>
      <w:bookmarkEnd w:id="104"/>
      <w:r>
        <w:rPr>
          <w:rFonts w:hint="eastAsia" w:ascii="仿宋_GB2312" w:hAnsi="仿宋_GB2312" w:eastAsia="仿宋_GB2312" w:cs="仿宋_GB2312"/>
          <w:b/>
          <w:bCs/>
          <w:color w:val="auto"/>
          <w:kern w:val="2"/>
          <w:sz w:val="24"/>
          <w:szCs w:val="24"/>
          <w:highlight w:val="none"/>
          <w:lang w:val="en-US" w:eastAsia="zh-CN" w:bidi="ar-SA"/>
        </w:rPr>
        <w:t>比选申请人</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90759B4">
      <w:pPr>
        <w:spacing w:line="460" w:lineRule="exact"/>
        <w:ind w:firstLine="480" w:firstLineChars="200"/>
        <w:rPr>
          <w:rFonts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z w:val="24"/>
          <w:highlight w:val="none"/>
        </w:rPr>
        <w:t>6.1 本比选文件规定的比选申请人的资格要求</w:t>
      </w:r>
      <w:r>
        <w:rPr>
          <w:rFonts w:hint="eastAsia" w:ascii="仿宋_GB2312" w:hAnsi="仿宋_GB2312" w:eastAsia="仿宋_GB2312" w:cs="仿宋_GB2312"/>
          <w:color w:val="auto"/>
          <w:spacing w:val="-4"/>
          <w:sz w:val="24"/>
          <w:highlight w:val="none"/>
        </w:rPr>
        <w:t>。</w:t>
      </w:r>
    </w:p>
    <w:p w14:paraId="01EBCB6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遵守国家有关的</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、规章和其他政策制度。</w:t>
      </w:r>
    </w:p>
    <w:p w14:paraId="341C5C82">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19" w:name="_Toc183682345"/>
      <w:bookmarkStart w:id="120" w:name="_Toc474326976"/>
      <w:bookmarkStart w:id="121" w:name="_Toc505261842"/>
      <w:bookmarkStart w:id="122" w:name="_Toc513468980"/>
      <w:bookmarkStart w:id="123" w:name="_Toc19314"/>
      <w:bookmarkStart w:id="124" w:name="_Toc469403731"/>
      <w:bookmarkStart w:id="125" w:name="_Toc480453650"/>
      <w:bookmarkStart w:id="126" w:name="_Toc474502516"/>
      <w:bookmarkStart w:id="127" w:name="_Toc6617"/>
      <w:bookmarkStart w:id="128" w:name="_Toc217446037"/>
      <w:bookmarkStart w:id="129" w:name="_Toc14336244"/>
      <w:bookmarkStart w:id="130" w:name="_Toc14301619"/>
      <w:bookmarkStart w:id="131" w:name="_Toc460"/>
      <w:bookmarkStart w:id="132" w:name="_Toc26743"/>
      <w:bookmarkStart w:id="133" w:name="_Toc10177"/>
      <w:bookmarkStart w:id="134" w:name="_Toc183582208"/>
      <w:bookmarkStart w:id="135" w:name="_Toc31967"/>
      <w:r>
        <w:rPr>
          <w:rFonts w:hint="eastAsia" w:ascii="仿宋_GB2312" w:hAnsi="仿宋_GB2312" w:eastAsia="仿宋_GB2312" w:cs="仿宋_GB2312"/>
          <w:b/>
          <w:bCs/>
          <w:color w:val="auto"/>
          <w:kern w:val="2"/>
          <w:sz w:val="24"/>
          <w:szCs w:val="24"/>
          <w:highlight w:val="none"/>
          <w:lang w:val="en-US" w:eastAsia="zh-CN" w:bidi="ar-SA"/>
        </w:rPr>
        <w:t>4.比选费用</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D17203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比选申请人参加比选的有关费用由比选申请人自行承担。本次比选不组织</w:t>
      </w:r>
      <w:r>
        <w:rPr>
          <w:rFonts w:hint="eastAsia" w:ascii="仿宋_GB2312" w:hAnsi="仿宋_GB2312" w:eastAsia="仿宋_GB2312" w:cs="仿宋_GB2312"/>
          <w:color w:val="auto"/>
          <w:sz w:val="24"/>
          <w:highlight w:val="none"/>
          <w:lang w:val="en-US" w:eastAsia="zh-CN"/>
        </w:rPr>
        <w:t>现场陈述</w:t>
      </w:r>
      <w:r>
        <w:rPr>
          <w:rFonts w:hint="eastAsia" w:ascii="仿宋_GB2312" w:hAnsi="仿宋_GB2312" w:eastAsia="仿宋_GB2312" w:cs="仿宋_GB2312"/>
          <w:color w:val="auto"/>
          <w:sz w:val="24"/>
          <w:highlight w:val="none"/>
        </w:rPr>
        <w:t>。</w:t>
      </w:r>
    </w:p>
    <w:p w14:paraId="77351BB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36" w:name="_Toc504051941"/>
      <w:bookmarkStart w:id="137" w:name="_Toc22778"/>
      <w:bookmarkStart w:id="138" w:name="_Toc14301620"/>
      <w:bookmarkStart w:id="139" w:name="_Toc14336245"/>
      <w:bookmarkStart w:id="140" w:name="_Toc504054565"/>
      <w:bookmarkStart w:id="141" w:name="_Toc504054389"/>
      <w:bookmarkStart w:id="142" w:name="_Toc504035834"/>
      <w:bookmarkStart w:id="143" w:name="_Toc32101"/>
      <w:bookmarkStart w:id="144" w:name="_Toc17385"/>
      <w:bookmarkStart w:id="145" w:name="_Toc5426"/>
      <w:bookmarkStart w:id="146" w:name="_Toc29910"/>
      <w:bookmarkStart w:id="147" w:name="_Toc11322"/>
      <w:bookmarkStart w:id="148" w:name="_Toc4788"/>
      <w:bookmarkStart w:id="149" w:name="_Toc26717"/>
      <w:bookmarkStart w:id="150" w:name="_Toc2744"/>
      <w:r>
        <w:rPr>
          <w:rFonts w:hint="eastAsia" w:ascii="仿宋_GB2312" w:hAnsi="仿宋_GB2312" w:eastAsia="仿宋_GB2312" w:cs="仿宋_GB2312"/>
          <w:b/>
          <w:bCs/>
          <w:color w:val="auto"/>
          <w:kern w:val="2"/>
          <w:sz w:val="24"/>
          <w:szCs w:val="24"/>
          <w:highlight w:val="none"/>
          <w:lang w:val="en-US" w:eastAsia="zh-CN" w:bidi="ar-SA"/>
        </w:rPr>
        <w:t>5.比选文件的澄清和修改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47D16F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w:t>
      </w:r>
      <w:r>
        <w:rPr>
          <w:rFonts w:hint="eastAsia" w:ascii="仿宋_GB2312" w:hAnsi="仿宋_GB2312" w:eastAsia="仿宋_GB2312" w:cs="仿宋_GB2312"/>
          <w:color w:val="auto"/>
          <w:sz w:val="24"/>
          <w:highlight w:val="none"/>
          <w:lang w:val="en-US" w:eastAsia="zh-CN"/>
        </w:rPr>
        <w:t>通过报名邮箱以</w:t>
      </w:r>
      <w:r>
        <w:rPr>
          <w:rFonts w:hint="eastAsia" w:ascii="仿宋_GB2312" w:hAnsi="仿宋_GB2312" w:eastAsia="仿宋_GB2312" w:cs="仿宋_GB2312"/>
          <w:color w:val="auto"/>
          <w:sz w:val="24"/>
          <w:highlight w:val="none"/>
        </w:rPr>
        <w:t>书面形式通知所有</w:t>
      </w:r>
      <w:r>
        <w:rPr>
          <w:rFonts w:hint="eastAsia" w:ascii="仿宋_GB2312" w:hAnsi="仿宋_GB2312" w:eastAsia="仿宋_GB2312" w:cs="仿宋_GB2312"/>
          <w:color w:val="auto"/>
          <w:sz w:val="24"/>
          <w:highlight w:val="none"/>
          <w:lang w:val="en-US" w:eastAsia="zh-CN"/>
        </w:rPr>
        <w:t>报名的</w:t>
      </w:r>
      <w:r>
        <w:rPr>
          <w:rFonts w:hint="eastAsia" w:ascii="仿宋_GB2312" w:hAnsi="仿宋_GB2312" w:eastAsia="仿宋_GB2312" w:cs="仿宋_GB2312"/>
          <w:color w:val="auto"/>
          <w:sz w:val="24"/>
          <w:highlight w:val="none"/>
        </w:rPr>
        <w:t>比选申请人，不足3个工作日的，应当顺延提交比选申请书截止之日。</w:t>
      </w:r>
    </w:p>
    <w:p w14:paraId="033F41D7">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51" w:name="_Toc25286"/>
      <w:bookmarkStart w:id="152" w:name="_Toc1599"/>
      <w:bookmarkStart w:id="153" w:name="_Toc2025"/>
      <w:bookmarkStart w:id="154" w:name="_Toc504035838"/>
      <w:bookmarkStart w:id="155" w:name="_Toc14301622"/>
      <w:bookmarkStart w:id="156" w:name="_Toc27771"/>
      <w:bookmarkStart w:id="157" w:name="_Toc30557"/>
      <w:bookmarkStart w:id="158" w:name="_Toc14336247"/>
      <w:bookmarkStart w:id="159" w:name="_Toc18304"/>
      <w:bookmarkStart w:id="160" w:name="_Toc504054569"/>
      <w:bookmarkStart w:id="161" w:name="_Toc27212"/>
      <w:bookmarkStart w:id="162" w:name="_Toc504054393"/>
      <w:bookmarkStart w:id="163" w:name="_Toc6269"/>
      <w:bookmarkStart w:id="164" w:name="_Toc14543"/>
      <w:bookmarkStart w:id="165" w:name="_Toc504051945"/>
      <w:r>
        <w:rPr>
          <w:rFonts w:hint="eastAsia" w:ascii="仿宋_GB2312" w:hAnsi="仿宋_GB2312" w:eastAsia="仿宋_GB2312" w:cs="仿宋_GB2312"/>
          <w:b/>
          <w:bCs/>
          <w:color w:val="auto"/>
          <w:kern w:val="2"/>
          <w:sz w:val="24"/>
          <w:szCs w:val="24"/>
          <w:highlight w:val="none"/>
          <w:lang w:val="en-US" w:eastAsia="zh-CN" w:bidi="ar-SA"/>
        </w:rPr>
        <w:t>4.比选申请书的语言</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仿宋_GB2312" w:hAnsi="仿宋_GB2312" w:eastAsia="仿宋_GB2312" w:cs="仿宋_GB2312"/>
          <w:b/>
          <w:bCs/>
          <w:color w:val="auto"/>
          <w:kern w:val="2"/>
          <w:sz w:val="24"/>
          <w:szCs w:val="24"/>
          <w:highlight w:val="none"/>
          <w:lang w:val="en-US" w:eastAsia="zh-CN" w:bidi="ar-SA"/>
        </w:rPr>
        <w:t>（实质性要求）</w:t>
      </w:r>
    </w:p>
    <w:p w14:paraId="42216483">
      <w:pPr>
        <w:spacing w:line="460" w:lineRule="exact"/>
        <w:ind w:right="240" w:firstLine="480" w:firstLineChars="200"/>
        <w:rPr>
          <w:rFonts w:ascii="仿宋_GB2312" w:hAnsi="仿宋_GB2312" w:eastAsia="仿宋_GB2312" w:cs="仿宋_GB2312"/>
          <w:color w:val="auto"/>
          <w:sz w:val="24"/>
          <w:highlight w:val="none"/>
        </w:rPr>
      </w:pPr>
      <w:bookmarkStart w:id="166" w:name="_Toc14336248"/>
      <w:bookmarkStart w:id="167" w:name="_Toc14301623"/>
      <w:r>
        <w:rPr>
          <w:rFonts w:hint="eastAsia" w:ascii="仿宋_GB2312" w:hAnsi="仿宋_GB2312" w:eastAsia="仿宋_GB2312" w:cs="仿宋_GB2312"/>
          <w:color w:val="auto"/>
          <w:sz w:val="24"/>
          <w:highlight w:val="none"/>
        </w:rPr>
        <w:t>4.1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w:t>
      </w:r>
    </w:p>
    <w:p w14:paraId="770D71CC">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 翻译的简体中文资料与外文资料如果出现差异和矛盾，以简体中文版本为准。</w:t>
      </w:r>
    </w:p>
    <w:p w14:paraId="6178E68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68" w:name="_Toc17939"/>
      <w:bookmarkStart w:id="169" w:name="_Toc20396"/>
      <w:bookmarkStart w:id="170" w:name="_Toc5449"/>
      <w:bookmarkStart w:id="171" w:name="_Toc12988"/>
      <w:r>
        <w:rPr>
          <w:rFonts w:hint="eastAsia" w:ascii="仿宋_GB2312" w:hAnsi="仿宋_GB2312" w:eastAsia="仿宋_GB2312" w:cs="仿宋_GB2312"/>
          <w:b/>
          <w:bCs/>
          <w:color w:val="auto"/>
          <w:kern w:val="2"/>
          <w:sz w:val="24"/>
          <w:szCs w:val="24"/>
          <w:highlight w:val="none"/>
          <w:lang w:val="en-US" w:eastAsia="zh-CN" w:bidi="ar-SA"/>
        </w:rPr>
        <w:t>5.参与比选报价货币</w:t>
      </w:r>
      <w:bookmarkEnd w:id="166"/>
      <w:bookmarkEnd w:id="167"/>
      <w:bookmarkEnd w:id="168"/>
      <w:bookmarkEnd w:id="169"/>
      <w:bookmarkEnd w:id="170"/>
      <w:bookmarkEnd w:id="171"/>
      <w:r>
        <w:rPr>
          <w:rFonts w:hint="eastAsia" w:ascii="仿宋_GB2312" w:hAnsi="仿宋_GB2312" w:eastAsia="仿宋_GB2312" w:cs="仿宋_GB2312"/>
          <w:b/>
          <w:bCs/>
          <w:color w:val="auto"/>
          <w:kern w:val="2"/>
          <w:sz w:val="24"/>
          <w:szCs w:val="24"/>
          <w:highlight w:val="none"/>
          <w:lang w:val="en-US" w:eastAsia="zh-CN" w:bidi="ar-SA"/>
        </w:rPr>
        <w:t>（实质性要求）</w:t>
      </w:r>
    </w:p>
    <w:p w14:paraId="2F1652DF">
      <w:pPr>
        <w:spacing w:line="460" w:lineRule="exact"/>
        <w:ind w:right="240" w:firstLine="480" w:firstLineChars="200"/>
        <w:rPr>
          <w:rFonts w:ascii="仿宋_GB2312" w:hAnsi="仿宋_GB2312" w:eastAsia="仿宋_GB2312" w:cs="仿宋_GB2312"/>
          <w:color w:val="auto"/>
          <w:sz w:val="24"/>
          <w:highlight w:val="none"/>
        </w:rPr>
      </w:pPr>
      <w:bookmarkStart w:id="172" w:name="_Toc19337"/>
      <w:bookmarkStart w:id="173" w:name="_Toc1582"/>
      <w:bookmarkStart w:id="174" w:name="_Toc14205"/>
      <w:bookmarkStart w:id="175" w:name="_Toc14301624"/>
      <w:bookmarkStart w:id="176" w:name="_Toc11001"/>
      <w:bookmarkStart w:id="177" w:name="_Toc14336249"/>
      <w:r>
        <w:rPr>
          <w:rFonts w:hint="eastAsia" w:ascii="仿宋_GB2312" w:hAnsi="仿宋_GB2312" w:eastAsia="仿宋_GB2312" w:cs="仿宋_GB2312"/>
          <w:color w:val="auto"/>
          <w:sz w:val="24"/>
          <w:highlight w:val="none"/>
        </w:rPr>
        <w:t>参选机构应对比选报价进行严格的费用预算。所有参加本次比选的机构应充分计算和考虑其完成项目需要支付的各项费用，使用人民币报价；不得以低于成本的报价进行恶性竞争，最低比选报价并非中选的唯一条件。</w:t>
      </w:r>
    </w:p>
    <w:p w14:paraId="7E2EA7F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6.</w:t>
      </w:r>
      <w:bookmarkStart w:id="178" w:name="_Toc183682355"/>
      <w:bookmarkStart w:id="179" w:name="_Toc466391896"/>
      <w:bookmarkStart w:id="180" w:name="_Toc183582218"/>
      <w:bookmarkStart w:id="181" w:name="_Toc513468993"/>
      <w:bookmarkStart w:id="182" w:name="_Toc362988453"/>
      <w:bookmarkStart w:id="183" w:name="_Toc474502529"/>
      <w:bookmarkStart w:id="184" w:name="_Toc9395"/>
      <w:bookmarkStart w:id="185" w:name="_Toc361388565"/>
      <w:bookmarkStart w:id="186" w:name="_Toc444620298"/>
      <w:bookmarkStart w:id="187" w:name="_Toc465149309"/>
      <w:bookmarkStart w:id="188" w:name="_Toc505261855"/>
      <w:bookmarkStart w:id="189" w:name="_Toc474326989"/>
      <w:bookmarkStart w:id="190" w:name="_Toc480453663"/>
      <w:bookmarkStart w:id="191" w:name="_Toc24845"/>
      <w:bookmarkStart w:id="192" w:name="_Toc217446049"/>
      <w:bookmarkStart w:id="193" w:name="_Toc361325757"/>
      <w:r>
        <w:rPr>
          <w:rFonts w:hint="eastAsia" w:ascii="仿宋_GB2312" w:hAnsi="仿宋_GB2312" w:eastAsia="仿宋_GB2312" w:cs="仿宋_GB2312"/>
          <w:b/>
          <w:bCs/>
          <w:color w:val="auto"/>
          <w:kern w:val="2"/>
          <w:sz w:val="24"/>
          <w:szCs w:val="24"/>
          <w:highlight w:val="none"/>
          <w:lang w:val="en-US" w:eastAsia="zh-CN" w:bidi="ar-SA"/>
        </w:rPr>
        <w:t>比选申请书格式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_GB2312" w:hAnsi="仿宋_GB2312" w:eastAsia="仿宋_GB2312" w:cs="仿宋_GB2312"/>
          <w:b/>
          <w:bCs/>
          <w:color w:val="auto"/>
          <w:kern w:val="2"/>
          <w:sz w:val="24"/>
          <w:szCs w:val="24"/>
          <w:highlight w:val="none"/>
          <w:lang w:val="en-US" w:eastAsia="zh-CN" w:bidi="ar-SA"/>
        </w:rPr>
        <w:tab/>
      </w:r>
    </w:p>
    <w:p w14:paraId="047C2C22">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比选申请人应执行比选文件第四章的规定要求，对于没有格式要求的部分由比选申请人自行编写。</w:t>
      </w:r>
    </w:p>
    <w:p w14:paraId="1EBDF2B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94" w:name="_Toc308164801"/>
      <w:bookmarkStart w:id="195" w:name="_Toc25148"/>
      <w:bookmarkStart w:id="196" w:name="_Toc183682361"/>
      <w:bookmarkStart w:id="197" w:name="_Toc474326991"/>
      <w:bookmarkStart w:id="198" w:name="_Toc217446051"/>
      <w:bookmarkStart w:id="199" w:name="_Toc6382"/>
      <w:bookmarkStart w:id="200" w:name="_Toc26194"/>
      <w:bookmarkStart w:id="201" w:name="_Toc474502531"/>
      <w:bookmarkStart w:id="202" w:name="_Toc18346"/>
      <w:bookmarkStart w:id="203" w:name="_Toc14301625"/>
      <w:bookmarkStart w:id="204" w:name="_Toc480453665"/>
      <w:bookmarkStart w:id="205" w:name="_Toc469403746"/>
      <w:bookmarkStart w:id="206" w:name="_Toc505261857"/>
      <w:bookmarkStart w:id="207" w:name="_Toc29834"/>
      <w:bookmarkStart w:id="208" w:name="_Toc513468995"/>
      <w:bookmarkStart w:id="209" w:name="_Toc14336250"/>
      <w:bookmarkStart w:id="210" w:name="_Toc17700"/>
      <w:bookmarkStart w:id="211" w:name="_Toc183582224"/>
      <w:r>
        <w:rPr>
          <w:rFonts w:hint="eastAsia" w:ascii="仿宋_GB2312" w:hAnsi="仿宋_GB2312" w:eastAsia="仿宋_GB2312" w:cs="仿宋_GB2312"/>
          <w:b/>
          <w:bCs/>
          <w:color w:val="auto"/>
          <w:kern w:val="2"/>
          <w:sz w:val="24"/>
          <w:szCs w:val="24"/>
          <w:highlight w:val="none"/>
          <w:lang w:val="en-US" w:eastAsia="zh-CN" w:bidi="ar-SA"/>
        </w:rPr>
        <w:t>7.比选有效期</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仿宋_GB2312" w:hAnsi="仿宋_GB2312" w:eastAsia="仿宋_GB2312" w:cs="仿宋_GB2312"/>
          <w:b/>
          <w:bCs/>
          <w:color w:val="auto"/>
          <w:kern w:val="2"/>
          <w:sz w:val="24"/>
          <w:szCs w:val="24"/>
          <w:highlight w:val="none"/>
          <w:lang w:val="en-US" w:eastAsia="zh-CN" w:bidi="ar-SA"/>
        </w:rPr>
        <w:t>（实质性要求）</w:t>
      </w:r>
    </w:p>
    <w:p w14:paraId="056AFABA">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本项目比选有效期为比选申请书递交截止时间届满后</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天。比选申请人在比选申请书中必须载明比选有效期，比选申请书中载明的比选有效期可以长于比选文件规定的期限，但不得短于比选文件规定的期限。否则，其比选申请书将作为无效处理。</w:t>
      </w:r>
    </w:p>
    <w:p w14:paraId="0C81923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12" w:name="_Toc183682364"/>
      <w:bookmarkStart w:id="213" w:name="_Toc183582227"/>
      <w:bookmarkStart w:id="214" w:name="_Toc505261860"/>
      <w:bookmarkStart w:id="215" w:name="_Toc513468998"/>
      <w:bookmarkStart w:id="216" w:name="_Toc14336251"/>
      <w:bookmarkStart w:id="217" w:name="_Toc308164804"/>
      <w:bookmarkStart w:id="218" w:name="_Toc469403749"/>
      <w:bookmarkStart w:id="219" w:name="_Toc11118"/>
      <w:bookmarkStart w:id="220" w:name="_Toc14301626"/>
      <w:bookmarkStart w:id="221" w:name="_Toc28318"/>
      <w:bookmarkStart w:id="222" w:name="_Toc474326994"/>
      <w:bookmarkStart w:id="223" w:name="_Toc217446054"/>
      <w:bookmarkStart w:id="224" w:name="_Toc474502534"/>
      <w:bookmarkStart w:id="225" w:name="_Toc4735"/>
      <w:bookmarkStart w:id="226" w:name="_Toc11976"/>
      <w:bookmarkStart w:id="227" w:name="_Toc480453668"/>
      <w:bookmarkStart w:id="228" w:name="_Toc31719"/>
      <w:bookmarkStart w:id="229" w:name="_Toc18366"/>
      <w:r>
        <w:rPr>
          <w:rFonts w:hint="eastAsia" w:ascii="仿宋_GB2312" w:hAnsi="仿宋_GB2312" w:eastAsia="仿宋_GB2312" w:cs="仿宋_GB2312"/>
          <w:b/>
          <w:bCs/>
          <w:color w:val="auto"/>
          <w:kern w:val="2"/>
          <w:sz w:val="24"/>
          <w:szCs w:val="24"/>
          <w:highlight w:val="none"/>
          <w:lang w:val="en-US" w:eastAsia="zh-CN" w:bidi="ar-SA"/>
        </w:rPr>
        <w:t>8.比选申请书的</w:t>
      </w:r>
      <w:bookmarkEnd w:id="212"/>
      <w:bookmarkEnd w:id="213"/>
      <w:r>
        <w:rPr>
          <w:rFonts w:hint="eastAsia" w:ascii="仿宋_GB2312" w:hAnsi="仿宋_GB2312" w:eastAsia="仿宋_GB2312" w:cs="仿宋_GB2312"/>
          <w:b/>
          <w:bCs/>
          <w:color w:val="auto"/>
          <w:kern w:val="2"/>
          <w:sz w:val="24"/>
          <w:szCs w:val="24"/>
          <w:highlight w:val="none"/>
          <w:lang w:val="en-US" w:eastAsia="zh-CN" w:bidi="ar-SA"/>
        </w:rPr>
        <w:t>递交</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05604A3">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4144AEF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30" w:name="_Toc183582228"/>
      <w:bookmarkStart w:id="231" w:name="_Toc183682365"/>
      <w:bookmarkStart w:id="232" w:name="_Toc9560"/>
      <w:bookmarkStart w:id="233" w:name="_Toc480453669"/>
      <w:bookmarkStart w:id="234" w:name="_Toc1663"/>
      <w:bookmarkStart w:id="235" w:name="_Toc7462"/>
      <w:bookmarkStart w:id="236" w:name="_Toc505261861"/>
      <w:bookmarkStart w:id="237" w:name="_Toc474502535"/>
      <w:bookmarkStart w:id="238" w:name="_Toc14301627"/>
      <w:bookmarkStart w:id="239" w:name="_Toc14336252"/>
      <w:bookmarkStart w:id="240" w:name="_Toc3621"/>
      <w:bookmarkStart w:id="241" w:name="_Toc469403750"/>
      <w:bookmarkStart w:id="242" w:name="_Toc3240"/>
      <w:bookmarkStart w:id="243" w:name="_Toc513468999"/>
      <w:bookmarkStart w:id="244" w:name="_Toc32552"/>
      <w:bookmarkStart w:id="245" w:name="_Toc217446055"/>
      <w:bookmarkStart w:id="246" w:name="_Toc474326995"/>
      <w:r>
        <w:rPr>
          <w:rFonts w:hint="eastAsia" w:ascii="仿宋_GB2312" w:hAnsi="仿宋_GB2312" w:eastAsia="仿宋_GB2312" w:cs="仿宋_GB2312"/>
          <w:b/>
          <w:bCs/>
          <w:color w:val="auto"/>
          <w:kern w:val="2"/>
          <w:sz w:val="24"/>
          <w:szCs w:val="24"/>
          <w:highlight w:val="none"/>
          <w:lang w:val="en-US" w:eastAsia="zh-CN" w:bidi="ar-SA"/>
        </w:rPr>
        <w:t>9.比选申请书的修改和撤</w:t>
      </w:r>
      <w:bookmarkEnd w:id="230"/>
      <w:bookmarkEnd w:id="231"/>
      <w:r>
        <w:rPr>
          <w:rFonts w:hint="eastAsia" w:ascii="仿宋_GB2312" w:hAnsi="仿宋_GB2312" w:eastAsia="仿宋_GB2312" w:cs="仿宋_GB2312"/>
          <w:b/>
          <w:bCs/>
          <w:color w:val="auto"/>
          <w:kern w:val="2"/>
          <w:sz w:val="24"/>
          <w:szCs w:val="24"/>
          <w:highlight w:val="none"/>
          <w:lang w:val="en-US" w:eastAsia="zh-CN" w:bidi="ar-SA"/>
        </w:rPr>
        <w:t>回</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E600C6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比选申请人在递交了比选申请书后，可以修改或撤回其比选申请书，但必须在规定的递交比选文件截止时间前，以书面形式通知比选人。</w:t>
      </w:r>
    </w:p>
    <w:p w14:paraId="5156FF3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9.2在比选申请书递交截止时间之后，比选申请人不得对其递交的比选申请书做任何修改及撤回。</w:t>
      </w:r>
    </w:p>
    <w:p w14:paraId="7EE21BD4">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47" w:name="_Toc474502541"/>
      <w:bookmarkStart w:id="248" w:name="_Toc474327001"/>
      <w:bookmarkStart w:id="249" w:name="_Toc469403753"/>
      <w:bookmarkStart w:id="250" w:name="_Toc27592"/>
      <w:bookmarkStart w:id="251" w:name="_Toc14336253"/>
      <w:bookmarkStart w:id="252" w:name="_Toc14301628"/>
      <w:bookmarkStart w:id="253" w:name="_Toc480453675"/>
      <w:bookmarkStart w:id="254" w:name="_Toc8913"/>
      <w:bookmarkStart w:id="255" w:name="_Toc513469005"/>
      <w:bookmarkStart w:id="256" w:name="_Toc505261867"/>
      <w:bookmarkStart w:id="257" w:name="_Toc25628"/>
      <w:bookmarkStart w:id="258" w:name="_Toc21815"/>
      <w:bookmarkStart w:id="259" w:name="_Toc29745"/>
      <w:bookmarkStart w:id="260" w:name="_Toc10432"/>
      <w:r>
        <w:rPr>
          <w:rFonts w:hint="eastAsia" w:ascii="仿宋_GB2312" w:hAnsi="仿宋_GB2312" w:eastAsia="仿宋_GB2312" w:cs="仿宋_GB2312"/>
          <w:b/>
          <w:bCs/>
          <w:color w:val="auto"/>
          <w:kern w:val="2"/>
          <w:sz w:val="24"/>
          <w:szCs w:val="24"/>
          <w:highlight w:val="none"/>
          <w:lang w:val="en-US" w:eastAsia="zh-CN" w:bidi="ar-SA"/>
        </w:rPr>
        <w:t>10.</w:t>
      </w:r>
      <w:bookmarkEnd w:id="247"/>
      <w:bookmarkEnd w:id="248"/>
      <w:bookmarkEnd w:id="249"/>
      <w:bookmarkEnd w:id="250"/>
      <w:bookmarkEnd w:id="251"/>
      <w:bookmarkEnd w:id="252"/>
      <w:bookmarkEnd w:id="253"/>
      <w:bookmarkEnd w:id="254"/>
      <w:bookmarkEnd w:id="255"/>
      <w:bookmarkEnd w:id="256"/>
      <w:r>
        <w:rPr>
          <w:rFonts w:hint="eastAsia" w:ascii="仿宋_GB2312" w:hAnsi="仿宋_GB2312" w:eastAsia="仿宋_GB2312" w:cs="仿宋_GB2312"/>
          <w:b/>
          <w:bCs/>
          <w:color w:val="auto"/>
          <w:kern w:val="2"/>
          <w:sz w:val="24"/>
          <w:szCs w:val="24"/>
          <w:highlight w:val="none"/>
          <w:lang w:val="en-US" w:eastAsia="zh-CN" w:bidi="ar-SA"/>
        </w:rPr>
        <w:t>中选通知书</w:t>
      </w:r>
      <w:bookmarkEnd w:id="257"/>
      <w:bookmarkEnd w:id="258"/>
      <w:bookmarkEnd w:id="259"/>
      <w:bookmarkEnd w:id="260"/>
    </w:p>
    <w:p w14:paraId="3B53D424">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比选人对确定的中选人发放中选通知书，未中选人不另发通知</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中选通知书为签订合同的依据之一，是合同的有效组成部分。</w:t>
      </w:r>
    </w:p>
    <w:p w14:paraId="3F739D3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61" w:name="_Toc32005"/>
      <w:bookmarkStart w:id="262" w:name="_Toc474502543"/>
      <w:bookmarkStart w:id="263" w:name="_Toc217446065"/>
      <w:bookmarkStart w:id="264" w:name="_Toc17978"/>
      <w:bookmarkStart w:id="265" w:name="_Toc513469007"/>
      <w:bookmarkStart w:id="266" w:name="_Toc480453677"/>
      <w:bookmarkStart w:id="267" w:name="_Toc14301629"/>
      <w:bookmarkStart w:id="268" w:name="_Toc505261869"/>
      <w:bookmarkStart w:id="269" w:name="_Toc469403755"/>
      <w:bookmarkStart w:id="270" w:name="_Toc30793"/>
      <w:bookmarkStart w:id="271" w:name="_Toc16953"/>
      <w:bookmarkStart w:id="272" w:name="_Toc8200"/>
      <w:bookmarkStart w:id="273" w:name="_Toc474327003"/>
      <w:bookmarkStart w:id="274" w:name="_Toc22962"/>
      <w:bookmarkStart w:id="275" w:name="_Toc308164811"/>
      <w:bookmarkStart w:id="276" w:name="_Toc14336254"/>
      <w:r>
        <w:rPr>
          <w:rFonts w:hint="eastAsia" w:ascii="仿宋_GB2312" w:hAnsi="仿宋_GB2312" w:eastAsia="仿宋_GB2312" w:cs="仿宋_GB2312"/>
          <w:b/>
          <w:bCs/>
          <w:color w:val="auto"/>
          <w:kern w:val="2"/>
          <w:sz w:val="24"/>
          <w:szCs w:val="24"/>
          <w:highlight w:val="none"/>
          <w:lang w:val="en-US" w:eastAsia="zh-CN" w:bidi="ar-SA"/>
        </w:rPr>
        <w:t>11.签订合同</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F3AE2C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中选人应在中选通知书发出之日起</w:t>
      </w:r>
      <w:r>
        <w:rPr>
          <w:rFonts w:hint="eastAsia" w:ascii="仿宋_GB2312" w:hAnsi="仿宋_GB2312" w:eastAsia="仿宋_GB2312" w:cs="仿宋_GB2312"/>
          <w:color w:val="auto"/>
          <w:sz w:val="24"/>
          <w:highlight w:val="none"/>
          <w:lang w:val="en-US" w:eastAsia="zh-CN"/>
        </w:rPr>
        <w:t>30</w:t>
      </w:r>
      <w:r>
        <w:rPr>
          <w:rFonts w:hint="eastAsia" w:ascii="仿宋_GB2312" w:hAnsi="仿宋_GB2312" w:eastAsia="仿宋_GB2312" w:cs="仿宋_GB2312"/>
          <w:color w:val="auto"/>
          <w:sz w:val="24"/>
          <w:highlight w:val="none"/>
        </w:rPr>
        <w:t>日内与比选人签订合同，中选人无故不签订合同或放弃中选的，比选人可以与排在中选人之后第一位的中选候选人签订合同，以此类推。</w:t>
      </w:r>
    </w:p>
    <w:p w14:paraId="01DA137C">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77" w:name="_Toc14301630"/>
      <w:bookmarkStart w:id="278" w:name="_Toc474502544"/>
      <w:bookmarkStart w:id="279" w:name="_Toc505261870"/>
      <w:bookmarkStart w:id="280" w:name="_Toc16727"/>
      <w:bookmarkStart w:id="281" w:name="_Toc513469008"/>
      <w:bookmarkStart w:id="282" w:name="_Toc480453678"/>
      <w:bookmarkStart w:id="283" w:name="_Toc14336255"/>
      <w:bookmarkStart w:id="284" w:name="_Toc28310"/>
      <w:bookmarkStart w:id="285" w:name="_Toc820"/>
      <w:bookmarkStart w:id="286" w:name="_Toc469403756"/>
      <w:bookmarkStart w:id="287" w:name="_Toc474327004"/>
      <w:bookmarkStart w:id="288" w:name="_Toc9244"/>
      <w:bookmarkStart w:id="289" w:name="_Toc18127"/>
      <w:bookmarkStart w:id="290" w:name="_Toc23832"/>
      <w:r>
        <w:rPr>
          <w:rFonts w:hint="eastAsia" w:ascii="仿宋_GB2312" w:hAnsi="仿宋_GB2312" w:eastAsia="仿宋_GB2312" w:cs="仿宋_GB2312"/>
          <w:b/>
          <w:bCs/>
          <w:color w:val="auto"/>
          <w:kern w:val="2"/>
          <w:sz w:val="24"/>
          <w:szCs w:val="24"/>
          <w:highlight w:val="none"/>
          <w:lang w:val="en-US" w:eastAsia="zh-CN" w:bidi="ar-SA"/>
        </w:rPr>
        <w:t>12.合同分包</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仿宋_GB2312" w:hAnsi="仿宋_GB2312" w:eastAsia="仿宋_GB2312" w:cs="仿宋_GB2312"/>
          <w:b/>
          <w:bCs/>
          <w:color w:val="auto"/>
          <w:kern w:val="2"/>
          <w:sz w:val="24"/>
          <w:szCs w:val="24"/>
          <w:highlight w:val="none"/>
          <w:lang w:val="en-US" w:eastAsia="zh-CN" w:bidi="ar-SA"/>
        </w:rPr>
        <w:t>（实质性要求）</w:t>
      </w:r>
    </w:p>
    <w:p w14:paraId="08FD614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本项目不允许分包。</w:t>
      </w:r>
    </w:p>
    <w:p w14:paraId="634A1347">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91" w:name="_Toc505261871"/>
      <w:bookmarkStart w:id="292" w:name="_Toc14336256"/>
      <w:bookmarkStart w:id="293" w:name="_Toc14301631"/>
      <w:bookmarkStart w:id="294" w:name="_Toc26320"/>
      <w:bookmarkStart w:id="295" w:name="_Toc474502545"/>
      <w:bookmarkStart w:id="296" w:name="_Toc11503"/>
      <w:bookmarkStart w:id="297" w:name="_Toc513469009"/>
      <w:bookmarkStart w:id="298" w:name="_Toc469403757"/>
      <w:bookmarkStart w:id="299" w:name="_Toc480453679"/>
      <w:bookmarkStart w:id="300" w:name="_Toc10843"/>
      <w:bookmarkStart w:id="301" w:name="_Toc10585"/>
      <w:bookmarkStart w:id="302" w:name="_Toc14666"/>
      <w:bookmarkStart w:id="303" w:name="_Toc474327005"/>
      <w:bookmarkStart w:id="304" w:name="_Toc22181"/>
      <w:r>
        <w:rPr>
          <w:rFonts w:hint="eastAsia" w:ascii="仿宋_GB2312" w:hAnsi="仿宋_GB2312" w:eastAsia="仿宋_GB2312" w:cs="仿宋_GB2312"/>
          <w:b/>
          <w:bCs/>
          <w:color w:val="auto"/>
          <w:kern w:val="2"/>
          <w:sz w:val="24"/>
          <w:szCs w:val="24"/>
          <w:highlight w:val="none"/>
          <w:lang w:val="en-US" w:eastAsia="zh-CN" w:bidi="ar-SA"/>
        </w:rPr>
        <w:t>13.合同转包</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ascii="仿宋_GB2312" w:hAnsi="仿宋_GB2312" w:eastAsia="仿宋_GB2312" w:cs="仿宋_GB2312"/>
          <w:b/>
          <w:bCs/>
          <w:color w:val="auto"/>
          <w:kern w:val="2"/>
          <w:sz w:val="24"/>
          <w:szCs w:val="24"/>
          <w:highlight w:val="none"/>
          <w:lang w:val="en-US" w:eastAsia="zh-CN" w:bidi="ar-SA"/>
        </w:rPr>
        <w:t>（实质性要求）</w:t>
      </w:r>
    </w:p>
    <w:p w14:paraId="330BD5A8">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1A82A75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中选人转包的，视同拒绝履行采购合同义务，将依法追究法律责任。</w:t>
      </w:r>
    </w:p>
    <w:p w14:paraId="45FBD4A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305" w:name="_Toc474327006"/>
      <w:bookmarkStart w:id="306" w:name="_Toc513469010"/>
      <w:bookmarkStart w:id="307" w:name="_Toc14301632"/>
      <w:bookmarkStart w:id="308" w:name="_Toc412"/>
      <w:bookmarkStart w:id="309" w:name="_Toc2586"/>
      <w:bookmarkStart w:id="310" w:name="_Toc16676"/>
      <w:bookmarkStart w:id="311" w:name="_Toc505261872"/>
      <w:bookmarkStart w:id="312" w:name="_Toc474502546"/>
      <w:bookmarkStart w:id="313" w:name="_Toc7747"/>
      <w:bookmarkStart w:id="314" w:name="_Toc6848"/>
      <w:bookmarkStart w:id="315" w:name="_Toc469403758"/>
      <w:bookmarkStart w:id="316" w:name="_Toc480453680"/>
      <w:bookmarkStart w:id="317" w:name="_Toc22161"/>
      <w:bookmarkStart w:id="318" w:name="_Toc14336257"/>
      <w:r>
        <w:rPr>
          <w:rFonts w:hint="eastAsia" w:ascii="仿宋_GB2312" w:hAnsi="仿宋_GB2312" w:eastAsia="仿宋_GB2312" w:cs="仿宋_GB2312"/>
          <w:b/>
          <w:bCs/>
          <w:color w:val="auto"/>
          <w:kern w:val="2"/>
          <w:sz w:val="24"/>
          <w:szCs w:val="24"/>
          <w:highlight w:val="none"/>
          <w:lang w:val="en-US" w:eastAsia="zh-CN" w:bidi="ar-SA"/>
        </w:rPr>
        <w:t>14.补充合同</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511AF4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履行过程中，比选人需要追加与合同标的相同的货物或者服务的，在不改变合同其他条款的前提下，可以与中选人协商签订补充合同，且采购服务的名称、履约方式、验收标准等必须与原采购合同一致，价格不高于原合同。</w:t>
      </w:r>
    </w:p>
    <w:p w14:paraId="5A1CC1B3">
      <w:pPr>
        <w:rPr>
          <w:rFonts w:ascii="仿宋_GB2312" w:hAnsi="仿宋_GB2312" w:eastAsia="仿宋_GB2312" w:cs="仿宋_GB2312"/>
          <w:b/>
          <w:bCs/>
          <w:color w:val="auto"/>
          <w:sz w:val="32"/>
          <w:szCs w:val="32"/>
          <w:highlight w:val="none"/>
        </w:rPr>
      </w:pPr>
      <w:bookmarkStart w:id="319" w:name="_Toc21644"/>
      <w:bookmarkStart w:id="320" w:name="_Toc17862"/>
      <w:bookmarkStart w:id="321" w:name="_Toc31275"/>
      <w:bookmarkStart w:id="322" w:name="_Toc3622"/>
      <w:bookmarkStart w:id="323" w:name="_Toc19085"/>
      <w:bookmarkStart w:id="324" w:name="_Toc21638"/>
      <w:bookmarkStart w:id="325" w:name="_Toc12575"/>
      <w:bookmarkStart w:id="326" w:name="_Toc24237"/>
      <w:bookmarkStart w:id="327" w:name="_Toc16770"/>
      <w:bookmarkStart w:id="328" w:name="_Toc5478"/>
      <w:bookmarkStart w:id="329" w:name="_Toc7013"/>
      <w:r>
        <w:rPr>
          <w:rFonts w:hint="eastAsia" w:ascii="仿宋_GB2312" w:hAnsi="仿宋_GB2312" w:eastAsia="仿宋_GB2312" w:cs="仿宋_GB2312"/>
          <w:b/>
          <w:bCs/>
          <w:color w:val="auto"/>
          <w:sz w:val="32"/>
          <w:szCs w:val="32"/>
          <w:highlight w:val="none"/>
        </w:rPr>
        <w:br w:type="page"/>
      </w:r>
    </w:p>
    <w:p w14:paraId="67613A11">
      <w:pPr>
        <w:spacing w:line="460" w:lineRule="exact"/>
        <w:ind w:firstLine="643"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32"/>
          <w:szCs w:val="32"/>
          <w:highlight w:val="none"/>
        </w:rPr>
        <w:t>第三章 比选申请人的资格要求证明材料</w:t>
      </w:r>
      <w:bookmarkEnd w:id="319"/>
      <w:bookmarkEnd w:id="320"/>
      <w:bookmarkEnd w:id="321"/>
      <w:bookmarkEnd w:id="322"/>
      <w:bookmarkEnd w:id="323"/>
      <w:bookmarkEnd w:id="324"/>
      <w:bookmarkEnd w:id="325"/>
      <w:bookmarkEnd w:id="326"/>
      <w:bookmarkEnd w:id="327"/>
      <w:bookmarkEnd w:id="328"/>
      <w:bookmarkEnd w:id="329"/>
    </w:p>
    <w:p w14:paraId="6FF8994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一、依法在中华人民共和国境内设立的律师事务所，持有合法有效律师事务所执业许可证，以及国家法律法规要求的相关从业资质；如分所或分支机构参加比选的，分所或分支机构须获得总所唯一授权；</w:t>
      </w:r>
    </w:p>
    <w:p w14:paraId="716A99DF">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color w:val="auto"/>
          <w:sz w:val="24"/>
          <w:highlight w:val="none"/>
        </w:rPr>
        <w:t>提供年检合格的律师事务所执业许可证，不具备执业许可证的组织机构，提供行政主管部门颁发的有效证书（证明文件），如法人登记证书等。</w:t>
      </w:r>
    </w:p>
    <w:p w14:paraId="32E4BC30">
      <w:pPr>
        <w:spacing w:line="460" w:lineRule="exact"/>
        <w:ind w:firstLine="482"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证明材料2：</w:t>
      </w:r>
      <w:r>
        <w:rPr>
          <w:rFonts w:hint="eastAsia" w:ascii="仿宋_GB2312" w:hAnsi="仿宋_GB2312" w:eastAsia="仿宋_GB2312" w:cs="仿宋_GB2312"/>
          <w:color w:val="auto"/>
          <w:sz w:val="24"/>
          <w:highlight w:val="none"/>
        </w:rPr>
        <w:t>提供总所的业务许可证复印件，可以一次授权或总体授权，同一个事务所的多家分支机构不可同时参加比选。</w:t>
      </w:r>
    </w:p>
    <w:p w14:paraId="621D5584">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二、人员要求：，</w:t>
      </w:r>
      <w:r>
        <w:rPr>
          <w:rFonts w:hint="eastAsia" w:ascii="仿宋_GB2312" w:hAnsi="仿宋_GB2312" w:eastAsia="仿宋_GB2312" w:cs="仿宋_GB2312"/>
          <w:bCs/>
          <w:color w:val="auto"/>
          <w:sz w:val="24"/>
          <w:highlight w:val="none"/>
          <w:lang w:val="en-US" w:eastAsia="zh-CN"/>
        </w:rPr>
        <w:t>能在四川省内提供本地化服务，</w:t>
      </w:r>
      <w:r>
        <w:rPr>
          <w:rFonts w:hint="eastAsia" w:ascii="仿宋_GB2312" w:hAnsi="仿宋_GB2312" w:eastAsia="仿宋_GB2312" w:cs="仿宋_GB2312"/>
          <w:bCs/>
          <w:color w:val="auto"/>
          <w:sz w:val="24"/>
          <w:highlight w:val="none"/>
        </w:rPr>
        <w:t>能够组建相对固定且不少于3人的律师团队，</w:t>
      </w:r>
      <w:r>
        <w:rPr>
          <w:rFonts w:hint="eastAsia" w:ascii="仿宋_GB2312" w:hAnsi="仿宋_GB2312" w:eastAsia="仿宋_GB2312" w:cs="仿宋_GB2312"/>
          <w:color w:val="auto"/>
          <w:sz w:val="24"/>
          <w:highlight w:val="none"/>
        </w:rPr>
        <w:t>律师应具有司法行政主管部门颁发的《律师执业证》，执业时间3年以上，合法有效且年检合格。</w:t>
      </w:r>
    </w:p>
    <w:p w14:paraId="148EDC46">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bCs/>
          <w:color w:val="auto"/>
          <w:sz w:val="24"/>
          <w:highlight w:val="none"/>
        </w:rPr>
        <w:t>提供证明文件。</w:t>
      </w:r>
    </w:p>
    <w:p w14:paraId="16A171FF">
      <w:pPr>
        <w:spacing w:line="460" w:lineRule="exact"/>
        <w:ind w:firstLine="482" w:firstLineChars="200"/>
        <w:rPr>
          <w:rFonts w:ascii="Calibri" w:hAnsi="Calibri"/>
          <w:color w:val="auto"/>
          <w:highlight w:val="none"/>
        </w:rPr>
      </w:pPr>
      <w:r>
        <w:rPr>
          <w:rFonts w:hint="eastAsia" w:ascii="仿宋_GB2312" w:hAnsi="仿宋_GB2312" w:eastAsia="仿宋_GB2312" w:cs="仿宋_GB2312"/>
          <w:b/>
          <w:color w:val="auto"/>
          <w:sz w:val="24"/>
          <w:highlight w:val="none"/>
          <w:lang w:val="en-US" w:eastAsia="zh-CN"/>
        </w:rPr>
        <w:t>证明材料2：</w:t>
      </w:r>
      <w:r>
        <w:rPr>
          <w:rFonts w:hint="eastAsia" w:ascii="仿宋_GB2312" w:hAnsi="仿宋_GB2312" w:eastAsia="仿宋_GB2312" w:cs="仿宋_GB2312"/>
          <w:b w:val="0"/>
          <w:bCs/>
          <w:color w:val="auto"/>
          <w:sz w:val="24"/>
          <w:highlight w:val="none"/>
        </w:rPr>
        <w:t>提供</w:t>
      </w:r>
      <w:r>
        <w:rPr>
          <w:rFonts w:hint="eastAsia" w:ascii="仿宋_GB2312" w:hAnsi="仿宋_GB2312" w:eastAsia="仿宋_GB2312" w:cs="仿宋_GB2312"/>
          <w:bCs/>
          <w:color w:val="auto"/>
          <w:sz w:val="24"/>
          <w:highlight w:val="none"/>
        </w:rPr>
        <w:t>法律顾问团队的具体情况，包含团队负责人及主要成员的基本信息等。</w:t>
      </w:r>
    </w:p>
    <w:p w14:paraId="310C05B3">
      <w:pPr>
        <w:spacing w:line="46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三、信誉要求:信誉良好，投标申请人及其执业律师最近3年内未受到司法行政部门的行政处罚;</w:t>
      </w:r>
    </w:p>
    <w:p w14:paraId="61A13B4C">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证明材料:提供司法局律师工作处证明。</w:t>
      </w:r>
    </w:p>
    <w:p w14:paraId="26ECBB8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四、财务要求：</w:t>
      </w:r>
      <w:r>
        <w:rPr>
          <w:rFonts w:hint="eastAsia" w:ascii="仿宋_GB2312" w:hAnsi="仿宋_GB2312" w:eastAsia="仿宋_GB2312" w:cs="仿宋_GB2312"/>
          <w:color w:val="auto"/>
          <w:sz w:val="24"/>
          <w:highlight w:val="none"/>
        </w:rPr>
        <w:t>财务状况良好，近年财务报表无亏损；</w:t>
      </w:r>
    </w:p>
    <w:p w14:paraId="529E3878">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2022年、2023年、2024</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0F1EED91">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0ABFEC40">
      <w:pPr>
        <w:spacing w:line="4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证明材料：</w:t>
      </w:r>
      <w:r>
        <w:rPr>
          <w:rFonts w:hint="eastAsia" w:ascii="仿宋_GB2312" w:hAnsi="仿宋_GB2312" w:eastAsia="仿宋_GB2312" w:cs="仿宋_GB2312"/>
          <w:color w:val="auto"/>
          <w:sz w:val="24"/>
          <w:highlight w:val="none"/>
        </w:rPr>
        <w:t>提供承诺函。</w:t>
      </w:r>
    </w:p>
    <w:p w14:paraId="77A084CC">
      <w:pPr>
        <w:rPr>
          <w:rFonts w:ascii="仿宋_GB2312" w:hAnsi="仿宋_GB2312" w:eastAsia="仿宋_GB2312" w:cs="仿宋_GB2312"/>
          <w:color w:val="auto"/>
          <w:sz w:val="24"/>
          <w:highlight w:val="none"/>
        </w:rPr>
        <w:sectPr>
          <w:footerReference r:id="rId6" w:type="default"/>
          <w:pgSz w:w="11906" w:h="16838"/>
          <w:pgMar w:top="1440" w:right="1800" w:bottom="1440" w:left="1800" w:header="851" w:footer="992" w:gutter="0"/>
          <w:pgNumType w:fmt="decimal"/>
          <w:cols w:space="720" w:num="1"/>
          <w:docGrid w:type="lines" w:linePitch="312" w:charSpace="0"/>
        </w:sectPr>
      </w:pPr>
      <w:bookmarkStart w:id="330" w:name="_Toc31452"/>
      <w:bookmarkStart w:id="331" w:name="_Toc25368"/>
    </w:p>
    <w:p w14:paraId="523AFD56">
      <w:pPr>
        <w:spacing w:after="156" w:afterLines="50" w:line="460" w:lineRule="exact"/>
        <w:jc w:val="center"/>
        <w:rPr>
          <w:rFonts w:ascii="仿宋_GB2312" w:hAnsi="仿宋_GB2312" w:eastAsia="仿宋_GB2312" w:cs="仿宋_GB2312"/>
          <w:b/>
          <w:bCs/>
          <w:color w:val="auto"/>
          <w:sz w:val="32"/>
          <w:szCs w:val="32"/>
          <w:highlight w:val="none"/>
        </w:rPr>
      </w:pPr>
      <w:bookmarkStart w:id="332" w:name="_Toc21489"/>
      <w:bookmarkStart w:id="333" w:name="_Toc27539"/>
      <w:bookmarkStart w:id="334" w:name="_Toc2868"/>
      <w:bookmarkStart w:id="335" w:name="_Toc6072"/>
      <w:bookmarkStart w:id="336" w:name="_Toc2113"/>
      <w:bookmarkStart w:id="337" w:name="_Toc302"/>
      <w:bookmarkStart w:id="338" w:name="_Toc26622"/>
      <w:bookmarkStart w:id="339" w:name="_Toc22600"/>
      <w:bookmarkStart w:id="340" w:name="_Toc11356"/>
      <w:bookmarkStart w:id="341" w:name="_Toc9510"/>
      <w:r>
        <w:rPr>
          <w:rFonts w:hint="eastAsia" w:ascii="仿宋_GB2312" w:hAnsi="仿宋_GB2312" w:eastAsia="仿宋_GB2312" w:cs="仿宋_GB2312"/>
          <w:b/>
          <w:bCs/>
          <w:color w:val="auto"/>
          <w:sz w:val="32"/>
          <w:szCs w:val="32"/>
          <w:highlight w:val="none"/>
        </w:rPr>
        <w:t>第四章 比选申请书格式</w:t>
      </w:r>
      <w:bookmarkEnd w:id="330"/>
      <w:bookmarkEnd w:id="331"/>
      <w:bookmarkEnd w:id="332"/>
      <w:bookmarkEnd w:id="333"/>
      <w:bookmarkEnd w:id="334"/>
      <w:bookmarkEnd w:id="335"/>
      <w:bookmarkEnd w:id="336"/>
      <w:bookmarkEnd w:id="337"/>
      <w:bookmarkEnd w:id="338"/>
      <w:bookmarkEnd w:id="339"/>
      <w:bookmarkEnd w:id="340"/>
      <w:bookmarkEnd w:id="341"/>
    </w:p>
    <w:p w14:paraId="3515FF5A">
      <w:pPr>
        <w:spacing w:line="46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说明：</w:t>
      </w:r>
    </w:p>
    <w:p w14:paraId="4B44E45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比选申请人在制作比选申请书时可参考本章所附格式。</w:t>
      </w:r>
    </w:p>
    <w:p w14:paraId="480E1627">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比选申请书应按规定签署、盖章。</w:t>
      </w:r>
    </w:p>
    <w:p w14:paraId="6C87E8B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本章所附格式大小只是范例，比选申请人可根据自己的实际情况进行调整。</w:t>
      </w:r>
    </w:p>
    <w:p w14:paraId="5F1FB9FF">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br w:type="page"/>
      </w:r>
      <w:bookmarkStart w:id="342" w:name="_Toc5206"/>
      <w:bookmarkStart w:id="343" w:name="_Toc24031"/>
      <w:bookmarkStart w:id="344" w:name="_Toc11259"/>
      <w:bookmarkStart w:id="345" w:name="_Toc7986"/>
      <w:bookmarkStart w:id="346" w:name="_Toc22771"/>
      <w:r>
        <w:rPr>
          <w:rFonts w:hint="eastAsia" w:ascii="仿宋_GB2312" w:hAnsi="仿宋_GB2312" w:eastAsia="仿宋_GB2312" w:cs="仿宋_GB2312"/>
          <w:b/>
          <w:bCs/>
          <w:color w:val="auto"/>
          <w:sz w:val="30"/>
          <w:szCs w:val="30"/>
          <w:highlight w:val="none"/>
        </w:rPr>
        <w:t>一、比选申请书封面</w:t>
      </w:r>
      <w:bookmarkEnd w:id="342"/>
      <w:bookmarkEnd w:id="343"/>
      <w:bookmarkEnd w:id="344"/>
      <w:bookmarkEnd w:id="345"/>
      <w:bookmarkEnd w:id="346"/>
    </w:p>
    <w:p w14:paraId="11629024">
      <w:pPr>
        <w:spacing w:line="460" w:lineRule="exact"/>
        <w:jc w:val="center"/>
        <w:rPr>
          <w:rFonts w:ascii="仿宋_GB2312" w:hAnsi="仿宋_GB2312" w:eastAsia="仿宋_GB2312" w:cs="仿宋_GB2312"/>
          <w:b/>
          <w:color w:val="auto"/>
          <w:sz w:val="24"/>
          <w:highlight w:val="none"/>
        </w:rPr>
      </w:pPr>
    </w:p>
    <w:p w14:paraId="0EF79742">
      <w:pPr>
        <w:spacing w:line="460" w:lineRule="exact"/>
        <w:jc w:val="center"/>
        <w:rPr>
          <w:rFonts w:hint="default" w:ascii="仿宋_GB2312" w:hAnsi="仿宋_GB2312" w:eastAsia="仿宋_GB2312" w:cs="仿宋_GB2312"/>
          <w:b/>
          <w:color w:val="auto"/>
          <w:sz w:val="30"/>
          <w:szCs w:val="30"/>
          <w:highlight w:val="none"/>
          <w:u w:val="single"/>
          <w:lang w:val="en-US"/>
        </w:rPr>
      </w:pPr>
      <w:r>
        <w:rPr>
          <w:rFonts w:hint="eastAsia" w:ascii="仿宋_GB2312" w:hAnsi="仿宋_GB2312" w:eastAsia="仿宋_GB2312" w:cs="仿宋_GB2312"/>
          <w:b/>
          <w:color w:val="auto"/>
          <w:sz w:val="30"/>
          <w:szCs w:val="30"/>
          <w:highlight w:val="none"/>
          <w:u w:val="single"/>
          <w:lang w:val="en-US" w:eastAsia="zh-CN"/>
        </w:rPr>
        <w:t>四川省交通物资有限责任公司</w:t>
      </w:r>
    </w:p>
    <w:p w14:paraId="20F8774E">
      <w:pPr>
        <w:spacing w:line="460" w:lineRule="exact"/>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30"/>
          <w:szCs w:val="30"/>
          <w:highlight w:val="none"/>
          <w:lang w:val="en-US" w:eastAsia="zh-CN"/>
        </w:rPr>
        <w:t>关于选聘与某公司买卖合同纠纷案件专项法律服务机构</w:t>
      </w:r>
    </w:p>
    <w:p w14:paraId="68856E77">
      <w:pPr>
        <w:spacing w:line="460" w:lineRule="exact"/>
        <w:jc w:val="left"/>
        <w:rPr>
          <w:rFonts w:ascii="仿宋_GB2312" w:hAnsi="仿宋_GB2312" w:eastAsia="仿宋_GB2312" w:cs="仿宋_GB2312"/>
          <w:b/>
          <w:color w:val="auto"/>
          <w:sz w:val="24"/>
          <w:highlight w:val="none"/>
        </w:rPr>
      </w:pPr>
    </w:p>
    <w:p w14:paraId="491E7AAA">
      <w:pPr>
        <w:spacing w:line="460" w:lineRule="exact"/>
        <w:jc w:val="left"/>
        <w:rPr>
          <w:rFonts w:ascii="仿宋_GB2312" w:hAnsi="仿宋_GB2312" w:eastAsia="仿宋_GB2312" w:cs="仿宋_GB2312"/>
          <w:b/>
          <w:color w:val="auto"/>
          <w:sz w:val="24"/>
          <w:highlight w:val="none"/>
        </w:rPr>
      </w:pPr>
    </w:p>
    <w:p w14:paraId="183E01C6">
      <w:pPr>
        <w:pStyle w:val="3"/>
        <w:rPr>
          <w:color w:val="auto"/>
        </w:rPr>
      </w:pPr>
    </w:p>
    <w:p w14:paraId="0A0BFA3D">
      <w:pPr>
        <w:spacing w:line="460" w:lineRule="exact"/>
        <w:jc w:val="left"/>
        <w:rPr>
          <w:rFonts w:ascii="仿宋_GB2312" w:hAnsi="仿宋_GB2312" w:eastAsia="仿宋_GB2312" w:cs="仿宋_GB2312"/>
          <w:b/>
          <w:color w:val="auto"/>
          <w:sz w:val="24"/>
          <w:highlight w:val="none"/>
        </w:rPr>
      </w:pPr>
    </w:p>
    <w:p w14:paraId="081E1411">
      <w:pPr>
        <w:spacing w:line="460" w:lineRule="exact"/>
        <w:jc w:val="left"/>
        <w:rPr>
          <w:rFonts w:ascii="仿宋_GB2312" w:hAnsi="仿宋_GB2312" w:eastAsia="仿宋_GB2312" w:cs="仿宋_GB2312"/>
          <w:b/>
          <w:color w:val="auto"/>
          <w:sz w:val="24"/>
          <w:highlight w:val="none"/>
        </w:rPr>
      </w:pPr>
    </w:p>
    <w:p w14:paraId="6445B25F">
      <w:pPr>
        <w:spacing w:line="460" w:lineRule="exact"/>
        <w:jc w:val="center"/>
        <w:rPr>
          <w:rFonts w:ascii="仿宋_GB2312" w:hAnsi="仿宋_GB2312" w:eastAsia="仿宋_GB2312" w:cs="仿宋_GB2312"/>
          <w:b/>
          <w:color w:val="auto"/>
          <w:sz w:val="30"/>
          <w:szCs w:val="30"/>
          <w:highlight w:val="none"/>
        </w:rPr>
      </w:pPr>
      <w:bookmarkStart w:id="347" w:name="_Toc29810"/>
      <w:r>
        <w:rPr>
          <w:rFonts w:hint="eastAsia" w:ascii="仿宋_GB2312" w:hAnsi="仿宋_GB2312" w:eastAsia="仿宋_GB2312" w:cs="仿宋_GB2312"/>
          <w:b/>
          <w:color w:val="auto"/>
          <w:sz w:val="30"/>
          <w:szCs w:val="30"/>
          <w:highlight w:val="none"/>
        </w:rPr>
        <w:t>比选申请书</w:t>
      </w:r>
      <w:bookmarkEnd w:id="347"/>
    </w:p>
    <w:p w14:paraId="5B3951F0">
      <w:pPr>
        <w:spacing w:line="460" w:lineRule="exact"/>
        <w:rPr>
          <w:rFonts w:ascii="仿宋_GB2312" w:hAnsi="仿宋_GB2312" w:eastAsia="仿宋_GB2312" w:cs="仿宋_GB2312"/>
          <w:b/>
          <w:color w:val="auto"/>
          <w:sz w:val="30"/>
          <w:szCs w:val="30"/>
          <w:highlight w:val="none"/>
        </w:rPr>
      </w:pPr>
    </w:p>
    <w:p w14:paraId="160E64E9">
      <w:pPr>
        <w:spacing w:line="460" w:lineRule="exact"/>
        <w:rPr>
          <w:rFonts w:ascii="仿宋_GB2312" w:hAnsi="仿宋_GB2312" w:eastAsia="仿宋_GB2312" w:cs="仿宋_GB2312"/>
          <w:b/>
          <w:color w:val="auto"/>
          <w:sz w:val="30"/>
          <w:szCs w:val="30"/>
          <w:highlight w:val="none"/>
        </w:rPr>
      </w:pPr>
    </w:p>
    <w:p w14:paraId="36D9850B">
      <w:pPr>
        <w:spacing w:line="460" w:lineRule="exact"/>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lang w:val="en-US" w:eastAsia="zh-CN"/>
        </w:rPr>
        <w:t>项目编号：）</w:t>
      </w:r>
    </w:p>
    <w:p w14:paraId="32469561">
      <w:pPr>
        <w:spacing w:line="460" w:lineRule="exact"/>
        <w:rPr>
          <w:rFonts w:ascii="仿宋_GB2312" w:hAnsi="仿宋_GB2312" w:eastAsia="仿宋_GB2312" w:cs="仿宋_GB2312"/>
          <w:color w:val="auto"/>
          <w:sz w:val="30"/>
          <w:szCs w:val="30"/>
          <w:highlight w:val="none"/>
        </w:rPr>
      </w:pPr>
    </w:p>
    <w:p w14:paraId="25B4F849">
      <w:pPr>
        <w:spacing w:line="460" w:lineRule="exact"/>
        <w:rPr>
          <w:rFonts w:ascii="仿宋_GB2312" w:hAnsi="仿宋_GB2312" w:eastAsia="仿宋_GB2312" w:cs="仿宋_GB2312"/>
          <w:b/>
          <w:color w:val="auto"/>
          <w:sz w:val="30"/>
          <w:szCs w:val="30"/>
          <w:highlight w:val="none"/>
        </w:rPr>
      </w:pPr>
    </w:p>
    <w:p w14:paraId="77E1EA96">
      <w:pPr>
        <w:spacing w:line="460" w:lineRule="exact"/>
        <w:ind w:firstLine="1656" w:firstLineChars="550"/>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30"/>
          <w:szCs w:val="30"/>
          <w:highlight w:val="none"/>
        </w:rPr>
        <w:t xml:space="preserve">比选申请人：    </w:t>
      </w: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rPr>
        <w:t>全称并加盖公章</w:t>
      </w:r>
      <w:r>
        <w:rPr>
          <w:rFonts w:hint="eastAsia" w:ascii="仿宋_GB2312" w:hAnsi="仿宋_GB2312" w:eastAsia="仿宋_GB2312" w:cs="仿宋_GB2312"/>
          <w:b/>
          <w:color w:val="auto"/>
          <w:sz w:val="30"/>
          <w:szCs w:val="30"/>
          <w:highlight w:val="none"/>
          <w:lang w:eastAsia="zh-CN"/>
        </w:rPr>
        <w:t>）</w:t>
      </w:r>
    </w:p>
    <w:p w14:paraId="41A5FFB9">
      <w:pPr>
        <w:pStyle w:val="3"/>
        <w:rPr>
          <w:color w:val="auto"/>
        </w:rPr>
      </w:pPr>
    </w:p>
    <w:p w14:paraId="62FC00BD">
      <w:pPr>
        <w:spacing w:line="460" w:lineRule="exact"/>
        <w:ind w:firstLine="1656" w:firstLineChars="550"/>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联系人：</w:t>
      </w:r>
    </w:p>
    <w:p w14:paraId="6E8FA8A2">
      <w:pPr>
        <w:pStyle w:val="3"/>
        <w:rPr>
          <w:color w:val="auto"/>
        </w:rPr>
      </w:pPr>
    </w:p>
    <w:p w14:paraId="3FF91DB9">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联系电话：</w:t>
      </w:r>
    </w:p>
    <w:p w14:paraId="30E91B93">
      <w:pPr>
        <w:spacing w:line="460" w:lineRule="exact"/>
        <w:ind w:firstLine="1656" w:firstLineChars="550"/>
        <w:rPr>
          <w:rFonts w:ascii="仿宋_GB2312" w:hAnsi="仿宋_GB2312" w:eastAsia="仿宋_GB2312" w:cs="仿宋_GB2312"/>
          <w:b/>
          <w:color w:val="auto"/>
          <w:sz w:val="30"/>
          <w:szCs w:val="30"/>
          <w:highlight w:val="none"/>
        </w:rPr>
      </w:pPr>
    </w:p>
    <w:p w14:paraId="7787EFC1">
      <w:pPr>
        <w:spacing w:line="460" w:lineRule="exact"/>
        <w:ind w:firstLine="1656" w:firstLineChars="550"/>
        <w:rPr>
          <w:rFonts w:ascii="仿宋_GB2312" w:hAnsi="仿宋_GB2312" w:eastAsia="仿宋_GB2312" w:cs="仿宋_GB2312"/>
          <w:b/>
          <w:color w:val="auto"/>
          <w:sz w:val="30"/>
          <w:szCs w:val="30"/>
          <w:highlight w:val="none"/>
        </w:rPr>
      </w:pPr>
    </w:p>
    <w:p w14:paraId="2E8215FD">
      <w:pPr>
        <w:spacing w:line="460" w:lineRule="exact"/>
        <w:ind w:firstLine="1656" w:firstLineChars="550"/>
        <w:rPr>
          <w:rFonts w:ascii="仿宋_GB2312" w:hAnsi="仿宋_GB2312" w:eastAsia="仿宋_GB2312" w:cs="仿宋_GB2312"/>
          <w:b/>
          <w:color w:val="auto"/>
          <w:sz w:val="30"/>
          <w:szCs w:val="30"/>
          <w:highlight w:val="none"/>
        </w:rPr>
      </w:pPr>
    </w:p>
    <w:p w14:paraId="301273E9">
      <w:pPr>
        <w:spacing w:line="460" w:lineRule="exact"/>
        <w:jc w:val="center"/>
        <w:rPr>
          <w:rFonts w:ascii="仿宋_GB2312" w:hAnsi="仿宋_GB2312" w:eastAsia="仿宋_GB2312" w:cs="仿宋_GB2312"/>
          <w:b/>
          <w:color w:val="auto"/>
          <w:sz w:val="30"/>
          <w:szCs w:val="30"/>
          <w:highlight w:val="none"/>
        </w:rPr>
      </w:pPr>
      <w:bookmarkStart w:id="348" w:name="_Toc7456"/>
      <w:r>
        <w:rPr>
          <w:rFonts w:hint="eastAsia" w:ascii="仿宋_GB2312" w:hAnsi="仿宋_GB2312" w:eastAsia="仿宋_GB2312" w:cs="仿宋_GB2312"/>
          <w:b/>
          <w:color w:val="auto"/>
          <w:sz w:val="30"/>
          <w:szCs w:val="30"/>
          <w:highlight w:val="none"/>
        </w:rPr>
        <w:t>年   月   日</w:t>
      </w:r>
      <w:bookmarkEnd w:id="348"/>
    </w:p>
    <w:p w14:paraId="039DDDF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br w:type="page"/>
      </w:r>
      <w:bookmarkStart w:id="349" w:name="_Toc16887"/>
      <w:bookmarkStart w:id="350" w:name="_Toc9662"/>
      <w:bookmarkStart w:id="351" w:name="_Toc10022"/>
      <w:bookmarkStart w:id="352" w:name="_Toc10661"/>
      <w:bookmarkStart w:id="353" w:name="_Toc30337"/>
      <w:bookmarkStart w:id="354" w:name="_Toc12107"/>
      <w:bookmarkStart w:id="355" w:name="_Toc2677"/>
      <w:bookmarkStart w:id="356" w:name="_Toc4068"/>
      <w:r>
        <w:rPr>
          <w:rFonts w:hint="eastAsia" w:ascii="仿宋_GB2312" w:hAnsi="仿宋_GB2312" w:eastAsia="仿宋_GB2312" w:cs="仿宋_GB2312"/>
          <w:b/>
          <w:bCs/>
          <w:color w:val="auto"/>
          <w:kern w:val="28"/>
          <w:sz w:val="30"/>
          <w:szCs w:val="30"/>
          <w:highlight w:val="none"/>
          <w:lang w:val="en-US" w:eastAsia="zh-CN" w:bidi="ar-SA"/>
        </w:rPr>
        <w:t>二、比选申请函</w:t>
      </w:r>
      <w:bookmarkEnd w:id="349"/>
      <w:bookmarkEnd w:id="350"/>
      <w:bookmarkEnd w:id="351"/>
    </w:p>
    <w:p w14:paraId="696EA996">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四川省交通物资有限责任公司</w:t>
      </w:r>
    </w:p>
    <w:p w14:paraId="29291F8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我方全面研究了 “</w:t>
      </w:r>
      <w:r>
        <w:rPr>
          <w:rFonts w:hint="eastAsia" w:ascii="仿宋_GB2312" w:hAnsi="仿宋_GB2312" w:eastAsia="仿宋_GB2312" w:cs="仿宋_GB2312"/>
          <w:color w:val="auto"/>
          <w:sz w:val="24"/>
          <w:highlight w:val="none"/>
          <w:lang w:val="en-US" w:eastAsia="zh-CN"/>
        </w:rPr>
        <w:t>四川省交通物资有限责任公司关于选聘与某公司买卖合同纠纷案件专项法律服务机构</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比选文件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项目编号：JTWZ20251101）</w:t>
      </w:r>
      <w:r>
        <w:rPr>
          <w:rFonts w:hint="eastAsia" w:ascii="仿宋_GB2312" w:hAnsi="仿宋_GB2312" w:eastAsia="仿宋_GB2312" w:cs="仿宋_GB2312"/>
          <w:color w:val="auto"/>
          <w:sz w:val="24"/>
          <w:highlight w:val="none"/>
        </w:rPr>
        <w:t>，决定参加贵单位组织的本项目比选活动。我方授权</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（姓名、职务）代表我方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（比选申请人单位的名称）全权处理本项目比选活动的有关事宜。在此提交的比选申请文件，正本一份，副本一份。包括如下内容：</w:t>
      </w:r>
    </w:p>
    <w:p w14:paraId="0A42B7F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（一）比选申请书；负责人本人身份证复印件。如果有委托代理人的，应同时附负责人授权书、负责人身份复印件、委托代理人身份证复印件；</w:t>
      </w:r>
    </w:p>
    <w:p w14:paraId="5153FF92">
      <w:pPr>
        <w:spacing w:line="46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（二）团队构成，团队负责人及成员简介及其相关资格证书的复印件； </w:t>
      </w:r>
    </w:p>
    <w:p w14:paraId="4822E911">
      <w:pPr>
        <w:spacing w:line="460" w:lineRule="exact"/>
        <w:ind w:firstLine="48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三）服务方案；</w:t>
      </w:r>
    </w:p>
    <w:p w14:paraId="2BBDC9AB">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四</w:t>
      </w:r>
      <w:r>
        <w:rPr>
          <w:rFonts w:hint="eastAsia" w:ascii="仿宋_GB2312" w:hAnsi="仿宋_GB2312" w:eastAsia="仿宋_GB2312" w:cs="仿宋_GB2312"/>
          <w:color w:val="auto"/>
          <w:sz w:val="24"/>
          <w:highlight w:val="none"/>
        </w:rPr>
        <w:t>）比选报价；</w:t>
      </w:r>
    </w:p>
    <w:p w14:paraId="72C2FB8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）律师事务所执业许可证副本、相关资质复印件；</w:t>
      </w:r>
    </w:p>
    <w:p w14:paraId="2AB7072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）本文件第三章提到的相关证明文件；</w:t>
      </w:r>
    </w:p>
    <w:p w14:paraId="27AA68B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七</w:t>
      </w:r>
      <w:r>
        <w:rPr>
          <w:rFonts w:hint="eastAsia" w:ascii="仿宋_GB2312" w:hAnsi="仿宋_GB2312" w:eastAsia="仿宋_GB2312" w:cs="仿宋_GB2312"/>
          <w:color w:val="auto"/>
          <w:sz w:val="24"/>
          <w:highlight w:val="none"/>
        </w:rPr>
        <w:t>）承诺函；</w:t>
      </w:r>
    </w:p>
    <w:p w14:paraId="675E479F">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八</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2022年、2023年、</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年度审计报告；</w:t>
      </w:r>
    </w:p>
    <w:p w14:paraId="0593CFC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color w:val="auto"/>
          <w:sz w:val="24"/>
          <w:highlight w:val="none"/>
          <w:lang w:eastAsia="zh-CN"/>
        </w:rPr>
        <w:t>已完全</w:t>
      </w:r>
      <w:r>
        <w:rPr>
          <w:rFonts w:hint="eastAsia" w:ascii="仿宋_GB2312" w:hAnsi="仿宋_GB2312" w:eastAsia="仿宋_GB2312" w:cs="仿宋_GB2312"/>
          <w:color w:val="auto"/>
          <w:sz w:val="24"/>
          <w:highlight w:val="none"/>
        </w:rPr>
        <w:t>明白比选文件的所有条款要求，并重申以下几点：</w:t>
      </w:r>
    </w:p>
    <w:p w14:paraId="2A00FBB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我方决定参加此次比选项目的法律服务工作并已经实施全部有关服务的比选报价及详细预算。</w:t>
      </w:r>
    </w:p>
    <w:p w14:paraId="66EF964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（二）我方了解并知悉比选文件第五章“项目需求及服务、团队等相关要求”所列明的内容并进行</w:t>
      </w:r>
      <w:r>
        <w:rPr>
          <w:rFonts w:hint="eastAsia" w:ascii="仿宋_GB2312" w:hAnsi="仿宋_GB2312" w:eastAsia="仿宋_GB2312" w:cs="仿宋_GB2312"/>
          <w:color w:val="auto"/>
          <w:sz w:val="24"/>
          <w:highlight w:val="none"/>
          <w:u w:val="single"/>
        </w:rPr>
        <w:t xml:space="preserve"> 完全/部分 </w:t>
      </w:r>
      <w:r>
        <w:rPr>
          <w:rFonts w:hint="eastAsia" w:ascii="仿宋_GB2312" w:hAnsi="仿宋_GB2312" w:eastAsia="仿宋_GB2312" w:cs="仿宋_GB2312"/>
          <w:color w:val="auto"/>
          <w:sz w:val="24"/>
          <w:highlight w:val="none"/>
        </w:rPr>
        <w:t>响应，其中</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项我单位无法响应（如有请列明序号）。</w:t>
      </w:r>
    </w:p>
    <w:p w14:paraId="3E2F9FB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本比选申请文件的有效期至比选截止日后</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天有效，如中选，有效期将延至合同终止日止。</w:t>
      </w:r>
    </w:p>
    <w:p w14:paraId="51B3A90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我方已详细研究了比选文件的所有内容包括修正文件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和所有已提供的参考资料以及有关附件并完全明白。我方放弃在此方面提出含糊意见或误解的一切权力。</w:t>
      </w:r>
    </w:p>
    <w:p w14:paraId="35F1648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五</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我方同意按照贵方可能提出的要求而提供与比选有关的</w:t>
      </w:r>
      <w:r>
        <w:rPr>
          <w:rFonts w:hint="eastAsia" w:ascii="仿宋_GB2312" w:hAnsi="仿宋_GB2312" w:eastAsia="仿宋_GB2312" w:cs="仿宋_GB2312"/>
          <w:color w:val="auto"/>
          <w:sz w:val="24"/>
          <w:highlight w:val="none"/>
          <w:lang w:eastAsia="zh-CN"/>
        </w:rPr>
        <w:t>任何其他</w:t>
      </w:r>
      <w:r>
        <w:rPr>
          <w:rFonts w:hint="eastAsia" w:ascii="仿宋_GB2312" w:hAnsi="仿宋_GB2312" w:eastAsia="仿宋_GB2312" w:cs="仿宋_GB2312"/>
          <w:color w:val="auto"/>
          <w:sz w:val="24"/>
          <w:highlight w:val="none"/>
        </w:rPr>
        <w:t>数据或信息。</w:t>
      </w:r>
    </w:p>
    <w:p w14:paraId="7FE78353">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我方理解贵方不一定接受最低比选报价或任何贵方可能收到的比选申请。</w:t>
      </w:r>
    </w:p>
    <w:p w14:paraId="1BD2649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七</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我方如果中选，将保证履行比选文件以及比选文件修改书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中全部责任和义务，按质、按量、按期完成任务。</w:t>
      </w:r>
    </w:p>
    <w:p w14:paraId="4E1CCB5E">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所有与本次比选有关的函件请发往下列地址：</w:t>
      </w:r>
    </w:p>
    <w:p w14:paraId="7BC6BFD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p>
    <w:p w14:paraId="0F12572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邮政编码：          电话：         传真：  </w:t>
      </w:r>
    </w:p>
    <w:p w14:paraId="591C863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7C23278A">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参选机构（律所公章）</w:t>
      </w:r>
    </w:p>
    <w:p w14:paraId="5D0B2E3A">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法定代表姓名：             </w:t>
      </w:r>
    </w:p>
    <w:p w14:paraId="2DF96CA0">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        务：</w:t>
      </w:r>
    </w:p>
    <w:p w14:paraId="738727A7">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授权代表姓名（签名或盖章）</w:t>
      </w:r>
    </w:p>
    <w:p w14:paraId="65E289C7">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参选机构地址：</w:t>
      </w:r>
    </w:p>
    <w:p w14:paraId="248544C4">
      <w:pPr>
        <w:spacing w:line="460" w:lineRule="exact"/>
        <w:ind w:firstLine="480"/>
        <w:jc w:val="right"/>
        <w:rPr>
          <w:rFonts w:ascii="仿宋_GB2312" w:hAnsi="仿宋_GB2312" w:eastAsia="仿宋_GB2312" w:cs="仿宋_GB2312"/>
          <w:color w:val="auto"/>
          <w:sz w:val="24"/>
          <w:highlight w:val="none"/>
        </w:rPr>
      </w:pPr>
    </w:p>
    <w:p w14:paraId="28E60825">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p>
    <w:p w14:paraId="3CAA8B95">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1C7A082">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BF86DF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5AC841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229D56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78E73AA7">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22BAAA2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7A5326B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691B8B3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FE4B97A">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093AD3E">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三、法定代表人授权书</w:t>
      </w:r>
      <w:bookmarkEnd w:id="352"/>
      <w:bookmarkEnd w:id="353"/>
      <w:bookmarkEnd w:id="354"/>
      <w:bookmarkEnd w:id="355"/>
      <w:bookmarkEnd w:id="356"/>
    </w:p>
    <w:p w14:paraId="6BCE40B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比选申请人根据自身情况在比选申请书中提供（1）或（2）。</w:t>
      </w:r>
    </w:p>
    <w:p w14:paraId="0D5E83D5">
      <w:pPr>
        <w:spacing w:line="460" w:lineRule="exact"/>
        <w:ind w:firstLine="480"/>
        <w:rPr>
          <w:rFonts w:ascii="仿宋_GB2312" w:hAnsi="仿宋_GB2312" w:eastAsia="仿宋_GB2312" w:cs="仿宋_GB2312"/>
          <w:color w:val="auto"/>
          <w:sz w:val="24"/>
          <w:highlight w:val="none"/>
        </w:rPr>
      </w:pPr>
    </w:p>
    <w:p w14:paraId="4344FB97">
      <w:pPr>
        <w:spacing w:line="460" w:lineRule="exact"/>
        <w:ind w:firstLine="602"/>
        <w:jc w:val="center"/>
        <w:rPr>
          <w:rFonts w:ascii="仿宋_GB2312" w:hAnsi="仿宋_GB2312" w:eastAsia="仿宋_GB2312" w:cs="仿宋_GB2312"/>
          <w:b/>
          <w:color w:val="auto"/>
          <w:sz w:val="24"/>
          <w:highlight w:val="none"/>
        </w:rPr>
      </w:pPr>
      <w:bookmarkStart w:id="357" w:name="_Toc24911"/>
      <w:r>
        <w:rPr>
          <w:rFonts w:hint="eastAsia" w:ascii="仿宋_GB2312" w:hAnsi="仿宋_GB2312" w:eastAsia="仿宋_GB2312" w:cs="仿宋_GB2312"/>
          <w:b/>
          <w:color w:val="auto"/>
          <w:sz w:val="24"/>
          <w:highlight w:val="none"/>
        </w:rPr>
        <w:t>（1）法定代表人证明</w:t>
      </w:r>
      <w:bookmarkEnd w:id="357"/>
    </w:p>
    <w:p w14:paraId="5E053A08">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（仅在法定代表人参加比选时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715A570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律师事务所名称：</w:t>
      </w:r>
      <w:r>
        <w:rPr>
          <w:rFonts w:hint="eastAsia" w:ascii="仿宋_GB2312" w:hAnsi="仿宋_GB2312" w:eastAsia="仿宋_GB2312" w:cs="仿宋_GB2312"/>
          <w:color w:val="auto"/>
          <w:sz w:val="24"/>
          <w:highlight w:val="none"/>
          <w:u w:val="single"/>
        </w:rPr>
        <w:t xml:space="preserve">                                      </w:t>
      </w:r>
    </w:p>
    <w:p w14:paraId="5DC838D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7D7341D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14:paraId="6F99903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7C02FC7">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经营期限：</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162188B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w:t>
      </w:r>
      <w:r>
        <w:rPr>
          <w:rFonts w:hint="eastAsia" w:ascii="仿宋_GB2312" w:hAnsi="仿宋_GB2312" w:eastAsia="仿宋_GB2312" w:cs="仿宋_GB2312"/>
          <w:color w:val="auto"/>
          <w:sz w:val="24"/>
          <w:highlight w:val="none"/>
          <w:u w:val="single"/>
        </w:rPr>
        <w:t xml:space="preserve">       </w:t>
      </w:r>
    </w:p>
    <w:p w14:paraId="64936523">
      <w:pPr>
        <w:spacing w:line="460" w:lineRule="exact"/>
        <w:ind w:firstLine="48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身份证号码：</w:t>
      </w:r>
      <w:r>
        <w:rPr>
          <w:rFonts w:hint="eastAsia" w:ascii="仿宋_GB2312" w:hAnsi="仿宋_GB2312" w:eastAsia="仿宋_GB2312" w:cs="仿宋_GB2312"/>
          <w:color w:val="auto"/>
          <w:sz w:val="24"/>
          <w:highlight w:val="none"/>
          <w:u w:val="single"/>
        </w:rPr>
        <w:t xml:space="preserve">                   </w:t>
      </w:r>
    </w:p>
    <w:p w14:paraId="257277F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（比选申请人）的法定代表人。</w:t>
      </w:r>
    </w:p>
    <w:p w14:paraId="785AF229">
      <w:pPr>
        <w:spacing w:line="460" w:lineRule="exact"/>
        <w:ind w:firstLine="960" w:firstLine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特此证明。</w:t>
      </w:r>
    </w:p>
    <w:p w14:paraId="77228C17">
      <w:pPr>
        <w:spacing w:line="460" w:lineRule="exact"/>
        <w:rPr>
          <w:rFonts w:ascii="仿宋_GB2312" w:hAnsi="仿宋_GB2312" w:eastAsia="仿宋_GB2312" w:cs="仿宋_GB2312"/>
          <w:color w:val="auto"/>
          <w:sz w:val="24"/>
          <w:highlight w:val="none"/>
        </w:rPr>
      </w:pPr>
    </w:p>
    <w:p w14:paraId="090771F0">
      <w:pPr>
        <w:wordWrap w:val="0"/>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（盖单位公章）</w:t>
      </w:r>
    </w:p>
    <w:p w14:paraId="04906174">
      <w:pPr>
        <w:spacing w:line="460" w:lineRule="exact"/>
        <w:ind w:firstLine="5160" w:firstLineChars="2150"/>
        <w:rPr>
          <w:rFonts w:ascii="仿宋_GB2312" w:hAnsi="仿宋_GB2312" w:eastAsia="仿宋_GB2312" w:cs="仿宋_GB2312"/>
          <w:color w:val="auto"/>
          <w:sz w:val="24"/>
          <w:highlight w:val="none"/>
          <w:u w:val="single"/>
        </w:rPr>
      </w:pPr>
    </w:p>
    <w:p w14:paraId="1B9D1616">
      <w:pPr>
        <w:spacing w:line="460" w:lineRule="exact"/>
        <w:ind w:firstLine="4200" w:firstLineChars="17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3314618B">
      <w:pPr>
        <w:tabs>
          <w:tab w:val="left" w:pos="8280"/>
        </w:tabs>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附法定代表人身份证复印件。</w:t>
      </w:r>
    </w:p>
    <w:p w14:paraId="28BBA85C">
      <w:pPr>
        <w:spacing w:line="460" w:lineRule="exact"/>
        <w:rPr>
          <w:rFonts w:ascii="仿宋_GB2312" w:hAnsi="仿宋_GB2312" w:eastAsia="仿宋_GB2312" w:cs="仿宋_GB2312"/>
          <w:b/>
          <w:color w:val="auto"/>
          <w:sz w:val="24"/>
          <w:highlight w:val="none"/>
        </w:rPr>
      </w:pPr>
    </w:p>
    <w:p w14:paraId="50C51AF6">
      <w:pPr>
        <w:spacing w:line="460" w:lineRule="exact"/>
        <w:rPr>
          <w:rFonts w:ascii="仿宋_GB2312" w:hAnsi="仿宋_GB2312" w:eastAsia="仿宋_GB2312" w:cs="仿宋_GB2312"/>
          <w:b/>
          <w:color w:val="auto"/>
          <w:sz w:val="24"/>
          <w:highlight w:val="none"/>
        </w:rPr>
      </w:pPr>
    </w:p>
    <w:p w14:paraId="201041CD">
      <w:pPr>
        <w:spacing w:line="460" w:lineRule="exact"/>
        <w:rPr>
          <w:rFonts w:ascii="仿宋_GB2312" w:hAnsi="仿宋_GB2312" w:eastAsia="仿宋_GB2312" w:cs="仿宋_GB2312"/>
          <w:b/>
          <w:color w:val="auto"/>
          <w:sz w:val="24"/>
          <w:highlight w:val="none"/>
        </w:rPr>
      </w:pPr>
    </w:p>
    <w:p w14:paraId="47350A8E">
      <w:pPr>
        <w:spacing w:line="460" w:lineRule="exact"/>
        <w:rPr>
          <w:rFonts w:ascii="仿宋_GB2312" w:hAnsi="仿宋_GB2312" w:eastAsia="仿宋_GB2312" w:cs="仿宋_GB2312"/>
          <w:b/>
          <w:color w:val="auto"/>
          <w:sz w:val="24"/>
          <w:highlight w:val="none"/>
        </w:rPr>
      </w:pPr>
    </w:p>
    <w:p w14:paraId="06E4D819">
      <w:pPr>
        <w:spacing w:line="460" w:lineRule="exact"/>
        <w:rPr>
          <w:rFonts w:ascii="仿宋_GB2312" w:hAnsi="仿宋_GB2312" w:eastAsia="仿宋_GB2312" w:cs="仿宋_GB2312"/>
          <w:b/>
          <w:color w:val="auto"/>
          <w:sz w:val="24"/>
          <w:highlight w:val="none"/>
        </w:rPr>
      </w:pPr>
    </w:p>
    <w:p w14:paraId="14E6A9B9">
      <w:pPr>
        <w:spacing w:line="460" w:lineRule="exact"/>
        <w:rPr>
          <w:rFonts w:ascii="仿宋_GB2312" w:hAnsi="仿宋_GB2312" w:eastAsia="仿宋_GB2312" w:cs="仿宋_GB2312"/>
          <w:b/>
          <w:color w:val="auto"/>
          <w:sz w:val="24"/>
          <w:highlight w:val="none"/>
        </w:rPr>
      </w:pPr>
    </w:p>
    <w:p w14:paraId="7A26AB1F">
      <w:pPr>
        <w:spacing w:line="460" w:lineRule="exact"/>
        <w:rPr>
          <w:rFonts w:ascii="仿宋_GB2312" w:hAnsi="仿宋_GB2312" w:eastAsia="仿宋_GB2312" w:cs="仿宋_GB2312"/>
          <w:b/>
          <w:color w:val="auto"/>
          <w:sz w:val="24"/>
          <w:highlight w:val="none"/>
        </w:rPr>
      </w:pPr>
    </w:p>
    <w:p w14:paraId="7EE3BC73">
      <w:pPr>
        <w:spacing w:line="460" w:lineRule="exact"/>
        <w:rPr>
          <w:rFonts w:ascii="仿宋_GB2312" w:hAnsi="仿宋_GB2312" w:eastAsia="仿宋_GB2312" w:cs="仿宋_GB2312"/>
          <w:b/>
          <w:color w:val="auto"/>
          <w:sz w:val="24"/>
          <w:highlight w:val="none"/>
        </w:rPr>
      </w:pPr>
    </w:p>
    <w:p w14:paraId="4712493D">
      <w:pPr>
        <w:spacing w:line="460" w:lineRule="exact"/>
        <w:rPr>
          <w:rFonts w:ascii="仿宋_GB2312" w:hAnsi="仿宋_GB2312" w:eastAsia="仿宋_GB2312" w:cs="仿宋_GB2312"/>
          <w:b/>
          <w:color w:val="auto"/>
          <w:sz w:val="24"/>
          <w:highlight w:val="none"/>
        </w:rPr>
      </w:pPr>
    </w:p>
    <w:p w14:paraId="09E68FA5">
      <w:pPr>
        <w:spacing w:line="460" w:lineRule="exact"/>
        <w:rPr>
          <w:rFonts w:ascii="仿宋_GB2312" w:hAnsi="仿宋_GB2312" w:eastAsia="仿宋_GB2312" w:cs="仿宋_GB2312"/>
          <w:b/>
          <w:color w:val="auto"/>
          <w:sz w:val="24"/>
          <w:highlight w:val="none"/>
        </w:rPr>
      </w:pPr>
    </w:p>
    <w:p w14:paraId="5345CB09">
      <w:pPr>
        <w:spacing w:line="460" w:lineRule="exact"/>
        <w:rPr>
          <w:rFonts w:ascii="仿宋_GB2312" w:hAnsi="仿宋_GB2312" w:eastAsia="仿宋_GB2312" w:cs="仿宋_GB2312"/>
          <w:b/>
          <w:color w:val="auto"/>
          <w:sz w:val="24"/>
          <w:highlight w:val="none"/>
        </w:rPr>
      </w:pPr>
    </w:p>
    <w:p w14:paraId="1B7C46A2">
      <w:pPr>
        <w:spacing w:line="460" w:lineRule="exact"/>
        <w:jc w:val="center"/>
        <w:rPr>
          <w:rFonts w:ascii="仿宋_GB2312" w:hAnsi="仿宋_GB2312" w:eastAsia="仿宋_GB2312" w:cs="仿宋_GB2312"/>
          <w:b/>
          <w:color w:val="auto"/>
          <w:sz w:val="24"/>
          <w:highlight w:val="none"/>
        </w:rPr>
      </w:pPr>
      <w:bookmarkStart w:id="358" w:name="_Toc10373"/>
      <w:r>
        <w:rPr>
          <w:rFonts w:hint="eastAsia" w:ascii="仿宋_GB2312" w:hAnsi="仿宋_GB2312" w:eastAsia="仿宋_GB2312" w:cs="仿宋_GB2312"/>
          <w:b/>
          <w:color w:val="auto"/>
          <w:sz w:val="24"/>
          <w:highlight w:val="none"/>
        </w:rPr>
        <w:t>（2）法定代表人委托书</w:t>
      </w:r>
      <w:bookmarkEnd w:id="358"/>
    </w:p>
    <w:p w14:paraId="7DDF905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0A6A4521">
      <w:pPr>
        <w:spacing w:line="460" w:lineRule="exact"/>
        <w:jc w:val="center"/>
        <w:rPr>
          <w:rFonts w:ascii="仿宋_GB2312" w:hAnsi="仿宋_GB2312" w:eastAsia="仿宋_GB2312" w:cs="仿宋_GB2312"/>
          <w:b/>
          <w:color w:val="auto"/>
          <w:sz w:val="24"/>
          <w:highlight w:val="none"/>
        </w:rPr>
      </w:pPr>
    </w:p>
    <w:p w14:paraId="0EA15D0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本授权委托书声明：我</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的法定代表人，现授权</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为我公司</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委托代理人，以本所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的名义参加“</w:t>
      </w:r>
      <w:r>
        <w:rPr>
          <w:rFonts w:hint="eastAsia" w:ascii="仿宋_GB2312" w:hAnsi="仿宋_GB2312" w:eastAsia="仿宋_GB2312" w:cs="仿宋_GB2312"/>
          <w:color w:val="auto"/>
          <w:sz w:val="24"/>
          <w:highlight w:val="none"/>
          <w:lang w:val="en-US" w:eastAsia="zh-CN"/>
        </w:rPr>
        <w:t>四川省交通物资有限责任公司与某公司买卖合同纠纷案件</w:t>
      </w:r>
      <w:r>
        <w:rPr>
          <w:rFonts w:hint="eastAsia" w:ascii="仿宋_GB2312" w:hAnsi="仿宋_GB2312" w:eastAsia="仿宋_GB2312" w:cs="仿宋_GB2312"/>
          <w:color w:val="auto"/>
          <w:sz w:val="24"/>
          <w:highlight w:val="none"/>
          <w:u w:val="none"/>
          <w:lang w:val="en-US" w:eastAsia="zh-CN"/>
        </w:rPr>
        <w:t>公开</w:t>
      </w:r>
      <w:r>
        <w:rPr>
          <w:rFonts w:hint="eastAsia" w:ascii="仿宋_GB2312" w:hAnsi="仿宋_GB2312" w:eastAsia="仿宋_GB2312" w:cs="仿宋_GB2312"/>
          <w:color w:val="auto"/>
          <w:sz w:val="24"/>
          <w:highlight w:val="none"/>
        </w:rPr>
        <w:t>选聘项目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w:t>
      </w:r>
      <w:r>
        <w:rPr>
          <w:rFonts w:hint="eastAsia" w:ascii="仿宋_GB2312" w:hAnsi="仿宋_GB2312" w:eastAsia="仿宋_GB2312" w:cs="仿宋_GB2312"/>
          <w:color w:val="auto"/>
          <w:sz w:val="24"/>
          <w:highlight w:val="none"/>
        </w:rPr>
        <w:t>”比选活动。委托代理人在比选过程中所签署的一切文件和处理与之有关的一切事务，我及我所均予以承认并全部承担其产生的所有权利和义务。</w:t>
      </w:r>
    </w:p>
    <w:p w14:paraId="7D3F3405">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委托代理人无转委托权。特此委托。</w:t>
      </w:r>
    </w:p>
    <w:p w14:paraId="3CFA67C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委托权限：特别授权</w:t>
      </w:r>
    </w:p>
    <w:p w14:paraId="54CB8560">
      <w:pPr>
        <w:spacing w:line="460" w:lineRule="exact"/>
        <w:rPr>
          <w:rFonts w:ascii="仿宋_GB2312" w:hAnsi="仿宋_GB2312" w:eastAsia="仿宋_GB2312" w:cs="仿宋_GB2312"/>
          <w:color w:val="auto"/>
          <w:sz w:val="24"/>
          <w:highlight w:val="none"/>
        </w:rPr>
      </w:pPr>
    </w:p>
    <w:p w14:paraId="0B1E02C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r>
        <w:rPr>
          <w:rFonts w:hint="eastAsia" w:ascii="仿宋_GB2312" w:hAnsi="仿宋_GB2312" w:eastAsia="仿宋_GB2312" w:cs="仿宋_GB2312"/>
          <w:color w:val="auto"/>
          <w:sz w:val="24"/>
          <w:highlight w:val="none"/>
          <w:u w:val="single"/>
        </w:rPr>
        <w:t xml:space="preserve">                </w:t>
      </w:r>
    </w:p>
    <w:p w14:paraId="2B0DD1BD">
      <w:pPr>
        <w:spacing w:line="460" w:lineRule="exact"/>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被授权人（签字）：</w:t>
      </w:r>
      <w:r>
        <w:rPr>
          <w:rFonts w:hint="eastAsia" w:ascii="仿宋_GB2312" w:hAnsi="仿宋_GB2312" w:eastAsia="仿宋_GB2312" w:cs="仿宋_GB2312"/>
          <w:color w:val="auto"/>
          <w:sz w:val="24"/>
          <w:highlight w:val="none"/>
          <w:u w:val="single"/>
        </w:rPr>
        <w:t xml:space="preserve">                </w:t>
      </w:r>
    </w:p>
    <w:p w14:paraId="7998E3CB">
      <w:pPr>
        <w:spacing w:line="460" w:lineRule="exact"/>
        <w:rPr>
          <w:rFonts w:ascii="仿宋_GB2312" w:hAnsi="仿宋_GB2312" w:eastAsia="仿宋_GB2312" w:cs="仿宋_GB2312"/>
          <w:color w:val="auto"/>
          <w:sz w:val="24"/>
          <w:highlight w:val="none"/>
        </w:rPr>
      </w:pPr>
    </w:p>
    <w:p w14:paraId="0ABD189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后附法定代表人和被授权人的身份证复印件。</w:t>
      </w:r>
    </w:p>
    <w:p w14:paraId="49E7E7AA">
      <w:pPr>
        <w:spacing w:line="460" w:lineRule="exact"/>
        <w:rPr>
          <w:rFonts w:ascii="仿宋_GB2312" w:hAnsi="仿宋_GB2312" w:eastAsia="仿宋_GB2312" w:cs="仿宋_GB2312"/>
          <w:color w:val="auto"/>
          <w:sz w:val="24"/>
          <w:highlight w:val="none"/>
        </w:rPr>
      </w:pPr>
    </w:p>
    <w:p w14:paraId="672B96C6">
      <w:pPr>
        <w:spacing w:line="460" w:lineRule="exact"/>
        <w:ind w:firstLine="3720" w:firstLineChars="155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p>
    <w:p w14:paraId="47B1437C">
      <w:pPr>
        <w:spacing w:line="460" w:lineRule="exact"/>
        <w:ind w:firstLine="3120" w:firstLineChars="1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   年   月    日</w:t>
      </w:r>
    </w:p>
    <w:p w14:paraId="5EB07EA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59" w:name="_Toc15612"/>
      <w:bookmarkStart w:id="360" w:name="_Toc21876"/>
      <w:bookmarkStart w:id="361" w:name="_Toc6335"/>
      <w:bookmarkStart w:id="362" w:name="_Toc14006"/>
      <w:bookmarkStart w:id="363" w:name="_Toc9094"/>
      <w:r>
        <w:rPr>
          <w:rFonts w:hint="eastAsia" w:ascii="仿宋_GB2312" w:hAnsi="仿宋_GB2312" w:eastAsia="仿宋_GB2312" w:cs="仿宋_GB2312"/>
          <w:b/>
          <w:bCs/>
          <w:color w:val="auto"/>
          <w:kern w:val="28"/>
          <w:sz w:val="30"/>
          <w:szCs w:val="30"/>
          <w:highlight w:val="none"/>
          <w:lang w:val="en-US" w:eastAsia="zh-CN" w:bidi="ar-SA"/>
        </w:rPr>
        <w:t>四、比选申请人的资格要求证明材料承诺</w:t>
      </w:r>
      <w:bookmarkEnd w:id="359"/>
      <w:bookmarkEnd w:id="360"/>
      <w:bookmarkEnd w:id="361"/>
      <w:bookmarkEnd w:id="362"/>
      <w:bookmarkEnd w:id="363"/>
      <w:r>
        <w:rPr>
          <w:rFonts w:hint="eastAsia" w:ascii="仿宋_GB2312" w:hAnsi="仿宋_GB2312" w:eastAsia="仿宋_GB2312" w:cs="仿宋_GB2312"/>
          <w:b/>
          <w:bCs/>
          <w:color w:val="auto"/>
          <w:kern w:val="28"/>
          <w:sz w:val="30"/>
          <w:szCs w:val="30"/>
          <w:highlight w:val="none"/>
          <w:lang w:val="en-US" w:eastAsia="zh-CN" w:bidi="ar-SA"/>
        </w:rPr>
        <w:t>函</w:t>
      </w:r>
    </w:p>
    <w:p w14:paraId="608C0BAC">
      <w:pPr>
        <w:spacing w:line="460" w:lineRule="exact"/>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四川省交通物资有限责任公司</w:t>
      </w:r>
    </w:p>
    <w:p w14:paraId="32DABC6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本单位自愿参加</w:t>
      </w:r>
      <w:r>
        <w:rPr>
          <w:rFonts w:hint="eastAsia" w:ascii="仿宋_GB2312" w:hAnsi="仿宋_GB2312" w:eastAsia="仿宋_GB2312" w:cs="仿宋_GB2312"/>
          <w:color w:val="auto"/>
          <w:sz w:val="24"/>
          <w:highlight w:val="none"/>
          <w:lang w:val="en-US" w:eastAsia="zh-CN"/>
        </w:rPr>
        <w:t>四川省交通物资有限责任公司关于选聘与某公司买卖合同纠纷案件专项法律服务机构的公开比选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项目编号：JTWZ20251101）</w:t>
      </w:r>
      <w:r>
        <w:rPr>
          <w:rFonts w:hint="eastAsia" w:ascii="仿宋_GB2312" w:hAnsi="仿宋_GB2312" w:eastAsia="仿宋_GB2312" w:cs="仿宋_GB2312"/>
          <w:color w:val="auto"/>
          <w:sz w:val="24"/>
          <w:highlight w:val="none"/>
        </w:rPr>
        <w:t>，并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0BA733B8">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1.同意比选文件中的有关规定，并按照贵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要求</w:t>
      </w:r>
      <w:r>
        <w:rPr>
          <w:rFonts w:hint="eastAsia" w:ascii="仿宋_GB2312" w:hAnsi="仿宋_GB2312" w:eastAsia="仿宋_GB2312" w:cs="仿宋_GB2312"/>
          <w:color w:val="auto"/>
          <w:sz w:val="24"/>
          <w:highlight w:val="none"/>
          <w:lang w:val="en-US" w:eastAsia="zh-CN"/>
        </w:rPr>
        <w:t>提供</w:t>
      </w:r>
      <w:r>
        <w:rPr>
          <w:rFonts w:hint="eastAsia" w:ascii="仿宋_GB2312" w:hAnsi="仿宋_GB2312" w:eastAsia="仿宋_GB2312" w:cs="仿宋_GB2312"/>
          <w:color w:val="auto"/>
          <w:sz w:val="24"/>
          <w:highlight w:val="none"/>
        </w:rPr>
        <w:t>与比选有关的数据、情况和资料等。</w:t>
      </w:r>
    </w:p>
    <w:p w14:paraId="27CFEB0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单位比选日前三年内不存在骗取成交或严重违规、违约问题；比选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56CF40A1">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3.本单位如中选，保证按照比选文件的承诺与贵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签订服务合同。</w:t>
      </w:r>
    </w:p>
    <w:p w14:paraId="4A86C588">
      <w:pPr>
        <w:spacing w:line="46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4.无论本</w:t>
      </w:r>
      <w:r>
        <w:rPr>
          <w:rFonts w:hint="eastAsia" w:ascii="仿宋_GB2312" w:hAnsi="仿宋_GB2312" w:eastAsia="仿宋_GB2312" w:cs="仿宋_GB2312"/>
          <w:color w:val="auto"/>
          <w:sz w:val="24"/>
          <w:highlight w:val="none"/>
          <w:lang w:val="en-US" w:eastAsia="zh-CN"/>
        </w:rPr>
        <w:t>次选聘</w:t>
      </w:r>
      <w:r>
        <w:rPr>
          <w:rFonts w:hint="eastAsia" w:ascii="仿宋_GB2312" w:hAnsi="仿宋_GB2312" w:eastAsia="仿宋_GB2312" w:cs="仿宋_GB2312"/>
          <w:color w:val="auto"/>
          <w:sz w:val="24"/>
          <w:highlight w:val="none"/>
        </w:rPr>
        <w:t>中选或者落选，</w:t>
      </w:r>
      <w:r>
        <w:rPr>
          <w:rFonts w:hint="eastAsia" w:ascii="仿宋_GB2312" w:hAnsi="仿宋_GB2312" w:eastAsia="仿宋_GB2312" w:cs="仿宋_GB2312"/>
          <w:color w:val="auto"/>
          <w:sz w:val="24"/>
          <w:highlight w:val="none"/>
          <w:lang w:val="en-US" w:eastAsia="zh-CN"/>
        </w:rPr>
        <w:t>贵司发送至本单位邮箱：</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中的</w:t>
      </w:r>
      <w:r>
        <w:rPr>
          <w:rFonts w:hint="eastAsia" w:ascii="仿宋_GB2312" w:hAnsi="仿宋_GB2312" w:eastAsia="仿宋_GB2312" w:cs="仿宋_GB2312"/>
          <w:color w:val="auto"/>
          <w:sz w:val="24"/>
          <w:highlight w:val="none"/>
        </w:rPr>
        <w:t>贵司与</w:t>
      </w:r>
      <w:r>
        <w:rPr>
          <w:rFonts w:hint="eastAsia" w:ascii="仿宋_GB2312" w:hAnsi="仿宋_GB2312" w:eastAsia="仿宋_GB2312" w:cs="仿宋_GB2312"/>
          <w:color w:val="auto"/>
          <w:sz w:val="24"/>
          <w:highlight w:val="none"/>
          <w:lang w:val="en-US" w:eastAsia="zh-CN"/>
        </w:rPr>
        <w:t>某公司</w:t>
      </w:r>
      <w:r>
        <w:rPr>
          <w:rFonts w:hint="eastAsia" w:ascii="仿宋_GB2312" w:hAnsi="仿宋_GB2312" w:eastAsia="仿宋_GB2312" w:cs="仿宋_GB2312"/>
          <w:color w:val="auto"/>
          <w:sz w:val="24"/>
          <w:highlight w:val="none"/>
        </w:rPr>
        <w:t>所有涉案材料，将秉承诚实信用原则，充分保护贵公司利益，承诺严格对涉案材料进行保密，未经贵司</w:t>
      </w:r>
      <w:r>
        <w:rPr>
          <w:rFonts w:hint="eastAsia" w:ascii="仿宋_GB2312" w:hAnsi="仿宋_GB2312" w:eastAsia="仿宋_GB2312" w:cs="仿宋_GB2312"/>
          <w:color w:val="auto"/>
          <w:sz w:val="24"/>
          <w:highlight w:val="none"/>
          <w:lang w:val="en-US" w:eastAsia="zh-CN"/>
        </w:rPr>
        <w:t>书面</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不向第三人以任何形式泄露，并采取一切必要、合理的措施进行保密。由于我所原因泄露涉案材料致使贵司合法权益受到侵害，我所愿意赔偿贵司因此所造成的所有损失，贵司有权对我所的违约追究其法律责任。</w:t>
      </w:r>
    </w:p>
    <w:p w14:paraId="26F946A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5.本单位参与本次比选申请，保证不存在以下情形：提供虚假材料谋取中选；采取不正当手段诋毁、排挤其他</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color w:val="auto"/>
          <w:sz w:val="24"/>
          <w:highlight w:val="none"/>
          <w:lang w:eastAsia="zh-CN"/>
        </w:rPr>
        <w:t>与其他</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申请人恶意串通；向选聘人行贿或者提供其他不正当利益；拒绝有关部门监督检查或提供虚假情况；有其他违规行为。</w:t>
      </w:r>
    </w:p>
    <w:p w14:paraId="4D9E473A">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（单位公章）</w:t>
      </w:r>
    </w:p>
    <w:p w14:paraId="2C552D00">
      <w:pPr>
        <w:spacing w:line="460" w:lineRule="exact"/>
        <w:ind w:firstLine="480" w:firstLineChars="200"/>
        <w:jc w:val="center"/>
        <w:rPr>
          <w:rFonts w:ascii="仿宋_GB2312" w:hAnsi="仿宋_GB2312" w:eastAsia="仿宋_GB2312" w:cs="仿宋_GB2312"/>
          <w:color w:val="auto"/>
          <w:sz w:val="24"/>
          <w:highlight w:val="none"/>
        </w:rPr>
      </w:pPr>
      <w:bookmarkStart w:id="364" w:name="_Toc12441"/>
      <w:r>
        <w:rPr>
          <w:rFonts w:hint="eastAsia" w:ascii="仿宋_GB2312" w:hAnsi="仿宋_GB2312" w:eastAsia="仿宋_GB2312" w:cs="仿宋_GB2312"/>
          <w:color w:val="auto"/>
          <w:sz w:val="24"/>
          <w:highlight w:val="none"/>
        </w:rPr>
        <w:t>法定代表人或授权代表（签字或加盖个人名章）：</w:t>
      </w:r>
      <w:bookmarkEnd w:id="364"/>
      <w:r>
        <w:rPr>
          <w:rFonts w:hint="eastAsia" w:ascii="仿宋_GB2312" w:hAnsi="仿宋_GB2312" w:eastAsia="仿宋_GB2312" w:cs="仿宋_GB2312"/>
          <w:color w:val="auto"/>
          <w:sz w:val="24"/>
          <w:highlight w:val="none"/>
          <w:u w:val="single"/>
        </w:rPr>
        <w:t xml:space="preserve">        </w:t>
      </w:r>
    </w:p>
    <w:p w14:paraId="2F510BAE">
      <w:pPr>
        <w:keepNext/>
        <w:keepLines/>
        <w:widowControl w:val="0"/>
        <w:spacing w:before="340" w:after="330" w:line="460" w:lineRule="exact"/>
        <w:jc w:val="right"/>
        <w:outlineLvl w:val="0"/>
        <w:rPr>
          <w:rFonts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日    期：   年   月   日</w:t>
      </w:r>
    </w:p>
    <w:p w14:paraId="3908A105">
      <w:pPr>
        <w:keepNext/>
        <w:keepLines/>
        <w:widowControl w:val="0"/>
        <w:spacing w:before="340" w:after="330" w:line="460" w:lineRule="exact"/>
        <w:jc w:val="left"/>
        <w:outlineLvl w:val="0"/>
        <w:rPr>
          <w:rFonts w:ascii="仿宋_GB2312" w:hAnsi="仿宋_GB2312" w:eastAsia="仿宋_GB2312" w:cs="仿宋_GB2312"/>
          <w:b/>
          <w:bCs/>
          <w:color w:val="auto"/>
          <w:kern w:val="44"/>
          <w:sz w:val="24"/>
          <w:szCs w:val="24"/>
          <w:highlight w:val="none"/>
          <w:lang w:val="en-US" w:eastAsia="zh-CN" w:bidi="ar-SA"/>
        </w:rPr>
      </w:pPr>
      <w:r>
        <w:rPr>
          <w:rFonts w:hint="eastAsia" w:ascii="仿宋_GB2312" w:hAnsi="仿宋_GB2312" w:eastAsia="仿宋_GB2312" w:cs="仿宋_GB2312"/>
          <w:b/>
          <w:bCs/>
          <w:color w:val="auto"/>
          <w:kern w:val="44"/>
          <w:sz w:val="24"/>
          <w:szCs w:val="24"/>
          <w:highlight w:val="none"/>
          <w:lang w:val="en-US" w:eastAsia="zh-CN" w:bidi="ar-SA"/>
        </w:rPr>
        <w:br w:type="page"/>
      </w:r>
      <w:r>
        <w:rPr>
          <w:rFonts w:hint="eastAsia" w:ascii="仿宋_GB2312" w:hAnsi="仿宋_GB2312" w:eastAsia="仿宋_GB2312" w:cs="仿宋_GB2312"/>
          <w:b/>
          <w:bCs/>
          <w:color w:val="auto"/>
          <w:kern w:val="28"/>
          <w:sz w:val="30"/>
          <w:szCs w:val="30"/>
          <w:highlight w:val="none"/>
          <w:lang w:val="en-US" w:eastAsia="zh-CN" w:bidi="ar-SA"/>
        </w:rPr>
        <w:t>五、比选报价表格式</w:t>
      </w:r>
    </w:p>
    <w:p w14:paraId="34CA30CC">
      <w:pPr>
        <w:spacing w:line="4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比选报价表</w:t>
      </w:r>
    </w:p>
    <w:p w14:paraId="63249CB5">
      <w:pPr>
        <w:spacing w:before="312" w:beforeLines="100" w:line="460" w:lineRule="exact"/>
        <w:rPr>
          <w:rFonts w:ascii="仿宋_GB2312" w:hAnsi="仿宋_GB2312" w:eastAsia="仿宋_GB2312" w:cs="仿宋_GB2312"/>
          <w:color w:val="auto"/>
          <w:sz w:val="24"/>
          <w:highlight w:val="none"/>
        </w:rPr>
      </w:pPr>
    </w:p>
    <w:tbl>
      <w:tblPr>
        <w:tblStyle w:val="7"/>
        <w:tblW w:w="10080"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4292"/>
        <w:gridCol w:w="2520"/>
      </w:tblGrid>
      <w:tr w14:paraId="241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268" w:type="dxa"/>
          </w:tcPr>
          <w:p w14:paraId="1BFCB193">
            <w:pPr>
              <w:spacing w:before="312" w:beforeLines="100"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基础代理费（单位：元）</w:t>
            </w:r>
          </w:p>
        </w:tc>
        <w:tc>
          <w:tcPr>
            <w:tcW w:w="4292" w:type="dxa"/>
          </w:tcPr>
          <w:p w14:paraId="27F6C569">
            <w:pPr>
              <w:spacing w:before="312" w:beforeLines="100"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风险代理费部分（单位：元）</w:t>
            </w:r>
          </w:p>
        </w:tc>
        <w:tc>
          <w:tcPr>
            <w:tcW w:w="2520" w:type="dxa"/>
          </w:tcPr>
          <w:p w14:paraId="298939B5">
            <w:pPr>
              <w:spacing w:before="312" w:beforeLines="100"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合计（单位：元）</w:t>
            </w:r>
            <w:bookmarkStart w:id="433" w:name="_GoBack"/>
            <w:bookmarkEnd w:id="433"/>
          </w:p>
        </w:tc>
      </w:tr>
      <w:tr w14:paraId="6358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68" w:type="dxa"/>
            <w:vAlign w:val="center"/>
          </w:tcPr>
          <w:p w14:paraId="69774295">
            <w:pPr>
              <w:spacing w:before="312" w:beforeLines="100" w:line="460" w:lineRule="exact"/>
              <w:jc w:val="center"/>
              <w:rPr>
                <w:rFonts w:ascii="仿宋_GB2312" w:hAnsi="仿宋_GB2312" w:eastAsia="仿宋_GB2312" w:cs="仿宋_GB2312"/>
                <w:color w:val="auto"/>
                <w:sz w:val="24"/>
                <w:highlight w:val="none"/>
              </w:rPr>
            </w:pPr>
          </w:p>
        </w:tc>
        <w:tc>
          <w:tcPr>
            <w:tcW w:w="4292" w:type="dxa"/>
            <w:vAlign w:val="center"/>
          </w:tcPr>
          <w:p w14:paraId="7617ADF6">
            <w:pPr>
              <w:spacing w:before="312" w:beforeLines="100" w:line="460" w:lineRule="exact"/>
              <w:jc w:val="center"/>
              <w:rPr>
                <w:rFonts w:ascii="仿宋_GB2312" w:hAnsi="仿宋_GB2312" w:eastAsia="仿宋_GB2312" w:cs="仿宋_GB2312"/>
                <w:color w:val="auto"/>
                <w:sz w:val="24"/>
                <w:highlight w:val="none"/>
              </w:rPr>
            </w:pPr>
          </w:p>
        </w:tc>
        <w:tc>
          <w:tcPr>
            <w:tcW w:w="2520" w:type="dxa"/>
            <w:vAlign w:val="center"/>
          </w:tcPr>
          <w:p w14:paraId="5EA69D1A">
            <w:pPr>
              <w:spacing w:before="312" w:beforeLines="100" w:line="460" w:lineRule="exact"/>
              <w:jc w:val="center"/>
              <w:rPr>
                <w:rFonts w:ascii="仿宋_GB2312" w:hAnsi="仿宋_GB2312" w:eastAsia="仿宋_GB2312" w:cs="仿宋_GB2312"/>
                <w:color w:val="auto"/>
                <w:sz w:val="24"/>
                <w:highlight w:val="none"/>
              </w:rPr>
            </w:pPr>
          </w:p>
        </w:tc>
      </w:tr>
    </w:tbl>
    <w:p w14:paraId="16E5CEF6">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5D282532">
      <w:pPr>
        <w:widowControl/>
        <w:spacing w:line="460" w:lineRule="exact"/>
        <w:jc w:val="left"/>
        <w:rPr>
          <w:rFonts w:ascii="仿宋_GB2312" w:hAnsi="仿宋_GB2312" w:eastAsia="仿宋_GB2312" w:cs="仿宋_GB2312"/>
          <w:color w:val="auto"/>
          <w:sz w:val="24"/>
          <w:highlight w:val="none"/>
        </w:rPr>
      </w:pPr>
    </w:p>
    <w:p w14:paraId="6EA5E5EF">
      <w:pPr>
        <w:widowControl/>
        <w:spacing w:line="460" w:lineRule="exact"/>
        <w:jc w:val="left"/>
        <w:rPr>
          <w:rFonts w:ascii="仿宋_GB2312" w:hAnsi="仿宋_GB2312" w:eastAsia="仿宋_GB2312" w:cs="仿宋_GB2312"/>
          <w:color w:val="auto"/>
          <w:sz w:val="24"/>
          <w:highlight w:val="none"/>
        </w:rPr>
      </w:pPr>
    </w:p>
    <w:p w14:paraId="7F093091">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bookmarkStart w:id="365" w:name="_Toc19269"/>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比选申请人（单位公章）：</w:t>
      </w:r>
      <w:bookmarkEnd w:id="365"/>
      <w:r>
        <w:rPr>
          <w:rFonts w:hint="eastAsia" w:ascii="仿宋_GB2312" w:hAnsi="仿宋_GB2312" w:eastAsia="仿宋_GB2312" w:cs="仿宋_GB2312"/>
          <w:color w:val="auto"/>
          <w:sz w:val="24"/>
          <w:highlight w:val="none"/>
        </w:rPr>
        <w:t xml:space="preserve"> </w:t>
      </w:r>
    </w:p>
    <w:p w14:paraId="6B518F0D">
      <w:pPr>
        <w:spacing w:line="460" w:lineRule="exact"/>
        <w:ind w:firstLine="480" w:firstLineChars="200"/>
        <w:jc w:val="center"/>
        <w:rPr>
          <w:rFonts w:ascii="仿宋_GB2312" w:hAnsi="仿宋_GB2312" w:eastAsia="仿宋_GB2312" w:cs="仿宋_GB2312"/>
          <w:color w:val="auto"/>
          <w:sz w:val="24"/>
          <w:highlight w:val="none"/>
        </w:rPr>
      </w:pPr>
      <w:bookmarkStart w:id="366" w:name="_Toc2864"/>
      <w:r>
        <w:rPr>
          <w:rFonts w:hint="eastAsia" w:ascii="仿宋_GB2312" w:hAnsi="仿宋_GB2312" w:eastAsia="仿宋_GB2312" w:cs="仿宋_GB2312"/>
          <w:color w:val="auto"/>
          <w:sz w:val="24"/>
          <w:highlight w:val="none"/>
        </w:rPr>
        <w:t xml:space="preserve">                         法定代表人/授权代表（签字或盖章）：</w:t>
      </w:r>
      <w:bookmarkEnd w:id="366"/>
      <w:bookmarkStart w:id="367" w:name="_Toc26537"/>
    </w:p>
    <w:p w14:paraId="2E057DEB">
      <w:pPr>
        <w:spacing w:line="460" w:lineRule="exact"/>
        <w:ind w:firstLine="3840" w:firstLineChars="16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bookmarkEnd w:id="367"/>
      <w:r>
        <w:rPr>
          <w:rFonts w:hint="eastAsia" w:ascii="仿宋_GB2312" w:hAnsi="仿宋_GB2312" w:eastAsia="仿宋_GB2312" w:cs="仿宋_GB2312"/>
          <w:color w:val="auto"/>
          <w:sz w:val="24"/>
          <w:highlight w:val="none"/>
        </w:rPr>
        <w:t xml:space="preserve"> </w:t>
      </w:r>
    </w:p>
    <w:p w14:paraId="45C74F48">
      <w:pPr>
        <w:widowControl/>
        <w:spacing w:line="460" w:lineRule="exact"/>
        <w:jc w:val="left"/>
        <w:rPr>
          <w:rFonts w:ascii="仿宋_GB2312" w:hAnsi="仿宋_GB2312" w:eastAsia="仿宋_GB2312" w:cs="仿宋_GB2312"/>
          <w:color w:val="auto"/>
          <w:sz w:val="24"/>
          <w:highlight w:val="none"/>
        </w:rPr>
      </w:pPr>
    </w:p>
    <w:p w14:paraId="72CDF9D8">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68" w:name="_Toc25342"/>
      <w:bookmarkStart w:id="369" w:name="_Toc24016"/>
      <w:bookmarkStart w:id="370" w:name="_Toc15800"/>
      <w:bookmarkStart w:id="371" w:name="_Toc5495"/>
      <w:bookmarkStart w:id="372" w:name="_Toc8182"/>
      <w:r>
        <w:rPr>
          <w:rFonts w:hint="eastAsia" w:ascii="仿宋_GB2312" w:hAnsi="仿宋_GB2312" w:eastAsia="仿宋_GB2312" w:cs="仿宋_GB2312"/>
          <w:b/>
          <w:bCs/>
          <w:color w:val="auto"/>
          <w:kern w:val="28"/>
          <w:sz w:val="30"/>
          <w:szCs w:val="30"/>
          <w:highlight w:val="none"/>
          <w:lang w:val="en-US" w:eastAsia="zh-CN" w:bidi="ar-SA"/>
        </w:rPr>
        <w:t>六、</w:t>
      </w:r>
      <w:r>
        <w:rPr>
          <w:rFonts w:ascii="仿宋_GB2312" w:hAnsi="仿宋_GB2312" w:eastAsia="仿宋_GB2312" w:cs="仿宋_GB2312"/>
          <w:b/>
          <w:bCs/>
          <w:color w:val="auto"/>
          <w:kern w:val="28"/>
          <w:sz w:val="30"/>
          <w:szCs w:val="30"/>
          <w:highlight w:val="none"/>
          <w:lang w:val="en-US" w:eastAsia="zh-CN" w:bidi="ar-SA"/>
        </w:rPr>
        <w:t>比选申请人基本情况表</w:t>
      </w:r>
    </w:p>
    <w:tbl>
      <w:tblPr>
        <w:tblStyle w:val="7"/>
        <w:tblW w:w="8932" w:type="dxa"/>
        <w:jc w:val="center"/>
        <w:tblLayout w:type="fixed"/>
        <w:tblCellMar>
          <w:top w:w="0" w:type="dxa"/>
          <w:left w:w="108" w:type="dxa"/>
          <w:bottom w:w="0" w:type="dxa"/>
          <w:right w:w="108" w:type="dxa"/>
        </w:tblCellMar>
      </w:tblPr>
      <w:tblGrid>
        <w:gridCol w:w="1706"/>
        <w:gridCol w:w="1187"/>
        <w:gridCol w:w="1233"/>
        <w:gridCol w:w="1680"/>
        <w:gridCol w:w="1320"/>
        <w:gridCol w:w="1806"/>
      </w:tblGrid>
      <w:tr w14:paraId="6F1A070A">
        <w:trPr>
          <w:trHeight w:val="80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C4CC0B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比选申请人名称</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1FA95FC0">
            <w:pPr>
              <w:spacing w:before="156" w:beforeLines="50" w:after="156" w:afterLines="50" w:line="360" w:lineRule="exact"/>
              <w:rPr>
                <w:rFonts w:ascii="仿宋_GB2312" w:hAnsi="仿宋_GB2312" w:eastAsia="仿宋_GB2312" w:cs="仿宋_GB2312"/>
                <w:color w:val="auto"/>
                <w:sz w:val="24"/>
                <w:highlight w:val="none"/>
              </w:rPr>
            </w:pPr>
          </w:p>
        </w:tc>
      </w:tr>
      <w:tr w14:paraId="46C4B1E5">
        <w:tblPrEx>
          <w:tblCellMar>
            <w:top w:w="0" w:type="dxa"/>
            <w:left w:w="108" w:type="dxa"/>
            <w:bottom w:w="0" w:type="dxa"/>
            <w:right w:w="108" w:type="dxa"/>
          </w:tblCellMar>
        </w:tblPrEx>
        <w:trPr>
          <w:trHeight w:val="481"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ADD1454">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注册地址</w:t>
            </w:r>
          </w:p>
        </w:tc>
        <w:tc>
          <w:tcPr>
            <w:tcW w:w="4100" w:type="dxa"/>
            <w:gridSpan w:val="3"/>
            <w:tcBorders>
              <w:top w:val="single" w:color="000000" w:sz="4" w:space="0"/>
              <w:left w:val="single" w:color="000000" w:sz="4" w:space="0"/>
              <w:bottom w:val="single" w:color="000000" w:sz="4" w:space="0"/>
              <w:right w:val="single" w:color="000000" w:sz="4" w:space="0"/>
            </w:tcBorders>
            <w:vAlign w:val="center"/>
          </w:tcPr>
          <w:p w14:paraId="297A7F93">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2" w:space="0"/>
            </w:tcBorders>
            <w:vAlign w:val="center"/>
          </w:tcPr>
          <w:p w14:paraId="5F8DBDC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邮政编码</w:t>
            </w:r>
          </w:p>
        </w:tc>
        <w:tc>
          <w:tcPr>
            <w:tcW w:w="1806" w:type="dxa"/>
            <w:tcBorders>
              <w:top w:val="single" w:color="000000" w:sz="4" w:space="0"/>
              <w:left w:val="single" w:color="000000" w:sz="2" w:space="0"/>
              <w:bottom w:val="single" w:color="000000" w:sz="4" w:space="0"/>
              <w:right w:val="single" w:color="000000" w:sz="4" w:space="0"/>
            </w:tcBorders>
            <w:vAlign w:val="center"/>
          </w:tcPr>
          <w:p w14:paraId="269784FD">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6182EB68">
        <w:tblPrEx>
          <w:tblCellMar>
            <w:top w:w="0" w:type="dxa"/>
            <w:left w:w="108" w:type="dxa"/>
            <w:bottom w:w="0" w:type="dxa"/>
            <w:right w:w="108" w:type="dxa"/>
          </w:tblCellMar>
        </w:tblPrEx>
        <w:trPr>
          <w:trHeight w:val="588" w:hRule="exact"/>
          <w:jc w:val="center"/>
        </w:trPr>
        <w:tc>
          <w:tcPr>
            <w:tcW w:w="1706" w:type="dxa"/>
            <w:vMerge w:val="restart"/>
            <w:tcBorders>
              <w:top w:val="single" w:color="000000" w:sz="4" w:space="0"/>
              <w:left w:val="single" w:color="000000" w:sz="4" w:space="0"/>
              <w:right w:val="single" w:color="000000" w:sz="4" w:space="0"/>
            </w:tcBorders>
            <w:vAlign w:val="center"/>
          </w:tcPr>
          <w:p w14:paraId="28A9A9E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联系方式</w:t>
            </w:r>
          </w:p>
        </w:tc>
        <w:tc>
          <w:tcPr>
            <w:tcW w:w="1187" w:type="dxa"/>
            <w:tcBorders>
              <w:top w:val="single" w:color="000000" w:sz="4" w:space="0"/>
              <w:left w:val="single" w:color="000000" w:sz="4" w:space="0"/>
              <w:bottom w:val="single" w:color="000000" w:sz="2" w:space="0"/>
              <w:right w:val="single" w:color="000000" w:sz="4" w:space="0"/>
            </w:tcBorders>
            <w:vAlign w:val="center"/>
          </w:tcPr>
          <w:p w14:paraId="2440E414">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联系人</w:t>
            </w:r>
          </w:p>
        </w:tc>
        <w:tc>
          <w:tcPr>
            <w:tcW w:w="2913" w:type="dxa"/>
            <w:gridSpan w:val="2"/>
            <w:tcBorders>
              <w:top w:val="single" w:color="000000" w:sz="4" w:space="0"/>
              <w:left w:val="single" w:color="000000" w:sz="4" w:space="0"/>
              <w:bottom w:val="single" w:color="000000" w:sz="2" w:space="0"/>
              <w:right w:val="single" w:color="000000" w:sz="4" w:space="0"/>
            </w:tcBorders>
            <w:vAlign w:val="center"/>
          </w:tcPr>
          <w:p w14:paraId="6D7BF635">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2" w:space="0"/>
              <w:right w:val="single" w:color="000000" w:sz="2" w:space="0"/>
            </w:tcBorders>
            <w:vAlign w:val="center"/>
          </w:tcPr>
          <w:p w14:paraId="03DFD753">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电话</w:t>
            </w:r>
          </w:p>
        </w:tc>
        <w:tc>
          <w:tcPr>
            <w:tcW w:w="1806" w:type="dxa"/>
            <w:tcBorders>
              <w:top w:val="single" w:color="000000" w:sz="4" w:space="0"/>
              <w:left w:val="single" w:color="000000" w:sz="2" w:space="0"/>
              <w:bottom w:val="single" w:color="000000" w:sz="2" w:space="0"/>
              <w:right w:val="single" w:color="000000" w:sz="4" w:space="0"/>
            </w:tcBorders>
            <w:vAlign w:val="center"/>
          </w:tcPr>
          <w:p w14:paraId="31696698">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1C6F8DE2">
        <w:tblPrEx>
          <w:tblCellMar>
            <w:top w:w="0" w:type="dxa"/>
            <w:left w:w="108" w:type="dxa"/>
            <w:bottom w:w="0" w:type="dxa"/>
            <w:right w:w="108" w:type="dxa"/>
          </w:tblCellMar>
        </w:tblPrEx>
        <w:trPr>
          <w:trHeight w:val="508" w:hRule="exact"/>
          <w:jc w:val="center"/>
        </w:trPr>
        <w:tc>
          <w:tcPr>
            <w:tcW w:w="1706" w:type="dxa"/>
            <w:vMerge w:val="continue"/>
            <w:tcBorders>
              <w:left w:val="single" w:color="000000" w:sz="4" w:space="0"/>
              <w:bottom w:val="single" w:color="000000" w:sz="4" w:space="0"/>
              <w:right w:val="single" w:color="000000" w:sz="4" w:space="0"/>
            </w:tcBorders>
            <w:vAlign w:val="center"/>
          </w:tcPr>
          <w:p w14:paraId="5DDD413F">
            <w:pPr>
              <w:spacing w:before="156" w:beforeLines="50" w:after="156" w:afterLines="50" w:line="360" w:lineRule="exact"/>
              <w:jc w:val="center"/>
              <w:rPr>
                <w:rFonts w:ascii="仿宋_GB2312" w:hAnsi="仿宋_GB2312" w:eastAsia="仿宋_GB2312" w:cs="仿宋_GB2312"/>
                <w:color w:val="auto"/>
                <w:sz w:val="24"/>
                <w:highlight w:val="none"/>
              </w:rPr>
            </w:pPr>
          </w:p>
        </w:tc>
        <w:tc>
          <w:tcPr>
            <w:tcW w:w="1187" w:type="dxa"/>
            <w:tcBorders>
              <w:top w:val="single" w:color="000000" w:sz="2" w:space="0"/>
              <w:left w:val="single" w:color="000000" w:sz="4" w:space="0"/>
              <w:bottom w:val="single" w:color="000000" w:sz="4" w:space="0"/>
              <w:right w:val="single" w:color="000000" w:sz="4" w:space="0"/>
            </w:tcBorders>
            <w:vAlign w:val="center"/>
          </w:tcPr>
          <w:p w14:paraId="73C2B8EE">
            <w:pPr>
              <w:widowControl w:val="0"/>
              <w:tabs>
                <w:tab w:val="left" w:pos="241"/>
              </w:tabs>
              <w:spacing w:before="156" w:beforeLines="50" w:after="156" w:afterLines="50" w:line="360" w:lineRule="exact"/>
              <w:jc w:val="both"/>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电子邮件</w:t>
            </w:r>
          </w:p>
        </w:tc>
        <w:tc>
          <w:tcPr>
            <w:tcW w:w="6039" w:type="dxa"/>
            <w:gridSpan w:val="4"/>
            <w:tcBorders>
              <w:top w:val="single" w:color="000000" w:sz="2" w:space="0"/>
              <w:left w:val="single" w:color="000000" w:sz="4" w:space="0"/>
              <w:bottom w:val="single" w:color="000000" w:sz="4" w:space="0"/>
              <w:right w:val="single" w:color="000000" w:sz="4" w:space="0"/>
            </w:tcBorders>
            <w:vAlign w:val="center"/>
          </w:tcPr>
          <w:p w14:paraId="01C76074">
            <w:pPr>
              <w:spacing w:before="156" w:beforeLines="50" w:after="156" w:afterLines="50" w:line="360" w:lineRule="exact"/>
              <w:rPr>
                <w:rFonts w:ascii="仿宋_GB2312" w:hAnsi="仿宋_GB2312" w:eastAsia="仿宋_GB2312" w:cs="仿宋_GB2312"/>
                <w:color w:val="auto"/>
                <w:sz w:val="24"/>
                <w:highlight w:val="none"/>
              </w:rPr>
            </w:pPr>
          </w:p>
        </w:tc>
      </w:tr>
      <w:tr w14:paraId="79F4589C">
        <w:tblPrEx>
          <w:tblCellMar>
            <w:top w:w="0" w:type="dxa"/>
            <w:left w:w="108" w:type="dxa"/>
            <w:bottom w:w="0" w:type="dxa"/>
            <w:right w:w="108" w:type="dxa"/>
          </w:tblCellMar>
        </w:tblPrEx>
        <w:trPr>
          <w:trHeight w:val="567"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D9AE3E2">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法定代表人</w:t>
            </w:r>
          </w:p>
        </w:tc>
        <w:tc>
          <w:tcPr>
            <w:tcW w:w="1187" w:type="dxa"/>
            <w:tcBorders>
              <w:top w:val="single" w:color="000000" w:sz="4" w:space="0"/>
              <w:left w:val="single" w:color="000000" w:sz="4" w:space="0"/>
              <w:bottom w:val="single" w:color="000000" w:sz="4" w:space="0"/>
              <w:right w:val="single" w:color="000000" w:sz="4" w:space="0"/>
            </w:tcBorders>
            <w:vAlign w:val="center"/>
          </w:tcPr>
          <w:p w14:paraId="16E23E8B">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姓名</w:t>
            </w:r>
          </w:p>
        </w:tc>
        <w:tc>
          <w:tcPr>
            <w:tcW w:w="1233" w:type="dxa"/>
            <w:tcBorders>
              <w:top w:val="single" w:color="000000" w:sz="4" w:space="0"/>
              <w:left w:val="single" w:color="000000" w:sz="4" w:space="0"/>
              <w:bottom w:val="single" w:color="000000" w:sz="4" w:space="0"/>
              <w:right w:val="single" w:color="000000" w:sz="4" w:space="0"/>
            </w:tcBorders>
            <w:vAlign w:val="center"/>
          </w:tcPr>
          <w:p w14:paraId="56F997C1">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26AEDF5">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身份证号码</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6B874DED">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585A206B">
        <w:tblPrEx>
          <w:tblCellMar>
            <w:top w:w="0" w:type="dxa"/>
            <w:left w:w="108" w:type="dxa"/>
            <w:bottom w:w="0" w:type="dxa"/>
            <w:right w:w="108" w:type="dxa"/>
          </w:tblCellMar>
        </w:tblPrEx>
        <w:trPr>
          <w:trHeight w:val="856"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6D727C7">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统一社会信用代码</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60579357">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1E709EBF">
        <w:tblPrEx>
          <w:tblCellMar>
            <w:top w:w="0" w:type="dxa"/>
            <w:left w:w="108" w:type="dxa"/>
            <w:bottom w:w="0" w:type="dxa"/>
            <w:right w:w="108" w:type="dxa"/>
          </w:tblCellMar>
        </w:tblPrEx>
        <w:trPr>
          <w:trHeight w:val="564"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0D0A708">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成立日期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20434A92">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39F47BA">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基本开户银行</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19F450FF">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3E2CEB12">
        <w:tblPrEx>
          <w:tblCellMar>
            <w:top w:w="0" w:type="dxa"/>
            <w:left w:w="108" w:type="dxa"/>
            <w:bottom w:w="0" w:type="dxa"/>
            <w:right w:w="108" w:type="dxa"/>
          </w:tblCellMar>
        </w:tblPrEx>
        <w:trPr>
          <w:trHeight w:val="56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93A6A1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基本银行账</w:t>
            </w:r>
            <w:r>
              <w:rPr>
                <w:rFonts w:hint="eastAsia" w:ascii="仿宋_GB2312" w:hAnsi="仿宋_GB2312" w:eastAsia="仿宋_GB2312" w:cs="仿宋_GB2312"/>
                <w:color w:val="auto"/>
                <w:kern w:val="2"/>
                <w:sz w:val="24"/>
                <w:szCs w:val="24"/>
                <w:highlight w:val="none"/>
                <w:lang w:val="en-US" w:eastAsia="zh-CN" w:bidi="ar-SA"/>
              </w:rPr>
              <w:t>户</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27A6D91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3F06BA77">
        <w:tblPrEx>
          <w:tblCellMar>
            <w:top w:w="0" w:type="dxa"/>
            <w:left w:w="108" w:type="dxa"/>
            <w:bottom w:w="0" w:type="dxa"/>
            <w:right w:w="108" w:type="dxa"/>
          </w:tblCellMar>
        </w:tblPrEx>
        <w:trPr>
          <w:trHeight w:val="55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54B9B1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备注</w:t>
            </w:r>
          </w:p>
        </w:tc>
        <w:tc>
          <w:tcPr>
            <w:tcW w:w="7226" w:type="dxa"/>
            <w:gridSpan w:val="5"/>
            <w:tcBorders>
              <w:top w:val="single" w:color="000000" w:sz="4" w:space="0"/>
              <w:left w:val="single" w:color="000000" w:sz="4" w:space="0"/>
              <w:bottom w:val="single" w:color="000000" w:sz="4" w:space="0"/>
              <w:right w:val="single" w:color="000000" w:sz="4" w:space="0"/>
            </w:tcBorders>
          </w:tcPr>
          <w:p w14:paraId="166690C1">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bl>
    <w:p w14:paraId="1B74CD11">
      <w:pPr>
        <w:spacing w:line="600" w:lineRule="exact"/>
        <w:rPr>
          <w:rFonts w:ascii="Times New Roman" w:hAnsi="Times New Roman" w:eastAsia="仿宋" w:cs="Times New Roman"/>
          <w:color w:val="auto"/>
          <w:sz w:val="28"/>
          <w:szCs w:val="28"/>
          <w:highlight w:val="none"/>
        </w:rPr>
      </w:pPr>
    </w:p>
    <w:p w14:paraId="79801D7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 xml:space="preserve">比选申请人（单位公章）： </w:t>
      </w:r>
    </w:p>
    <w:p w14:paraId="7EC3E0F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法定代表人/授权代表</w:t>
      </w:r>
      <w:r>
        <w:rPr>
          <w:rFonts w:ascii="仿宋_GB2312" w:hAnsi="仿宋_GB2312" w:eastAsia="仿宋_GB2312" w:cs="仿宋_GB2312"/>
          <w:color w:val="auto"/>
          <w:sz w:val="24"/>
          <w:highlight w:val="none"/>
        </w:rPr>
        <w:t xml:space="preserve">（签字）：               </w:t>
      </w:r>
    </w:p>
    <w:p w14:paraId="7E7CA76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日 期：</w:t>
      </w:r>
    </w:p>
    <w:p w14:paraId="2A109AB7">
      <w:pPr>
        <w:keepNext/>
        <w:keepLines/>
        <w:widowControl w:val="0"/>
        <w:ind w:firstLine="880"/>
        <w:jc w:val="both"/>
        <w:outlineLvl w:val="3"/>
        <w:rPr>
          <w:rFonts w:ascii="仿宋_GB2312" w:hAnsi="仿宋_GB2312" w:eastAsia="仿宋_GB2312" w:cs="仿宋_GB2312"/>
          <w:color w:val="auto"/>
          <w:kern w:val="2"/>
          <w:sz w:val="30"/>
          <w:szCs w:val="30"/>
          <w:highlight w:val="none"/>
          <w:lang w:val="en-US" w:eastAsia="zh-CN" w:bidi="ar-SA"/>
        </w:rPr>
      </w:pPr>
    </w:p>
    <w:p w14:paraId="237DDBF9">
      <w:pPr>
        <w:rPr>
          <w:color w:val="auto"/>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73EF5C1F">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七、合法有效律师事务所执业许可证，以及国家法律法规要求的相关从业资质</w:t>
      </w:r>
    </w:p>
    <w:p w14:paraId="4C9FF5A5">
      <w:pPr>
        <w:rPr>
          <w:rFonts w:ascii="仿宋_GB2312" w:hAnsi="仿宋_GB2312" w:eastAsia="仿宋_GB2312" w:cs="仿宋_GB2312"/>
          <w:color w:val="auto"/>
          <w:sz w:val="30"/>
          <w:szCs w:val="30"/>
          <w:highlight w:val="none"/>
        </w:rPr>
      </w:pPr>
    </w:p>
    <w:p w14:paraId="36939EB8">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77635360">
      <w:pP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八、具有本地化服务及注册专职律师数量相关证明材料</w:t>
      </w:r>
      <w:r>
        <w:rPr>
          <w:rFonts w:hint="eastAsia" w:ascii="仿宋_GB2312" w:hAnsi="仿宋_GB2312" w:eastAsia="仿宋_GB2312" w:cs="仿宋_GB2312"/>
          <w:bCs/>
          <w:color w:val="auto"/>
          <w:sz w:val="30"/>
          <w:szCs w:val="30"/>
          <w:highlight w:val="none"/>
        </w:rPr>
        <w:br w:type="page"/>
      </w:r>
    </w:p>
    <w:p w14:paraId="33075727">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近三年未受到司法行政部门的行政处罚和律师协会的行业处分，近三年提供的法律服务未因重大执业质量等问题受到省国资委的通报（提供司法局律师工作处证明及四川省国资委网站截图）</w:t>
      </w:r>
    </w:p>
    <w:p w14:paraId="517E39F2">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1D3823F4">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十、服务方案（包括团队构成及成员基本情况</w:t>
      </w:r>
      <w:bookmarkEnd w:id="368"/>
      <w:bookmarkEnd w:id="369"/>
      <w:bookmarkEnd w:id="370"/>
      <w:bookmarkEnd w:id="371"/>
      <w:bookmarkEnd w:id="372"/>
      <w:r>
        <w:rPr>
          <w:rFonts w:hint="eastAsia" w:ascii="仿宋_GB2312" w:hAnsi="仿宋_GB2312" w:eastAsia="仿宋_GB2312" w:cs="仿宋_GB2312"/>
          <w:b/>
          <w:bCs/>
          <w:color w:val="auto"/>
          <w:kern w:val="28"/>
          <w:sz w:val="30"/>
          <w:szCs w:val="30"/>
          <w:highlight w:val="none"/>
          <w:lang w:val="en-US" w:eastAsia="zh-CN" w:bidi="ar-SA"/>
        </w:rPr>
        <w:t>）</w:t>
      </w:r>
    </w:p>
    <w:p w14:paraId="4DC11E6A">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叙述</w:t>
      </w:r>
      <w:r>
        <w:rPr>
          <w:rFonts w:hint="eastAsia" w:ascii="仿宋_GB2312" w:hAnsi="仿宋_GB2312" w:eastAsia="仿宋_GB2312" w:cs="仿宋_GB2312"/>
          <w:color w:val="auto"/>
          <w:sz w:val="24"/>
          <w:highlight w:val="none"/>
        </w:rPr>
        <w:t>项目服务方案，服务方案应包含以下人员情况介绍。</w:t>
      </w:r>
    </w:p>
    <w:p w14:paraId="664233BB">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一、团队负责人及主要参与人员基本情况</w:t>
      </w:r>
    </w:p>
    <w:tbl>
      <w:tblPr>
        <w:tblStyle w:val="7"/>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24CF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25C878B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910" w:type="dxa"/>
            <w:vAlign w:val="center"/>
          </w:tcPr>
          <w:p w14:paraId="381E0FB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519" w:type="dxa"/>
            <w:vAlign w:val="center"/>
          </w:tcPr>
          <w:p w14:paraId="050FD87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类似工作</w:t>
            </w:r>
          </w:p>
          <w:p w14:paraId="2BBB38F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经验年限</w:t>
            </w:r>
          </w:p>
        </w:tc>
        <w:tc>
          <w:tcPr>
            <w:tcW w:w="1804" w:type="dxa"/>
            <w:vAlign w:val="center"/>
          </w:tcPr>
          <w:p w14:paraId="3BCC1E7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拟任职务</w:t>
            </w:r>
          </w:p>
        </w:tc>
        <w:tc>
          <w:tcPr>
            <w:tcW w:w="1942" w:type="dxa"/>
            <w:vAlign w:val="center"/>
          </w:tcPr>
          <w:p w14:paraId="7638AC6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法律服务</w:t>
            </w:r>
          </w:p>
          <w:p w14:paraId="7F46C41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经验业绩</w:t>
            </w:r>
          </w:p>
        </w:tc>
      </w:tr>
      <w:tr w14:paraId="4A6A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226088ED">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32ADC47E">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0BB412E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5FC6F69F">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37EC233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41B9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5729CCDA">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0114C3A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1271AC56">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50CE6A4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355D659A">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475B4EA7">
      <w:pPr>
        <w:spacing w:line="460" w:lineRule="exact"/>
        <w:rPr>
          <w:rFonts w:ascii="仿宋_GB2312" w:hAnsi="仿宋_GB2312" w:eastAsia="仿宋_GB2312" w:cs="仿宋_GB2312"/>
          <w:color w:val="auto"/>
          <w:sz w:val="24"/>
          <w:highlight w:val="none"/>
        </w:rPr>
      </w:pPr>
      <w:bookmarkStart w:id="373" w:name="_Toc455607508"/>
      <w:r>
        <w:rPr>
          <w:rFonts w:hint="eastAsia" w:ascii="仿宋_GB2312" w:hAnsi="仿宋_GB2312" w:eastAsia="仿宋_GB2312" w:cs="仿宋_GB2312"/>
          <w:color w:val="auto"/>
          <w:sz w:val="24"/>
          <w:highlight w:val="none"/>
        </w:rPr>
        <w:t>二、投入本项目的主要负责人资历表</w:t>
      </w:r>
      <w:bookmarkEnd w:id="373"/>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1B0F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40A8C87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60" w:type="dxa"/>
          </w:tcPr>
          <w:p w14:paraId="5498AB6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074980D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479" w:type="dxa"/>
          </w:tcPr>
          <w:p w14:paraId="614944D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3F67D8C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264" w:type="dxa"/>
          </w:tcPr>
          <w:p w14:paraId="69976521">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7D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334CF54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60" w:type="dxa"/>
          </w:tcPr>
          <w:p w14:paraId="7A43057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6979952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479" w:type="dxa"/>
          </w:tcPr>
          <w:p w14:paraId="19E993E9">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0FC67E3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264" w:type="dxa"/>
          </w:tcPr>
          <w:p w14:paraId="0D015E3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3A9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0E1B2B36">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261" w:type="dxa"/>
            <w:gridSpan w:val="5"/>
          </w:tcPr>
          <w:p w14:paraId="3B1BF09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513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347F64C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681" w:type="dxa"/>
            <w:gridSpan w:val="4"/>
          </w:tcPr>
          <w:p w14:paraId="25B6407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640" w:type="dxa"/>
            <w:gridSpan w:val="2"/>
          </w:tcPr>
          <w:p w14:paraId="65DFE5E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0C0F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78DD1B8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22825FD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7141F9CD">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4A0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06D8D8E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513D389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1908BD7A">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63A97D1B">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bookmarkStart w:id="374" w:name="_Toc455607509"/>
    </w:p>
    <w:p w14:paraId="41EF21D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三、投入本项目的主要团队人员资历表</w:t>
      </w:r>
      <w:bookmarkEnd w:id="374"/>
    </w:p>
    <w:tbl>
      <w:tblPr>
        <w:tblStyle w:val="7"/>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38"/>
        <w:gridCol w:w="740"/>
        <w:gridCol w:w="1672"/>
        <w:gridCol w:w="282"/>
        <w:gridCol w:w="1349"/>
        <w:gridCol w:w="1156"/>
      </w:tblGrid>
      <w:tr w14:paraId="0D96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3FD97E8B">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38" w:type="dxa"/>
          </w:tcPr>
          <w:p w14:paraId="1899C58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6527834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672" w:type="dxa"/>
          </w:tcPr>
          <w:p w14:paraId="0141332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7BBA105A">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156" w:type="dxa"/>
          </w:tcPr>
          <w:p w14:paraId="00C693DF">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4E8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765D6C4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38" w:type="dxa"/>
          </w:tcPr>
          <w:p w14:paraId="528995A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2D39841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672" w:type="dxa"/>
          </w:tcPr>
          <w:p w14:paraId="7CDBD05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1EA76D8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156" w:type="dxa"/>
          </w:tcPr>
          <w:p w14:paraId="16A9FDC5">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9E5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187" w:type="dxa"/>
            <w:gridSpan w:val="2"/>
          </w:tcPr>
          <w:p w14:paraId="317B4BC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199" w:type="dxa"/>
            <w:gridSpan w:val="5"/>
          </w:tcPr>
          <w:p w14:paraId="1786866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AC6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62FABFC7">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732" w:type="dxa"/>
            <w:gridSpan w:val="4"/>
          </w:tcPr>
          <w:p w14:paraId="27D0265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505" w:type="dxa"/>
            <w:gridSpan w:val="2"/>
          </w:tcPr>
          <w:p w14:paraId="403DAF90">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64C3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238AD17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4BB0EFB4">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44DDF903">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279F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8CD5A4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F6CDCC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101244C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C13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6AA12AD1">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D15C83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70C19143">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5FFA3D50">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p>
    <w:p w14:paraId="58668326">
      <w:pPr>
        <w:widowControl/>
        <w:spacing w:line="460" w:lineRule="exact"/>
        <w:jc w:val="left"/>
        <w:rPr>
          <w:rFonts w:ascii="仿宋_GB2312" w:hAnsi="仿宋_GB2312" w:eastAsia="仿宋_GB2312" w:cs="仿宋_GB2312"/>
          <w:color w:val="auto"/>
          <w:sz w:val="24"/>
          <w:highlight w:val="none"/>
        </w:rPr>
      </w:pPr>
    </w:p>
    <w:p w14:paraId="77B36B8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比选申请人（单位公章）： </w:t>
      </w:r>
    </w:p>
    <w:p w14:paraId="2655310A">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法定代表人/授权代表</w:t>
      </w:r>
      <w:r>
        <w:rPr>
          <w:rFonts w:ascii="仿宋_GB2312" w:hAnsi="仿宋_GB2312" w:eastAsia="仿宋_GB2312" w:cs="仿宋_GB2312"/>
          <w:color w:val="auto"/>
          <w:sz w:val="24"/>
          <w:highlight w:val="none"/>
        </w:rPr>
        <w:t xml:space="preserve">（签字）：               </w:t>
      </w:r>
    </w:p>
    <w:p w14:paraId="01F7F8C5">
      <w:pPr>
        <w:spacing w:line="460" w:lineRule="exact"/>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 </w:t>
      </w:r>
    </w:p>
    <w:p w14:paraId="21B9D1E5">
      <w:pPr>
        <w:pStyle w:val="3"/>
        <w:rPr>
          <w:rFonts w:hint="eastAsia" w:ascii="仿宋_GB2312" w:hAnsi="仿宋_GB2312" w:eastAsia="仿宋_GB2312" w:cs="仿宋_GB2312"/>
          <w:color w:val="auto"/>
          <w:sz w:val="24"/>
          <w:highlight w:val="none"/>
        </w:rPr>
      </w:pPr>
    </w:p>
    <w:p w14:paraId="45924DAE">
      <w:pPr>
        <w:pStyle w:val="3"/>
        <w:rPr>
          <w:rFonts w:hint="default" w:ascii="仿宋_GB2312" w:hAnsi="仿宋_GB2312" w:eastAsia="仿宋_GB2312" w:cs="仿宋_GB2312"/>
          <w:b/>
          <w:bCs/>
          <w:color w:val="auto"/>
          <w:kern w:val="28"/>
          <w:sz w:val="30"/>
          <w:szCs w:val="30"/>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bCs/>
          <w:color w:val="auto"/>
          <w:kern w:val="28"/>
          <w:sz w:val="30"/>
          <w:szCs w:val="30"/>
          <w:highlight w:val="none"/>
          <w:lang w:val="en-US" w:eastAsia="zh-CN" w:bidi="ar-SA"/>
        </w:rPr>
        <w:t>十一、比选申请人获全国级荣誉、省市级政府部门或行业协会荣誉，其他政府部门或行业协会荣誉。</w:t>
      </w:r>
    </w:p>
    <w:p w14:paraId="41A24CE0">
      <w:pPr>
        <w:keepNext/>
        <w:keepLines/>
        <w:widowControl w:val="0"/>
        <w:ind w:firstLine="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十二、最近三年内，比选申请人为国有企业/政府部门提供诉讼或非诉法律服务的证明材料及经验简介。</w:t>
      </w:r>
    </w:p>
    <w:p w14:paraId="51E70DF7">
      <w:pPr>
        <w:rPr>
          <w:rFonts w:ascii="仿宋_GB2312" w:hAnsi="仿宋_GB2312" w:eastAsia="仿宋_GB2312" w:cs="仿宋_GB2312"/>
          <w:b/>
          <w:bCs/>
          <w:color w:val="auto"/>
          <w:kern w:val="28"/>
          <w:sz w:val="30"/>
          <w:szCs w:val="30"/>
          <w:highlight w:val="none"/>
        </w:rPr>
      </w:pPr>
      <w:r>
        <w:rPr>
          <w:rFonts w:hint="eastAsia" w:ascii="仿宋_GB2312" w:hAnsi="仿宋_GB2312" w:eastAsia="仿宋_GB2312" w:cs="仿宋_GB2312"/>
          <w:b/>
          <w:bCs/>
          <w:color w:val="auto"/>
          <w:kern w:val="28"/>
          <w:sz w:val="30"/>
          <w:szCs w:val="30"/>
          <w:highlight w:val="none"/>
        </w:rPr>
        <w:br w:type="page"/>
      </w:r>
    </w:p>
    <w:p w14:paraId="4E3F0AB4">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十三、服务团队为国企提供企业/政府部门提供诉讼或非诉法律服务标的金额1000万（含1000万）以上的证明材料及经验简介。</w:t>
      </w:r>
    </w:p>
    <w:p w14:paraId="3C0837F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99EE318">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D299E62">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82F8F1B">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10054C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0DA637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162AB66">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6AB19EC">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E1FC957">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1162BBE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583DEC9">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3B80B6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7CC613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2795FF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C466CB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13610492">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A98FEB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8A0372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BD9054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6D3BCA4">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0EF241A">
      <w:pPr>
        <w:keepNext/>
        <w:keepLines/>
        <w:widowControl w:val="0"/>
        <w:numPr>
          <w:ilvl w:val="0"/>
          <w:numId w:val="0"/>
        </w:numPr>
        <w:ind w:firstLine="0" w:firstLineChars="0"/>
        <w:jc w:val="both"/>
        <w:outlineLvl w:val="3"/>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auto"/>
          <w:kern w:val="28"/>
          <w:sz w:val="30"/>
          <w:szCs w:val="30"/>
          <w:highlight w:val="none"/>
          <w:lang w:val="en-US" w:eastAsia="zh-CN" w:bidi="ar-SA"/>
        </w:rPr>
        <w:t>十四、</w:t>
      </w: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最近三年审计报告</w:t>
      </w:r>
    </w:p>
    <w:p w14:paraId="0F33F7B3">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p>
    <w:p w14:paraId="7438292F">
      <w:pPr>
        <w:rPr>
          <w:rFonts w:hint="eastAsia" w:ascii="华文仿宋" w:hAnsi="华文仿宋" w:eastAsia="华文仿宋"/>
          <w:color w:val="auto"/>
          <w:sz w:val="28"/>
          <w:highlight w:val="none"/>
        </w:rPr>
      </w:pPr>
      <w:r>
        <w:rPr>
          <w:rFonts w:hint="eastAsia" w:ascii="仿宋_GB2312" w:hAnsi="仿宋_GB2312" w:eastAsia="仿宋_GB2312" w:cs="仿宋_GB2312"/>
          <w:b/>
          <w:bCs/>
          <w:color w:val="auto"/>
          <w:kern w:val="28"/>
          <w:sz w:val="30"/>
          <w:szCs w:val="30"/>
          <w:highlight w:val="none"/>
        </w:rPr>
        <w:br w:type="page"/>
      </w:r>
      <w:bookmarkStart w:id="375" w:name="_Toc8050"/>
      <w:bookmarkStart w:id="376" w:name="_Toc29701"/>
      <w:bookmarkStart w:id="377" w:name="_Toc7311"/>
      <w:bookmarkStart w:id="378" w:name="_Toc23378"/>
      <w:bookmarkStart w:id="379" w:name="_Toc29181"/>
      <w:bookmarkStart w:id="380" w:name="_Toc5469"/>
      <w:bookmarkStart w:id="381" w:name="_Toc5371"/>
      <w:bookmarkStart w:id="382" w:name="_Toc19007"/>
    </w:p>
    <w:p w14:paraId="028B7578">
      <w:pPr>
        <w:keepNext/>
        <w:keepLines/>
        <w:widowControl w:val="0"/>
        <w:numPr>
          <w:ilvl w:val="255"/>
          <w:numId w:val="0"/>
        </w:numPr>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十五、比选申请人认为需附的</w:t>
      </w:r>
      <w:r>
        <w:rPr>
          <w:rFonts w:ascii="仿宋_GB2312" w:hAnsi="仿宋_GB2312" w:eastAsia="仿宋_GB2312" w:cs="仿宋_GB2312"/>
          <w:b/>
          <w:bCs/>
          <w:color w:val="auto"/>
          <w:kern w:val="28"/>
          <w:sz w:val="30"/>
          <w:szCs w:val="30"/>
          <w:highlight w:val="none"/>
          <w:lang w:val="en-US" w:eastAsia="zh-CN" w:bidi="ar-SA"/>
        </w:rPr>
        <w:t>其他资料（如有）</w:t>
      </w:r>
    </w:p>
    <w:p w14:paraId="388E1CF4">
      <w:pPr>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br w:type="page"/>
      </w:r>
    </w:p>
    <w:p w14:paraId="660CED5A">
      <w:pPr>
        <w:spacing w:after="156" w:afterLines="50" w:line="460" w:lineRule="exact"/>
        <w:ind w:firstLine="643" w:firstLineChars="200"/>
        <w:jc w:val="center"/>
        <w:outlineLvl w:val="0"/>
        <w:rPr>
          <w:rFonts w:ascii="仿宋_GB2312" w:hAnsi="仿宋_GB2312" w:eastAsia="仿宋_GB2312" w:cs="仿宋_GB2312"/>
          <w:color w:val="auto"/>
          <w:sz w:val="32"/>
          <w:szCs w:val="32"/>
          <w:highlight w:val="none"/>
        </w:rPr>
      </w:pPr>
      <w:bookmarkStart w:id="383" w:name="_Toc939"/>
      <w:bookmarkStart w:id="384" w:name="_Toc31984"/>
      <w:r>
        <w:rPr>
          <w:rFonts w:hint="eastAsia" w:ascii="仿宋_GB2312" w:hAnsi="仿宋_GB2312" w:eastAsia="仿宋_GB2312" w:cs="仿宋_GB2312"/>
          <w:b/>
          <w:bCs/>
          <w:color w:val="auto"/>
          <w:sz w:val="32"/>
          <w:szCs w:val="32"/>
          <w:highlight w:val="none"/>
        </w:rPr>
        <w:t>第五章 项目需求及服务、团队等相关要求</w:t>
      </w:r>
      <w:bookmarkEnd w:id="375"/>
      <w:bookmarkEnd w:id="376"/>
      <w:bookmarkEnd w:id="377"/>
      <w:bookmarkEnd w:id="378"/>
      <w:bookmarkEnd w:id="379"/>
      <w:bookmarkEnd w:id="380"/>
      <w:bookmarkEnd w:id="381"/>
      <w:bookmarkEnd w:id="382"/>
      <w:bookmarkEnd w:id="383"/>
      <w:bookmarkEnd w:id="384"/>
    </w:p>
    <w:p w14:paraId="108B71FE">
      <w:pPr>
        <w:spacing w:line="460" w:lineRule="exact"/>
        <w:ind w:firstLine="480" w:firstLineChars="200"/>
        <w:jc w:val="left"/>
        <w:outlineLvl w:val="1"/>
        <w:rPr>
          <w:rFonts w:ascii="仿宋_GB2312" w:hAnsi="仿宋_GB2312" w:eastAsia="仿宋_GB2312" w:cs="仿宋_GB2312"/>
          <w:color w:val="auto"/>
          <w:sz w:val="24"/>
          <w:highlight w:val="none"/>
        </w:rPr>
      </w:pPr>
      <w:bookmarkStart w:id="385" w:name="_Toc27403"/>
      <w:bookmarkStart w:id="386" w:name="_Toc4032"/>
      <w:bookmarkStart w:id="387" w:name="_Toc2263"/>
      <w:r>
        <w:rPr>
          <w:rFonts w:hint="eastAsia" w:ascii="仿宋_GB2312" w:hAnsi="仿宋_GB2312" w:eastAsia="仿宋_GB2312" w:cs="仿宋_GB2312"/>
          <w:color w:val="auto"/>
          <w:sz w:val="24"/>
          <w:highlight w:val="none"/>
        </w:rPr>
        <w:t>一、项目需求</w:t>
      </w:r>
      <w:bookmarkEnd w:id="385"/>
      <w:bookmarkEnd w:id="386"/>
      <w:bookmarkEnd w:id="387"/>
    </w:p>
    <w:p w14:paraId="1DA865F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比选人为维护公司合法权益，</w:t>
      </w:r>
      <w:r>
        <w:rPr>
          <w:rFonts w:hint="eastAsia" w:ascii="仿宋_GB2312" w:hAnsi="仿宋_GB2312" w:eastAsia="仿宋_GB2312" w:cs="仿宋_GB2312"/>
          <w:color w:val="auto"/>
          <w:sz w:val="24"/>
          <w:highlight w:val="none"/>
          <w:lang w:val="en-US" w:eastAsia="zh-CN"/>
        </w:rPr>
        <w:t>保障公司资金安全，</w:t>
      </w:r>
      <w:r>
        <w:rPr>
          <w:rFonts w:hint="eastAsia" w:ascii="仿宋_GB2312" w:hAnsi="仿宋_GB2312" w:eastAsia="仿宋_GB2312" w:cs="仿宋_GB2312"/>
          <w:color w:val="auto"/>
          <w:sz w:val="24"/>
          <w:highlight w:val="none"/>
        </w:rPr>
        <w:t>为公司正常运营和发展保驾护航，引入法律支撑服务合作单位。</w:t>
      </w:r>
    </w:p>
    <w:p w14:paraId="154867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88" w:name="_Toc2266"/>
      <w:bookmarkStart w:id="389" w:name="_Toc15152"/>
      <w:bookmarkStart w:id="390" w:name="_Toc10913"/>
      <w:r>
        <w:rPr>
          <w:rFonts w:hint="eastAsia" w:ascii="仿宋_GB2312" w:hAnsi="仿宋_GB2312" w:eastAsia="仿宋_GB2312" w:cs="仿宋_GB2312"/>
          <w:color w:val="auto"/>
          <w:sz w:val="24"/>
          <w:highlight w:val="none"/>
        </w:rPr>
        <w:t>二、服务要求</w:t>
      </w:r>
      <w:bookmarkEnd w:id="388"/>
      <w:bookmarkEnd w:id="389"/>
      <w:bookmarkEnd w:id="390"/>
    </w:p>
    <w:p w14:paraId="23928EDB">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在</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人委托的范围内开展法律诉讼及后续款项回收工作相关事宜。主要内容为</w:t>
      </w:r>
      <w:r>
        <w:rPr>
          <w:rFonts w:hint="eastAsia" w:ascii="仿宋_GB2312" w:hAnsi="仿宋_GB2312" w:eastAsia="仿宋_GB2312" w:cs="仿宋_GB2312"/>
          <w:color w:val="auto"/>
          <w:sz w:val="24"/>
          <w:highlight w:val="none"/>
          <w:lang w:eastAsia="zh-CN"/>
        </w:rPr>
        <w:t>：</w:t>
      </w:r>
      <w:r>
        <w:rPr>
          <w:rFonts w:hint="eastAsia" w:ascii="仿宋" w:hAnsi="仿宋" w:eastAsia="仿宋" w:cs="Times New Roman"/>
          <w:snapToGrid/>
          <w:color w:val="000000"/>
          <w:kern w:val="2"/>
          <w:sz w:val="24"/>
          <w:szCs w:val="24"/>
          <w:lang w:val="en-US" w:eastAsia="zh-CN" w:bidi="ar-SA"/>
        </w:rPr>
        <w:t>仲裁程序，申请撤销仲裁裁决程序(若有),强制执行程序(若有),不予执行仲裁裁决程序(若有),执行异议、复议程序(若有)等服务内容，</w:t>
      </w:r>
      <w:r>
        <w:rPr>
          <w:rFonts w:hint="eastAsia" w:ascii="仿宋_GB2312" w:hAnsi="仿宋_GB2312" w:eastAsia="仿宋_GB2312" w:cs="仿宋_GB2312"/>
          <w:color w:val="auto"/>
          <w:sz w:val="24"/>
          <w:highlight w:val="none"/>
          <w:lang w:val="en-US" w:eastAsia="zh-CN"/>
        </w:rPr>
        <w:t>必要时需参加比选人及比选人集团要求的关于案件的会议。案件所产生的律师差旅费由比选人申请人自行承担。</w:t>
      </w:r>
    </w:p>
    <w:p w14:paraId="48390EB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91" w:name="_Toc12665"/>
      <w:bookmarkStart w:id="392" w:name="_Toc18086"/>
      <w:bookmarkStart w:id="393" w:name="_Toc23471"/>
      <w:r>
        <w:rPr>
          <w:rFonts w:hint="eastAsia" w:ascii="仿宋_GB2312" w:hAnsi="仿宋_GB2312" w:eastAsia="仿宋_GB2312" w:cs="仿宋_GB2312"/>
          <w:color w:val="auto"/>
          <w:sz w:val="24"/>
          <w:highlight w:val="none"/>
        </w:rPr>
        <w:t>三、团队要求</w:t>
      </w:r>
      <w:bookmarkEnd w:id="391"/>
      <w:bookmarkEnd w:id="392"/>
      <w:bookmarkEnd w:id="393"/>
    </w:p>
    <w:p w14:paraId="33AB081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1.遵守国家</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、政策，恪守律师职业道德和执业纪律。</w:t>
      </w:r>
    </w:p>
    <w:p w14:paraId="451EABD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2.忠于职守，依法维护比选人的合法权益。</w:t>
      </w:r>
    </w:p>
    <w:p w14:paraId="0179AF4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3.尽职尽责，提供全方位的优质高效法律服务。</w:t>
      </w:r>
    </w:p>
    <w:p w14:paraId="54022D2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4.对提出的法律意见、起草的法律文书以及办理的其他法律事务的合法性和有效性负责。</w:t>
      </w:r>
    </w:p>
    <w:p w14:paraId="0EB632BC">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四、服务标准及要求</w:t>
      </w:r>
    </w:p>
    <w:p w14:paraId="5417147B">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bookmarkStart w:id="394" w:name="_Hlk129770241"/>
      <w:r>
        <w:rPr>
          <w:rFonts w:hint="eastAsia" w:ascii="仿宋_GB2312" w:hAnsi="仿宋_GB2312" w:eastAsia="仿宋_GB2312" w:cs="仿宋_GB2312"/>
          <w:color w:val="auto"/>
          <w:kern w:val="2"/>
          <w:sz w:val="24"/>
          <w:szCs w:val="24"/>
          <w:highlight w:val="none"/>
          <w:lang w:val="en-US" w:eastAsia="zh-CN" w:bidi="ar-SA"/>
        </w:rPr>
        <w:t>1、指派的律师服务团队在提供服务过程中应当及时向比选人、相关部门和单位调取案件所必需的证据；</w:t>
      </w:r>
    </w:p>
    <w:p w14:paraId="766C603D">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2、指派的律师团队在提供服务过程中需制定相应的诉讼策略和诉讼方案，如：诉讼代理方案中案件概况、代理思路、案件重点、难点、风险点、应诉策略、进度安排、组织措施等；</w:t>
      </w:r>
    </w:p>
    <w:p w14:paraId="3480DDE8">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3、指派的律师团队在代为诉讼的同时应比选人的要求需协助比选人妥善处理与诉讼相关纠纷；</w:t>
      </w:r>
    </w:p>
    <w:p w14:paraId="6A324936">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4、指派的律师团队应当以其依据法律作出的专业判断，向比选人进行法律风险提示，尽最大努力维护比选人的合法利益；</w:t>
      </w:r>
    </w:p>
    <w:p w14:paraId="65CD89EF">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5、代理期间，将拟定的包括但不限于代理方案、证据目录、质证意见、代理意见等交比选人审阅。</w:t>
      </w:r>
    </w:p>
    <w:p w14:paraId="0FF881EF">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6、中选人应当根据审判机关的要求，及时提交证据，按时参加审理活动并应及时向比选人通报案件进展情况。</w:t>
      </w:r>
    </w:p>
    <w:p w14:paraId="0D8F7EBB">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7、指派的律师团队对委托办理的案件应当独立建档，并保存完整的工作记录，对涉及比选人的原始证据、法律文件和财物应当妥善保管；</w:t>
      </w:r>
    </w:p>
    <w:bookmarkEnd w:id="394"/>
    <w:p w14:paraId="21510F3F">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8、指派的律师团队应当保守其在接受比选人委托代理案件过程中知悉的国家秘密、商业秘密、个人隐私，以及比选人明确表示不能对外公开的信息。</w:t>
      </w:r>
    </w:p>
    <w:p w14:paraId="2EB0CA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95" w:name="_Toc492"/>
      <w:bookmarkStart w:id="396" w:name="_Toc31114"/>
      <w:bookmarkStart w:id="397" w:name="_Toc30152"/>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、其他要求</w:t>
      </w:r>
      <w:bookmarkEnd w:id="395"/>
      <w:bookmarkEnd w:id="396"/>
      <w:bookmarkEnd w:id="397"/>
    </w:p>
    <w:p w14:paraId="5C66CF0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法律顾问律师有如下行为的，比选人可依法解除法律服务协议，并要求赔偿损失：</w:t>
      </w:r>
    </w:p>
    <w:p w14:paraId="51FFAF7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1.在法律服务协议有效期内担任同业竞争关系企业的法律顾问，或者受理有同业竞争关系企业的法律事务；</w:t>
      </w:r>
    </w:p>
    <w:p w14:paraId="410E44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2.在诉讼或者仲裁活动中担任对方当事人（含外聘法律顾问受聘的其他企业或者个人）的代理人；</w:t>
      </w:r>
    </w:p>
    <w:p w14:paraId="7F1119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3.其他损害比选人合法权益的行为。</w:t>
      </w:r>
      <w:bookmarkStart w:id="398" w:name="_Toc26177"/>
      <w:bookmarkStart w:id="399" w:name="_Toc27729"/>
      <w:bookmarkStart w:id="400" w:name="_Toc5556"/>
      <w:bookmarkStart w:id="401" w:name="_Toc12823"/>
      <w:bookmarkStart w:id="402" w:name="_Toc25574"/>
      <w:bookmarkStart w:id="403" w:name="_Toc13978"/>
      <w:bookmarkStart w:id="404" w:name="_Toc17709"/>
      <w:bookmarkStart w:id="405" w:name="_Toc26915"/>
      <w:bookmarkStart w:id="406" w:name="_Toc30236"/>
      <w:bookmarkStart w:id="407" w:name="_Toc3519"/>
      <w:bookmarkStart w:id="408" w:name="_Toc5592"/>
      <w:bookmarkStart w:id="409" w:name="_Toc25653"/>
    </w:p>
    <w:p w14:paraId="3417150F">
      <w:pPr>
        <w:pStyle w:val="2"/>
        <w:rPr>
          <w:rFonts w:hint="eastAsia" w:ascii="仿宋_GB2312" w:hAnsi="仿宋_GB2312" w:eastAsia="仿宋_GB2312" w:cs="仿宋_GB2312"/>
          <w:color w:val="auto"/>
          <w:sz w:val="24"/>
          <w:highlight w:val="none"/>
        </w:rPr>
      </w:pPr>
    </w:p>
    <w:p w14:paraId="28391425">
      <w:pPr>
        <w:rPr>
          <w:rFonts w:hint="eastAsia" w:ascii="仿宋_GB2312" w:hAnsi="仿宋_GB2312" w:eastAsia="仿宋_GB2312" w:cs="仿宋_GB2312"/>
          <w:color w:val="auto"/>
          <w:sz w:val="24"/>
          <w:highlight w:val="none"/>
        </w:rPr>
      </w:pPr>
    </w:p>
    <w:p w14:paraId="0CA01361">
      <w:pPr>
        <w:pStyle w:val="2"/>
        <w:rPr>
          <w:rFonts w:hint="eastAsia" w:ascii="仿宋_GB2312" w:hAnsi="仿宋_GB2312" w:eastAsia="仿宋_GB2312" w:cs="仿宋_GB2312"/>
          <w:color w:val="auto"/>
          <w:sz w:val="24"/>
          <w:highlight w:val="none"/>
        </w:rPr>
      </w:pPr>
    </w:p>
    <w:p w14:paraId="6B291165">
      <w:pPr>
        <w:rPr>
          <w:rFonts w:hint="eastAsia" w:ascii="仿宋_GB2312" w:hAnsi="仿宋_GB2312" w:eastAsia="仿宋_GB2312" w:cs="仿宋_GB2312"/>
          <w:color w:val="auto"/>
          <w:sz w:val="24"/>
          <w:highlight w:val="none"/>
        </w:rPr>
      </w:pPr>
    </w:p>
    <w:p w14:paraId="14CDE009">
      <w:pPr>
        <w:pStyle w:val="3"/>
        <w:rPr>
          <w:rFonts w:hint="eastAsia" w:ascii="仿宋_GB2312" w:hAnsi="仿宋_GB2312" w:eastAsia="仿宋_GB2312" w:cs="仿宋_GB2312"/>
          <w:color w:val="auto"/>
          <w:sz w:val="24"/>
          <w:highlight w:val="none"/>
        </w:rPr>
      </w:pPr>
    </w:p>
    <w:p w14:paraId="4942F257">
      <w:pPr>
        <w:pStyle w:val="3"/>
        <w:rPr>
          <w:rFonts w:hint="eastAsia" w:ascii="仿宋_GB2312" w:hAnsi="仿宋_GB2312" w:eastAsia="仿宋_GB2312" w:cs="仿宋_GB2312"/>
          <w:color w:val="auto"/>
          <w:sz w:val="24"/>
          <w:highlight w:val="none"/>
        </w:rPr>
      </w:pPr>
    </w:p>
    <w:p w14:paraId="318CDE75">
      <w:pPr>
        <w:pStyle w:val="3"/>
        <w:rPr>
          <w:rFonts w:hint="eastAsia" w:ascii="仿宋_GB2312" w:hAnsi="仿宋_GB2312" w:eastAsia="仿宋_GB2312" w:cs="仿宋_GB2312"/>
          <w:color w:val="auto"/>
          <w:sz w:val="24"/>
          <w:highlight w:val="none"/>
        </w:rPr>
      </w:pPr>
    </w:p>
    <w:p w14:paraId="6DD1CF9C">
      <w:pPr>
        <w:pStyle w:val="3"/>
        <w:rPr>
          <w:rFonts w:hint="eastAsia" w:ascii="仿宋_GB2312" w:hAnsi="仿宋_GB2312" w:eastAsia="仿宋_GB2312" w:cs="仿宋_GB2312"/>
          <w:color w:val="auto"/>
          <w:sz w:val="24"/>
          <w:highlight w:val="none"/>
        </w:rPr>
      </w:pPr>
    </w:p>
    <w:p w14:paraId="6E2904C5">
      <w:pPr>
        <w:pStyle w:val="3"/>
        <w:rPr>
          <w:rFonts w:hint="eastAsia" w:ascii="仿宋_GB2312" w:hAnsi="仿宋_GB2312" w:eastAsia="仿宋_GB2312" w:cs="仿宋_GB2312"/>
          <w:color w:val="auto"/>
          <w:sz w:val="24"/>
          <w:highlight w:val="none"/>
        </w:rPr>
      </w:pPr>
    </w:p>
    <w:p w14:paraId="0A8F9E43">
      <w:pPr>
        <w:adjustRightInd w:val="0"/>
        <w:spacing w:after="156" w:afterLines="50" w:line="460" w:lineRule="exact"/>
        <w:jc w:val="both"/>
        <w:outlineLvl w:val="0"/>
        <w:rPr>
          <w:rFonts w:hint="eastAsia" w:ascii="仿宋_GB2312" w:hAnsi="仿宋_GB2312" w:eastAsia="仿宋_GB2312" w:cs="仿宋_GB2312"/>
          <w:b/>
          <w:bCs/>
          <w:color w:val="auto"/>
          <w:kern w:val="44"/>
          <w:sz w:val="32"/>
          <w:szCs w:val="32"/>
          <w:highlight w:val="none"/>
        </w:rPr>
      </w:pPr>
    </w:p>
    <w:p w14:paraId="2E283A00">
      <w:pPr>
        <w:adjustRightInd w:val="0"/>
        <w:spacing w:after="156" w:afterLines="50" w:line="460" w:lineRule="exact"/>
        <w:jc w:val="center"/>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44"/>
          <w:sz w:val="32"/>
          <w:szCs w:val="32"/>
          <w:highlight w:val="none"/>
        </w:rPr>
        <w:t xml:space="preserve">第六章  </w:t>
      </w:r>
      <w:bookmarkEnd w:id="398"/>
      <w:r>
        <w:rPr>
          <w:rFonts w:hint="eastAsia" w:ascii="仿宋_GB2312" w:hAnsi="仿宋_GB2312" w:eastAsia="仿宋_GB2312" w:cs="仿宋_GB2312"/>
          <w:b/>
          <w:bCs/>
          <w:color w:val="auto"/>
          <w:kern w:val="44"/>
          <w:sz w:val="32"/>
          <w:szCs w:val="32"/>
          <w:highlight w:val="none"/>
        </w:rPr>
        <w:t>评审</w:t>
      </w:r>
      <w:bookmarkEnd w:id="399"/>
      <w:bookmarkEnd w:id="400"/>
      <w:bookmarkEnd w:id="401"/>
      <w:bookmarkEnd w:id="402"/>
      <w:bookmarkEnd w:id="403"/>
      <w:bookmarkEnd w:id="404"/>
      <w:bookmarkEnd w:id="405"/>
      <w:bookmarkEnd w:id="406"/>
      <w:bookmarkEnd w:id="407"/>
      <w:bookmarkEnd w:id="408"/>
      <w:bookmarkEnd w:id="409"/>
      <w:r>
        <w:rPr>
          <w:rFonts w:hint="eastAsia" w:ascii="仿宋_GB2312" w:hAnsi="仿宋_GB2312" w:eastAsia="仿宋_GB2312" w:cs="仿宋_GB2312"/>
          <w:b/>
          <w:bCs/>
          <w:color w:val="auto"/>
          <w:kern w:val="44"/>
          <w:sz w:val="32"/>
          <w:szCs w:val="32"/>
          <w:highlight w:val="none"/>
          <w:lang w:val="en-US" w:eastAsia="zh-CN"/>
        </w:rPr>
        <w:t>方法</w:t>
      </w:r>
    </w:p>
    <w:p w14:paraId="29140BE2">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一、评审委员会</w:t>
      </w:r>
    </w:p>
    <w:p w14:paraId="695E48D9">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1.评审工作由比选人相关成员组建的评审委员会负责。</w:t>
      </w:r>
    </w:p>
    <w:p w14:paraId="444CFBE1">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2.与本次比选申请人存在经济利益或亲属关系的成员应当自行回避。</w:t>
      </w:r>
    </w:p>
    <w:p w14:paraId="14A2E92F">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二、评审程序</w:t>
      </w:r>
    </w:p>
    <w:p w14:paraId="63BDAC84">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根据各比选申请人递交的比选申请书按照以下程序进行评审工作：</w:t>
      </w:r>
    </w:p>
    <w:p w14:paraId="18675222">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对比选申请文件进行初审（包括资格性审查和实质性审查，剔除无效比选申请书）；按照比选人制定的《评审标准》对通过初审的申请文件逐项打分；按照得分高低排序，评审委员会将推荐1-3名作为中选候选人。</w:t>
      </w:r>
    </w:p>
    <w:p w14:paraId="25B1F9EA">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bookmarkStart w:id="410" w:name="_Toc6128"/>
      <w:bookmarkStart w:id="411" w:name="_Toc4845"/>
      <w:bookmarkStart w:id="412" w:name="_Toc9298"/>
      <w:r>
        <w:rPr>
          <w:rFonts w:hint="eastAsia" w:ascii="仿宋_GB2312" w:hAnsi="仿宋_GB2312" w:eastAsia="仿宋_GB2312" w:cs="仿宋_GB2312"/>
          <w:b/>
          <w:color w:val="auto"/>
          <w:kern w:val="0"/>
          <w:sz w:val="24"/>
          <w:highlight w:val="none"/>
          <w:lang w:val="zh-CN"/>
        </w:rPr>
        <w:t>三、评审标准</w:t>
      </w:r>
      <w:bookmarkEnd w:id="410"/>
      <w:bookmarkEnd w:id="411"/>
      <w:bookmarkEnd w:id="412"/>
    </w:p>
    <w:p w14:paraId="610B8E46">
      <w:pPr>
        <w:spacing w:line="400" w:lineRule="exact"/>
        <w:ind w:firstLine="482" w:firstLineChars="200"/>
        <w:jc w:val="center"/>
        <w:rPr>
          <w:rFonts w:ascii="Times New Roman" w:hAnsi="Times New Roman" w:eastAsia="仿宋" w:cs="Times New Roman"/>
          <w:b/>
          <w:color w:val="auto"/>
          <w:kern w:val="0"/>
          <w:sz w:val="24"/>
          <w:highlight w:val="none"/>
        </w:rPr>
      </w:pPr>
      <w:bookmarkStart w:id="413" w:name="_Ref77046541"/>
      <w:r>
        <w:rPr>
          <w:rFonts w:ascii="Times New Roman" w:hAnsi="Times New Roman" w:eastAsia="仿宋" w:cs="Times New Roman"/>
          <w:b/>
          <w:color w:val="auto"/>
          <w:kern w:val="0"/>
          <w:sz w:val="24"/>
          <w:highlight w:val="none"/>
        </w:rPr>
        <w:t>资格评审表</w:t>
      </w:r>
    </w:p>
    <w:tbl>
      <w:tblPr>
        <w:tblStyle w:val="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752"/>
        <w:gridCol w:w="3734"/>
      </w:tblGrid>
      <w:tr w14:paraId="050B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18" w:type="dxa"/>
            <w:vAlign w:val="center"/>
          </w:tcPr>
          <w:p w14:paraId="13E1A666">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评审项</w:t>
            </w:r>
          </w:p>
        </w:tc>
        <w:tc>
          <w:tcPr>
            <w:tcW w:w="2752" w:type="dxa"/>
            <w:vAlign w:val="center"/>
          </w:tcPr>
          <w:p w14:paraId="136560A0">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评审因素</w:t>
            </w:r>
          </w:p>
        </w:tc>
        <w:tc>
          <w:tcPr>
            <w:tcW w:w="3734" w:type="dxa"/>
            <w:vAlign w:val="center"/>
          </w:tcPr>
          <w:p w14:paraId="5068F953">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评审标准</w:t>
            </w:r>
          </w:p>
        </w:tc>
      </w:tr>
      <w:tr w14:paraId="331B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18" w:type="dxa"/>
            <w:vMerge w:val="restart"/>
            <w:vAlign w:val="center"/>
          </w:tcPr>
          <w:p w14:paraId="161A2F37">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形式评审标准</w:t>
            </w:r>
          </w:p>
        </w:tc>
        <w:tc>
          <w:tcPr>
            <w:tcW w:w="2752" w:type="dxa"/>
            <w:vAlign w:val="center"/>
          </w:tcPr>
          <w:p w14:paraId="0C4E5B86">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比选申请人名称</w:t>
            </w:r>
          </w:p>
        </w:tc>
        <w:tc>
          <w:tcPr>
            <w:tcW w:w="3734" w:type="dxa"/>
            <w:vAlign w:val="center"/>
          </w:tcPr>
          <w:p w14:paraId="081CAD0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与营业执照一致</w:t>
            </w:r>
          </w:p>
        </w:tc>
      </w:tr>
      <w:tr w14:paraId="7CCE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18" w:type="dxa"/>
            <w:vMerge w:val="continue"/>
          </w:tcPr>
          <w:p w14:paraId="56D6DC5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600A0525">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签字、盖章</w:t>
            </w:r>
          </w:p>
        </w:tc>
        <w:tc>
          <w:tcPr>
            <w:tcW w:w="3734" w:type="dxa"/>
            <w:vAlign w:val="center"/>
          </w:tcPr>
          <w:p w14:paraId="14C2E4B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3FF2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818" w:type="dxa"/>
            <w:vMerge w:val="continue"/>
          </w:tcPr>
          <w:p w14:paraId="578D926F">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3F53C55B">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副本份数</w:t>
            </w:r>
          </w:p>
        </w:tc>
        <w:tc>
          <w:tcPr>
            <w:tcW w:w="3734" w:type="dxa"/>
            <w:vAlign w:val="center"/>
          </w:tcPr>
          <w:p w14:paraId="75F7C7A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27C0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818" w:type="dxa"/>
            <w:vMerge w:val="continue"/>
          </w:tcPr>
          <w:p w14:paraId="48C4662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772FE20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报价唯一</w:t>
            </w:r>
          </w:p>
        </w:tc>
        <w:tc>
          <w:tcPr>
            <w:tcW w:w="3734" w:type="dxa"/>
            <w:vAlign w:val="center"/>
          </w:tcPr>
          <w:p w14:paraId="2EDB4C50">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只能有一组有效报价</w:t>
            </w:r>
          </w:p>
        </w:tc>
      </w:tr>
      <w:tr w14:paraId="3FD3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818" w:type="dxa"/>
            <w:vMerge w:val="continue"/>
          </w:tcPr>
          <w:p w14:paraId="510BC9F5">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3A4C2A93">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6569B4B">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7AEA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818" w:type="dxa"/>
            <w:vMerge w:val="restart"/>
            <w:vAlign w:val="center"/>
          </w:tcPr>
          <w:p w14:paraId="6C403C42">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资格评审标准</w:t>
            </w:r>
          </w:p>
        </w:tc>
        <w:tc>
          <w:tcPr>
            <w:tcW w:w="2752" w:type="dxa"/>
            <w:vAlign w:val="center"/>
          </w:tcPr>
          <w:p w14:paraId="6AB7E506">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律师事务所执业许可证</w:t>
            </w:r>
          </w:p>
        </w:tc>
        <w:tc>
          <w:tcPr>
            <w:tcW w:w="3734" w:type="dxa"/>
            <w:vAlign w:val="center"/>
          </w:tcPr>
          <w:p w14:paraId="6BB94FA3">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5C71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18" w:type="dxa"/>
            <w:vMerge w:val="continue"/>
            <w:vAlign w:val="center"/>
          </w:tcPr>
          <w:p w14:paraId="0BCCD43D">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2A5C5994">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信誉要求</w:t>
            </w:r>
          </w:p>
        </w:tc>
        <w:tc>
          <w:tcPr>
            <w:tcW w:w="3734" w:type="dxa"/>
            <w:vAlign w:val="center"/>
          </w:tcPr>
          <w:p w14:paraId="51F6220A">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03E1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818" w:type="dxa"/>
            <w:vMerge w:val="continue"/>
            <w:vAlign w:val="center"/>
          </w:tcPr>
          <w:p w14:paraId="4DA97E3A">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94010C3">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人员要求</w:t>
            </w:r>
          </w:p>
        </w:tc>
        <w:tc>
          <w:tcPr>
            <w:tcW w:w="3734" w:type="dxa"/>
            <w:vAlign w:val="center"/>
          </w:tcPr>
          <w:p w14:paraId="195668B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5555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8" w:type="dxa"/>
            <w:vMerge w:val="continue"/>
            <w:vAlign w:val="center"/>
          </w:tcPr>
          <w:p w14:paraId="6EDACE39">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10C439F9">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财务要求</w:t>
            </w:r>
          </w:p>
        </w:tc>
        <w:tc>
          <w:tcPr>
            <w:tcW w:w="3734" w:type="dxa"/>
            <w:vAlign w:val="center"/>
          </w:tcPr>
          <w:p w14:paraId="06A6EF2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5F2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18" w:type="dxa"/>
            <w:vMerge w:val="continue"/>
            <w:vAlign w:val="center"/>
          </w:tcPr>
          <w:p w14:paraId="668F2CCE">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3C99A2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其他要求</w:t>
            </w:r>
          </w:p>
        </w:tc>
        <w:tc>
          <w:tcPr>
            <w:tcW w:w="3734" w:type="dxa"/>
            <w:vAlign w:val="center"/>
          </w:tcPr>
          <w:p w14:paraId="674EE2AF">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A77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18" w:type="dxa"/>
            <w:vMerge w:val="continue"/>
            <w:vAlign w:val="center"/>
          </w:tcPr>
          <w:p w14:paraId="3CFF5360">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792775F9">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6579E544">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2D35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18" w:type="dxa"/>
            <w:vMerge w:val="restart"/>
            <w:vAlign w:val="center"/>
          </w:tcPr>
          <w:p w14:paraId="31635F84">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响应性评审标准</w:t>
            </w:r>
          </w:p>
        </w:tc>
        <w:tc>
          <w:tcPr>
            <w:tcW w:w="2752" w:type="dxa"/>
            <w:vAlign w:val="center"/>
          </w:tcPr>
          <w:p w14:paraId="6675A567">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最高限价</w:t>
            </w:r>
          </w:p>
        </w:tc>
        <w:tc>
          <w:tcPr>
            <w:tcW w:w="3734" w:type="dxa"/>
            <w:vAlign w:val="center"/>
          </w:tcPr>
          <w:p w14:paraId="2910E893">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符合第二章前附表要求</w:t>
            </w:r>
          </w:p>
        </w:tc>
      </w:tr>
      <w:tr w14:paraId="23A3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18" w:type="dxa"/>
            <w:vMerge w:val="continue"/>
          </w:tcPr>
          <w:p w14:paraId="356FC7A2">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53929613">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比选有效期</w:t>
            </w:r>
          </w:p>
        </w:tc>
        <w:tc>
          <w:tcPr>
            <w:tcW w:w="3734" w:type="dxa"/>
            <w:vAlign w:val="center"/>
          </w:tcPr>
          <w:p w14:paraId="7CDD9EB1">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color w:val="auto"/>
                <w:sz w:val="22"/>
                <w:szCs w:val="22"/>
                <w:highlight w:val="none"/>
              </w:rPr>
              <w:t>符合第二章第二节总则 第</w:t>
            </w:r>
            <w:r>
              <w:rPr>
                <w:rFonts w:hint="eastAsia" w:ascii="Times New Roman" w:hAnsi="Times New Roman" w:eastAsia="仿宋" w:cs="Times New Roman"/>
                <w:color w:val="auto"/>
                <w:sz w:val="22"/>
                <w:szCs w:val="22"/>
                <w:highlight w:val="none"/>
                <w:lang w:val="en-US" w:eastAsia="zh-CN"/>
              </w:rPr>
              <w:t>7</w:t>
            </w:r>
            <w:r>
              <w:rPr>
                <w:rFonts w:ascii="Times New Roman" w:hAnsi="Times New Roman" w:eastAsia="仿宋" w:cs="Times New Roman"/>
                <w:color w:val="auto"/>
                <w:sz w:val="22"/>
                <w:szCs w:val="22"/>
                <w:highlight w:val="none"/>
              </w:rPr>
              <w:t>项规定</w:t>
            </w:r>
          </w:p>
        </w:tc>
      </w:tr>
      <w:tr w14:paraId="039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4AF11480">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1FE43F3F">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D8B43E9">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bl>
    <w:p w14:paraId="4A49FE1A">
      <w:pPr>
        <w:spacing w:line="400" w:lineRule="exact"/>
        <w:ind w:firstLine="482" w:firstLineChars="200"/>
        <w:jc w:val="center"/>
        <w:rPr>
          <w:rFonts w:ascii="Times New Roman" w:hAnsi="Times New Roman" w:eastAsia="仿宋" w:cs="Times New Roman"/>
          <w:b/>
          <w:color w:val="auto"/>
          <w:kern w:val="0"/>
          <w:sz w:val="24"/>
          <w:highlight w:val="none"/>
        </w:rPr>
      </w:pPr>
      <w:r>
        <w:rPr>
          <w:rFonts w:ascii="Times New Roman" w:hAnsi="Times New Roman" w:eastAsia="仿宋" w:cs="Times New Roman"/>
          <w:b/>
          <w:color w:val="auto"/>
          <w:kern w:val="0"/>
          <w:sz w:val="24"/>
          <w:highlight w:val="none"/>
        </w:rPr>
        <w:br w:type="page"/>
      </w:r>
    </w:p>
    <w:bookmarkEnd w:id="413"/>
    <w:p w14:paraId="6AE2110C">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bookmarkStart w:id="414" w:name="_Toc19015"/>
      <w:bookmarkStart w:id="415" w:name="_Toc849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详细评审评分表</w:t>
      </w:r>
    </w:p>
    <w:p w14:paraId="3308FD0B">
      <w:pPr>
        <w:spacing w:line="400" w:lineRule="exact"/>
        <w:ind w:firstLine="480" w:firstLineChars="200"/>
        <w:jc w:val="center"/>
        <w:rPr>
          <w:rFonts w:ascii="Times New Roman" w:hAnsi="Times New Roman" w:eastAsia="仿宋" w:cs="Times New Roman"/>
          <w:b/>
          <w:color w:val="auto"/>
          <w:kern w:val="0"/>
          <w:sz w:val="32"/>
          <w:szCs w:val="32"/>
          <w:highlight w:val="none"/>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项目名称：四川省交通物资有限责任公司与某公司买卖合同纠纷执行案专项律所公开选聘项目项目编号：JTWZ20251101</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1"/>
        <w:gridCol w:w="1061"/>
        <w:gridCol w:w="1830"/>
        <w:gridCol w:w="680"/>
        <w:gridCol w:w="4530"/>
      </w:tblGrid>
      <w:tr w14:paraId="26EBE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1" w:type="dxa"/>
            <w:tcBorders>
              <w:bottom w:val="single" w:color="auto" w:sz="4" w:space="0"/>
              <w:right w:val="single" w:color="auto" w:sz="4" w:space="0"/>
            </w:tcBorders>
            <w:noWrap w:val="0"/>
            <w:vAlign w:val="center"/>
          </w:tcPr>
          <w:p w14:paraId="5D1D7B62">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序号</w:t>
            </w:r>
          </w:p>
        </w:tc>
        <w:tc>
          <w:tcPr>
            <w:tcW w:w="1061" w:type="dxa"/>
            <w:tcBorders>
              <w:left w:val="single" w:color="auto" w:sz="4" w:space="0"/>
              <w:bottom w:val="single" w:color="auto" w:sz="4" w:space="0"/>
              <w:right w:val="single" w:color="auto" w:sz="4" w:space="0"/>
            </w:tcBorders>
            <w:noWrap w:val="0"/>
            <w:vAlign w:val="center"/>
          </w:tcPr>
          <w:p w14:paraId="3AAEC873">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评标项目</w:t>
            </w:r>
          </w:p>
        </w:tc>
        <w:tc>
          <w:tcPr>
            <w:tcW w:w="1830" w:type="dxa"/>
            <w:tcBorders>
              <w:left w:val="single" w:color="auto" w:sz="4" w:space="0"/>
              <w:bottom w:val="single" w:color="auto" w:sz="4" w:space="0"/>
              <w:right w:val="single" w:color="auto" w:sz="4" w:space="0"/>
            </w:tcBorders>
            <w:noWrap w:val="0"/>
            <w:vAlign w:val="center"/>
          </w:tcPr>
          <w:p w14:paraId="5DC304AB">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详细内容</w:t>
            </w:r>
          </w:p>
        </w:tc>
        <w:tc>
          <w:tcPr>
            <w:tcW w:w="680" w:type="dxa"/>
            <w:tcBorders>
              <w:left w:val="single" w:color="auto" w:sz="4" w:space="0"/>
              <w:bottom w:val="single" w:color="auto" w:sz="4" w:space="0"/>
              <w:right w:val="single" w:color="auto" w:sz="4" w:space="0"/>
            </w:tcBorders>
            <w:noWrap w:val="0"/>
            <w:vAlign w:val="center"/>
          </w:tcPr>
          <w:p w14:paraId="49E92255">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评标分值</w:t>
            </w:r>
          </w:p>
        </w:tc>
        <w:tc>
          <w:tcPr>
            <w:tcW w:w="4530" w:type="dxa"/>
            <w:tcBorders>
              <w:left w:val="single" w:color="auto" w:sz="4" w:space="0"/>
              <w:bottom w:val="single" w:color="auto" w:sz="4" w:space="0"/>
            </w:tcBorders>
            <w:noWrap w:val="0"/>
            <w:vAlign w:val="center"/>
          </w:tcPr>
          <w:p w14:paraId="3F9774A2">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评分标准</w:t>
            </w:r>
          </w:p>
        </w:tc>
      </w:tr>
      <w:tr w14:paraId="71CF0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63" w:hRule="atLeast"/>
        </w:trPr>
        <w:tc>
          <w:tcPr>
            <w:tcW w:w="421" w:type="dxa"/>
            <w:tcBorders>
              <w:top w:val="single" w:color="auto" w:sz="4" w:space="0"/>
              <w:right w:val="single" w:color="auto" w:sz="4" w:space="0"/>
            </w:tcBorders>
            <w:noWrap w:val="0"/>
            <w:vAlign w:val="center"/>
          </w:tcPr>
          <w:p w14:paraId="0E9FDCC1">
            <w:pPr>
              <w:jc w:val="center"/>
              <w:rPr>
                <w:rFonts w:hint="eastAsia" w:ascii="楷体" w:hAnsi="楷体" w:eastAsia="楷体" w:cs="楷体"/>
                <w:b w:val="0"/>
                <w:bCs w:val="0"/>
                <w:color w:val="auto"/>
                <w:kern w:val="1"/>
                <w:szCs w:val="21"/>
                <w:highlight w:val="none"/>
              </w:rPr>
            </w:pPr>
            <w:r>
              <w:rPr>
                <w:rFonts w:hint="eastAsia" w:ascii="楷体" w:hAnsi="楷体" w:eastAsia="楷体" w:cs="楷体"/>
                <w:b w:val="0"/>
                <w:bCs w:val="0"/>
                <w:color w:val="auto"/>
                <w:kern w:val="1"/>
                <w:szCs w:val="21"/>
                <w:highlight w:val="none"/>
              </w:rPr>
              <w:t>1</w:t>
            </w:r>
          </w:p>
        </w:tc>
        <w:tc>
          <w:tcPr>
            <w:tcW w:w="1061" w:type="dxa"/>
            <w:tcBorders>
              <w:top w:val="single" w:color="auto" w:sz="4" w:space="0"/>
              <w:left w:val="single" w:color="auto" w:sz="4" w:space="0"/>
              <w:right w:val="single" w:color="auto" w:sz="4" w:space="0"/>
            </w:tcBorders>
            <w:noWrap w:val="0"/>
            <w:vAlign w:val="center"/>
          </w:tcPr>
          <w:p w14:paraId="4DD257D8">
            <w:pPr>
              <w:jc w:val="both"/>
              <w:rPr>
                <w:rFonts w:hint="eastAsia" w:ascii="楷体" w:hAnsi="楷体" w:eastAsia="楷体" w:cs="楷体"/>
                <w:b w:val="0"/>
                <w:bCs w:val="0"/>
                <w:color w:val="auto"/>
                <w:kern w:val="1"/>
                <w:sz w:val="21"/>
                <w:szCs w:val="21"/>
                <w:highlight w:val="none"/>
                <w:lang w:eastAsia="zh-CN"/>
              </w:rPr>
            </w:pPr>
            <w:r>
              <w:rPr>
                <w:rFonts w:hint="eastAsia" w:ascii="楷体" w:hAnsi="楷体" w:eastAsia="楷体" w:cs="楷体"/>
                <w:b w:val="0"/>
                <w:bCs w:val="0"/>
                <w:color w:val="auto"/>
                <w:kern w:val="1"/>
                <w:sz w:val="21"/>
                <w:szCs w:val="21"/>
                <w:highlight w:val="none"/>
                <w:lang w:val="en-US" w:eastAsia="zh-CN"/>
              </w:rPr>
              <w:t>履约能力（15分</w:t>
            </w:r>
            <w:r>
              <w:rPr>
                <w:rFonts w:hint="eastAsia" w:ascii="楷体" w:hAnsi="楷体" w:eastAsia="楷体" w:cs="楷体"/>
                <w:b w:val="0"/>
                <w:bCs w:val="0"/>
                <w:color w:val="auto"/>
                <w:kern w:val="1"/>
                <w:sz w:val="21"/>
                <w:szCs w:val="21"/>
                <w:highlight w:val="none"/>
                <w:lang w:eastAsia="zh-CN"/>
              </w:rPr>
              <w:t>）</w:t>
            </w:r>
          </w:p>
        </w:tc>
        <w:tc>
          <w:tcPr>
            <w:tcW w:w="1830" w:type="dxa"/>
            <w:tcBorders>
              <w:top w:val="single" w:color="auto" w:sz="4" w:space="0"/>
              <w:left w:val="single" w:color="auto" w:sz="4" w:space="0"/>
              <w:right w:val="single" w:color="auto" w:sz="4" w:space="0"/>
            </w:tcBorders>
            <w:noWrap w:val="0"/>
            <w:vAlign w:val="center"/>
          </w:tcPr>
          <w:p w14:paraId="5EADDC4E">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rPr>
              <w:t>事务所</w:t>
            </w:r>
            <w:r>
              <w:rPr>
                <w:rFonts w:hint="eastAsia" w:ascii="楷体" w:hAnsi="楷体" w:eastAsia="楷体" w:cs="楷体"/>
                <w:b w:val="0"/>
                <w:bCs w:val="0"/>
                <w:color w:val="auto"/>
                <w:kern w:val="1"/>
                <w:sz w:val="21"/>
                <w:szCs w:val="21"/>
                <w:highlight w:val="none"/>
                <w:lang w:val="en-US" w:eastAsia="zh-CN"/>
              </w:rPr>
              <w:t>同类业绩</w:t>
            </w:r>
          </w:p>
        </w:tc>
        <w:tc>
          <w:tcPr>
            <w:tcW w:w="680" w:type="dxa"/>
            <w:tcBorders>
              <w:top w:val="single" w:color="auto" w:sz="4" w:space="0"/>
              <w:left w:val="single" w:color="auto" w:sz="4" w:space="0"/>
              <w:right w:val="single" w:color="auto" w:sz="4" w:space="0"/>
            </w:tcBorders>
            <w:noWrap w:val="0"/>
            <w:vAlign w:val="center"/>
          </w:tcPr>
          <w:p w14:paraId="05D4110E">
            <w:pPr>
              <w:jc w:val="center"/>
              <w:rPr>
                <w:rFonts w:hint="default"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15</w:t>
            </w:r>
          </w:p>
        </w:tc>
        <w:tc>
          <w:tcPr>
            <w:tcW w:w="4530" w:type="dxa"/>
            <w:tcBorders>
              <w:top w:val="single" w:color="auto" w:sz="4" w:space="0"/>
              <w:left w:val="single" w:color="auto" w:sz="4" w:space="0"/>
              <w:bottom w:val="single" w:color="auto" w:sz="4" w:space="0"/>
            </w:tcBorders>
            <w:noWrap w:val="0"/>
            <w:vAlign w:val="center"/>
          </w:tcPr>
          <w:p w14:paraId="5213D4C9">
            <w:pPr>
              <w:ind w:firstLine="0" w:firstLineChars="0"/>
              <w:rPr>
                <w:rFonts w:hint="eastAsia"/>
                <w:color w:val="auto"/>
                <w:highlight w:val="none"/>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最近三年内，比选申请人为国有企业/政府部门提供诉讼或执行法律服务，</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每</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服务一家</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分；累计得分不超过</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服务团队中已提交的业绩不计入该项得分）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tc>
      </w:tr>
      <w:tr w14:paraId="23BB85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1" w:hRule="atLeast"/>
        </w:trPr>
        <w:tc>
          <w:tcPr>
            <w:tcW w:w="421" w:type="dxa"/>
            <w:tcBorders>
              <w:top w:val="single" w:color="auto" w:sz="4" w:space="0"/>
              <w:right w:val="single" w:color="auto" w:sz="4" w:space="0"/>
            </w:tcBorders>
            <w:noWrap w:val="0"/>
            <w:vAlign w:val="center"/>
          </w:tcPr>
          <w:p w14:paraId="2DCD522F">
            <w:pPr>
              <w:jc w:val="center"/>
              <w:rPr>
                <w:rFonts w:hint="eastAsia" w:ascii="楷体" w:hAnsi="楷体" w:eastAsia="楷体" w:cs="楷体"/>
                <w:b w:val="0"/>
                <w:bCs w:val="0"/>
                <w:color w:val="auto"/>
                <w:kern w:val="1"/>
                <w:szCs w:val="21"/>
                <w:highlight w:val="none"/>
              </w:rPr>
            </w:pPr>
            <w:r>
              <w:rPr>
                <w:rFonts w:hint="eastAsia" w:ascii="楷体" w:hAnsi="楷体" w:eastAsia="楷体" w:cs="楷体"/>
                <w:b w:val="0"/>
                <w:bCs w:val="0"/>
                <w:color w:val="auto"/>
                <w:kern w:val="1"/>
                <w:szCs w:val="21"/>
                <w:highlight w:val="none"/>
              </w:rPr>
              <w:t>2</w:t>
            </w:r>
          </w:p>
        </w:tc>
        <w:tc>
          <w:tcPr>
            <w:tcW w:w="1061" w:type="dxa"/>
            <w:tcBorders>
              <w:top w:val="single" w:color="auto" w:sz="4" w:space="0"/>
              <w:left w:val="single" w:color="auto" w:sz="4" w:space="0"/>
              <w:right w:val="single" w:color="auto" w:sz="4" w:space="0"/>
            </w:tcBorders>
            <w:noWrap w:val="0"/>
            <w:vAlign w:val="center"/>
          </w:tcPr>
          <w:p w14:paraId="1DD62766">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比选报价</w:t>
            </w:r>
          </w:p>
          <w:p w14:paraId="2A999E86">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lang w:val="en-US" w:eastAsia="zh-CN"/>
              </w:rPr>
              <w:t>（25分）</w:t>
            </w:r>
          </w:p>
        </w:tc>
        <w:tc>
          <w:tcPr>
            <w:tcW w:w="1830" w:type="dxa"/>
            <w:tcBorders>
              <w:top w:val="single" w:color="auto" w:sz="4" w:space="0"/>
              <w:left w:val="single" w:color="auto" w:sz="4" w:space="0"/>
              <w:right w:val="single" w:color="auto" w:sz="4" w:space="0"/>
            </w:tcBorders>
            <w:noWrap w:val="0"/>
            <w:vAlign w:val="center"/>
          </w:tcPr>
          <w:p w14:paraId="72C26189">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本次报价</w:t>
            </w:r>
          </w:p>
        </w:tc>
        <w:tc>
          <w:tcPr>
            <w:tcW w:w="680" w:type="dxa"/>
            <w:tcBorders>
              <w:top w:val="single" w:color="auto" w:sz="4" w:space="0"/>
              <w:left w:val="single" w:color="auto" w:sz="4" w:space="0"/>
              <w:right w:val="single" w:color="auto" w:sz="4" w:space="0"/>
            </w:tcBorders>
            <w:noWrap w:val="0"/>
            <w:vAlign w:val="center"/>
          </w:tcPr>
          <w:p w14:paraId="65FBD822">
            <w:pPr>
              <w:jc w:val="center"/>
              <w:rPr>
                <w:rFonts w:hint="default"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25</w:t>
            </w:r>
          </w:p>
        </w:tc>
        <w:tc>
          <w:tcPr>
            <w:tcW w:w="4530" w:type="dxa"/>
            <w:tcBorders>
              <w:top w:val="single" w:color="auto" w:sz="4" w:space="0"/>
              <w:left w:val="single" w:color="auto" w:sz="4" w:space="0"/>
              <w:bottom w:val="single" w:color="auto" w:sz="4" w:space="0"/>
            </w:tcBorders>
            <w:noWrap w:val="0"/>
            <w:vAlign w:val="top"/>
          </w:tcPr>
          <w:p w14:paraId="32E99638">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比选报价得分分为以下两个部分：</w:t>
            </w:r>
          </w:p>
          <w:p w14:paraId="30CC99FD">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1、总价得分：满分为10分。报价</w:t>
            </w:r>
            <w:r>
              <w:rPr>
                <w:rFonts w:hint="eastAsia" w:ascii="楷体" w:hAnsi="楷体" w:eastAsia="楷体" w:cs="楷体"/>
                <w:color w:val="000000" w:themeColor="text1"/>
                <w:szCs w:val="21"/>
                <w:highlight w:val="none"/>
                <w14:textFill>
                  <w14:solidFill>
                    <w14:schemeClr w14:val="tx1"/>
                  </w14:solidFill>
                </w14:textFill>
              </w:rPr>
              <w:t>为基本代理费和风险代理费（风险代理费以涉案金额为计算基数）之和</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14:textFill>
                  <w14:solidFill>
                    <w14:schemeClr w14:val="tx1"/>
                  </w14:solidFill>
                </w14:textFill>
              </w:rPr>
              <w:t>以所有有效比选申请人的</w:t>
            </w:r>
            <w:r>
              <w:rPr>
                <w:rFonts w:hint="eastAsia" w:ascii="楷体" w:hAnsi="楷体" w:eastAsia="楷体" w:cs="楷体"/>
                <w:color w:val="000000" w:themeColor="text1"/>
                <w:szCs w:val="21"/>
                <w:highlight w:val="none"/>
                <w:lang w:val="en-US" w:eastAsia="zh-CN"/>
                <w14:textFill>
                  <w14:solidFill>
                    <w14:schemeClr w14:val="tx1"/>
                  </w14:solidFill>
                </w14:textFill>
              </w:rPr>
              <w:t>算术</w:t>
            </w:r>
            <w:r>
              <w:rPr>
                <w:rFonts w:hint="eastAsia" w:ascii="楷体" w:hAnsi="楷体" w:eastAsia="楷体" w:cs="楷体"/>
                <w:color w:val="000000" w:themeColor="text1"/>
                <w:szCs w:val="21"/>
                <w:highlight w:val="none"/>
                <w14:textFill>
                  <w14:solidFill>
                    <w14:schemeClr w14:val="tx1"/>
                  </w14:solidFill>
                </w14:textFill>
              </w:rPr>
              <w:t>平均比选报价作为基准价。</w:t>
            </w:r>
            <w:r>
              <w:rPr>
                <w:rFonts w:hint="eastAsia" w:ascii="楷体" w:hAnsi="楷体" w:eastAsia="楷体" w:cs="楷体"/>
                <w:color w:val="000000" w:themeColor="text1"/>
                <w:szCs w:val="21"/>
                <w:highlight w:val="none"/>
                <w:lang w:val="en-US" w:eastAsia="zh-CN"/>
                <w14:textFill>
                  <w14:solidFill>
                    <w14:schemeClr w14:val="tx1"/>
                  </w14:solidFill>
                </w14:textFill>
              </w:rPr>
              <w:t>得分</w:t>
            </w:r>
            <w:r>
              <w:rPr>
                <w:rFonts w:hint="eastAsia" w:ascii="楷体" w:hAnsi="楷体" w:eastAsia="楷体" w:cs="楷体"/>
                <w:color w:val="000000" w:themeColor="text1"/>
                <w:szCs w:val="21"/>
                <w:highlight w:val="none"/>
                <w14:textFill>
                  <w14:solidFill>
                    <w14:schemeClr w14:val="tx1"/>
                  </w14:solidFill>
                </w14:textFill>
              </w:rPr>
              <w:t>统一按照下列公式计算：报价得分=1</w:t>
            </w:r>
            <w:r>
              <w:rPr>
                <w:rFonts w:hint="eastAsia" w:ascii="楷体" w:hAnsi="楷体" w:eastAsia="楷体" w:cs="楷体"/>
                <w:color w:val="000000" w:themeColor="text1"/>
                <w:szCs w:val="21"/>
                <w:highlight w:val="none"/>
                <w:lang w:val="en-US" w:eastAsia="zh-CN"/>
                <w14:textFill>
                  <w14:solidFill>
                    <w14:schemeClr w14:val="tx1"/>
                  </w14:solidFill>
                </w14:textFill>
              </w:rPr>
              <w:t>0</w:t>
            </w:r>
            <w:r>
              <w:rPr>
                <w:rFonts w:hint="eastAsia" w:ascii="楷体" w:hAnsi="楷体" w:eastAsia="楷体" w:cs="楷体"/>
                <w:color w:val="000000" w:themeColor="text1"/>
                <w:szCs w:val="21"/>
                <w:highlight w:val="none"/>
                <w14:textFill>
                  <w14:solidFill>
                    <w14:schemeClr w14:val="tx1"/>
                  </w14:solidFill>
                </w14:textFill>
              </w:rPr>
              <w:t>×[1-︱（最终报价-基准价）︱/基准价]</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注：得分精确到小数点后两位。</w:t>
            </w:r>
          </w:p>
          <w:p w14:paraId="6357581A">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2、风险代理占比得分：满分15分。报价得分=15</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风险代理费/（基本代理费+风险代理费）</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注：得分精确到小数点后两位。</w:t>
            </w:r>
          </w:p>
          <w:p w14:paraId="5F05338C">
            <w:pPr>
              <w:ind w:firstLine="420" w:firstLineChars="200"/>
              <w:rPr>
                <w:rFonts w:hint="default"/>
                <w:color w:val="auto"/>
                <w:highlight w:val="none"/>
                <w:lang w:val="en-US" w:eastAsia="zh-CN"/>
              </w:rPr>
            </w:pPr>
            <w:r>
              <w:rPr>
                <w:rFonts w:hint="eastAsia" w:ascii="楷体" w:hAnsi="楷体" w:eastAsia="楷体" w:cs="楷体"/>
                <w:color w:val="000000" w:themeColor="text1"/>
                <w:szCs w:val="21"/>
                <w:highlight w:val="none"/>
                <w14:textFill>
                  <w14:solidFill>
                    <w14:schemeClr w14:val="tx1"/>
                  </w14:solidFill>
                </w14:textFill>
              </w:rPr>
              <w:t>总费用（基础代理费+风险代理费）不超过</w:t>
            </w:r>
            <w:r>
              <w:rPr>
                <w:rFonts w:hint="eastAsia" w:ascii="楷体" w:hAnsi="楷体" w:eastAsia="楷体" w:cs="楷体"/>
                <w:color w:val="000000" w:themeColor="text1"/>
                <w:szCs w:val="21"/>
                <w:highlight w:val="none"/>
                <w:lang w:val="en-US" w:eastAsia="zh-CN"/>
                <w14:textFill>
                  <w14:solidFill>
                    <w14:schemeClr w14:val="tx1"/>
                  </w14:solidFill>
                </w14:textFill>
              </w:rPr>
              <w:t>20.6</w:t>
            </w:r>
            <w:r>
              <w:rPr>
                <w:rFonts w:hint="eastAsia" w:ascii="楷体" w:hAnsi="楷体" w:eastAsia="楷体" w:cs="楷体"/>
                <w:color w:val="000000" w:themeColor="text1"/>
                <w:szCs w:val="21"/>
                <w:highlight w:val="none"/>
                <w14:textFill>
                  <w14:solidFill>
                    <w14:schemeClr w14:val="tx1"/>
                  </w14:solidFill>
                </w14:textFill>
              </w:rPr>
              <w:t>万（</w:t>
            </w:r>
            <w:r>
              <w:rPr>
                <w:rFonts w:hint="eastAsia" w:ascii="楷体" w:hAnsi="楷体" w:eastAsia="楷体" w:cs="楷体"/>
                <w:color w:val="000000" w:themeColor="text1"/>
                <w:szCs w:val="21"/>
                <w:highlight w:val="none"/>
                <w:lang w:val="en-US" w:eastAsia="zh-CN"/>
                <w14:textFill>
                  <w14:solidFill>
                    <w14:schemeClr w14:val="tx1"/>
                  </w14:solidFill>
                </w14:textFill>
              </w:rPr>
              <w:t>此为限价，</w:t>
            </w:r>
            <w:r>
              <w:rPr>
                <w:rFonts w:hint="eastAsia" w:ascii="楷体" w:hAnsi="楷体" w:eastAsia="楷体" w:cs="楷体"/>
                <w:color w:val="000000" w:themeColor="text1"/>
                <w:szCs w:val="21"/>
                <w:highlight w:val="none"/>
                <w14:textFill>
                  <w14:solidFill>
                    <w14:schemeClr w14:val="tx1"/>
                  </w14:solidFill>
                </w14:textFill>
              </w:rPr>
              <w:t>含本数），超过的本次报价</w:t>
            </w:r>
            <w:r>
              <w:rPr>
                <w:rFonts w:hint="eastAsia" w:ascii="楷体" w:hAnsi="楷体" w:eastAsia="楷体" w:cs="楷体"/>
                <w:color w:val="000000" w:themeColor="text1"/>
                <w:szCs w:val="21"/>
                <w:highlight w:val="none"/>
                <w:lang w:val="en-US" w:eastAsia="zh-CN"/>
                <w14:textFill>
                  <w14:solidFill>
                    <w14:schemeClr w14:val="tx1"/>
                  </w14:solidFill>
                </w14:textFill>
              </w:rPr>
              <w:t>为无效报价。</w:t>
            </w:r>
          </w:p>
        </w:tc>
      </w:tr>
      <w:tr w14:paraId="2D27A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421" w:type="dxa"/>
            <w:tcBorders>
              <w:bottom w:val="single" w:color="auto" w:sz="4" w:space="0"/>
              <w:right w:val="single" w:color="auto" w:sz="4" w:space="0"/>
            </w:tcBorders>
            <w:noWrap w:val="0"/>
            <w:vAlign w:val="center"/>
          </w:tcPr>
          <w:p w14:paraId="144DB26D">
            <w:pPr>
              <w:jc w:val="center"/>
              <w:rPr>
                <w:rFonts w:hint="eastAsia" w:ascii="楷体" w:hAnsi="楷体" w:eastAsia="楷体" w:cs="楷体"/>
                <w:b w:val="0"/>
                <w:bCs w:val="0"/>
                <w:color w:val="auto"/>
                <w:kern w:val="1"/>
                <w:szCs w:val="21"/>
                <w:highlight w:val="none"/>
                <w:lang w:val="en-US" w:eastAsia="zh-CN"/>
              </w:rPr>
            </w:pPr>
            <w:r>
              <w:rPr>
                <w:rFonts w:hint="eastAsia" w:ascii="楷体" w:hAnsi="楷体" w:eastAsia="楷体" w:cs="楷体"/>
                <w:b w:val="0"/>
                <w:bCs w:val="0"/>
                <w:color w:val="auto"/>
                <w:kern w:val="1"/>
                <w:szCs w:val="21"/>
                <w:highlight w:val="none"/>
                <w:lang w:val="en-US" w:eastAsia="zh-CN"/>
              </w:rPr>
              <w:t>3</w:t>
            </w:r>
          </w:p>
        </w:tc>
        <w:tc>
          <w:tcPr>
            <w:tcW w:w="1061" w:type="dxa"/>
            <w:tcBorders>
              <w:left w:val="single" w:color="auto" w:sz="4" w:space="0"/>
              <w:bottom w:val="single" w:color="auto" w:sz="4" w:space="0"/>
              <w:right w:val="single" w:color="auto" w:sz="4" w:space="0"/>
            </w:tcBorders>
            <w:noWrap w:val="0"/>
            <w:vAlign w:val="center"/>
          </w:tcPr>
          <w:p w14:paraId="70FAF202">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服务方案（30分）</w:t>
            </w:r>
          </w:p>
        </w:tc>
        <w:tc>
          <w:tcPr>
            <w:tcW w:w="1830" w:type="dxa"/>
            <w:tcBorders>
              <w:left w:val="single" w:color="auto" w:sz="4" w:space="0"/>
              <w:bottom w:val="single" w:color="auto" w:sz="4" w:space="0"/>
              <w:right w:val="single" w:color="auto" w:sz="4" w:space="0"/>
            </w:tcBorders>
            <w:noWrap w:val="0"/>
            <w:vAlign w:val="center"/>
          </w:tcPr>
          <w:p w14:paraId="2EE658F1">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服务方案认可度</w:t>
            </w:r>
          </w:p>
        </w:tc>
        <w:tc>
          <w:tcPr>
            <w:tcW w:w="680" w:type="dxa"/>
            <w:tcBorders>
              <w:left w:val="single" w:color="auto" w:sz="4" w:space="0"/>
              <w:bottom w:val="single" w:color="auto" w:sz="4" w:space="0"/>
              <w:right w:val="single" w:color="auto" w:sz="4" w:space="0"/>
            </w:tcBorders>
            <w:noWrap w:val="0"/>
            <w:vAlign w:val="center"/>
          </w:tcPr>
          <w:p w14:paraId="1087CA35">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30</w:t>
            </w:r>
          </w:p>
        </w:tc>
        <w:tc>
          <w:tcPr>
            <w:tcW w:w="4530" w:type="dxa"/>
            <w:tcBorders>
              <w:top w:val="single" w:color="auto" w:sz="4" w:space="0"/>
              <w:left w:val="single" w:color="auto" w:sz="4" w:space="0"/>
              <w:bottom w:val="single" w:color="auto" w:sz="4" w:space="0"/>
            </w:tcBorders>
            <w:noWrap w:val="0"/>
            <w:vAlign w:val="top"/>
          </w:tcPr>
          <w:p w14:paraId="6F464CD4">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针对</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比选申请</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人</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提交的整体</w:t>
            </w:r>
            <w:r>
              <w:rPr>
                <w:rFonts w:hint="eastAsia" w:ascii="楷体" w:hAnsi="楷体" w:eastAsia="楷体" w:cs="楷体"/>
                <w:b w:val="0"/>
                <w:bCs w:val="0"/>
                <w:color w:val="000000" w:themeColor="text1"/>
                <w:kern w:val="1"/>
                <w:sz w:val="21"/>
                <w:szCs w:val="21"/>
                <w:highlight w:val="none"/>
                <w:lang w:eastAsia="zh-Hans"/>
                <w14:textFill>
                  <w14:solidFill>
                    <w14:schemeClr w14:val="tx1"/>
                  </w14:solidFill>
                </w14:textFill>
              </w:rPr>
              <w:t>法律</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服务方案是否完整、科学等进行综合打分。</w:t>
            </w:r>
          </w:p>
          <w:p w14:paraId="16044295">
            <w:pPr>
              <w:numPr>
                <w:ilvl w:val="0"/>
                <w:numId w:val="0"/>
              </w:numP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1.法律分析充分合理，服务方案全面、完整、详尽，并提供创新性解决方案，服务措施完善、有可操作性和针对性，可有效推动案件执行回款，</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26-30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28ABFB09">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.法律分析充分合理，服务方案完整、详尽，服务措施完善、有操作性，得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21-25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44CBC45E">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.有一定法律分析，服务方案较完整，服务措施较完善，有一定操作性，得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11-20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21C032D2">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4</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.法律分析不充分，服务方案不够详尽，服务措施不够完善，操作性较差，得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1-10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3CA750C8">
            <w:pPr>
              <w:jc w:val="left"/>
              <w:outlineLvl w:val="0"/>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.没有方案不得分。</w:t>
            </w:r>
          </w:p>
        </w:tc>
      </w:tr>
      <w:tr w14:paraId="03276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7" w:hRule="atLeast"/>
        </w:trPr>
        <w:tc>
          <w:tcPr>
            <w:tcW w:w="421" w:type="dxa"/>
            <w:vMerge w:val="restart"/>
            <w:tcBorders>
              <w:top w:val="single" w:color="auto" w:sz="4" w:space="0"/>
              <w:right w:val="single" w:color="auto" w:sz="4" w:space="0"/>
            </w:tcBorders>
            <w:noWrap w:val="0"/>
            <w:vAlign w:val="center"/>
          </w:tcPr>
          <w:p w14:paraId="146C6D8B">
            <w:pPr>
              <w:jc w:val="center"/>
              <w:rPr>
                <w:rFonts w:hint="eastAsia" w:ascii="楷体" w:hAnsi="楷体" w:eastAsia="楷体" w:cs="楷体"/>
                <w:b w:val="0"/>
                <w:bCs w:val="0"/>
                <w:color w:val="auto"/>
                <w:kern w:val="1"/>
                <w:szCs w:val="21"/>
                <w:highlight w:val="none"/>
                <w:lang w:eastAsia="zh-CN"/>
              </w:rPr>
            </w:pPr>
            <w:r>
              <w:rPr>
                <w:rFonts w:hint="eastAsia" w:ascii="楷体" w:hAnsi="楷体" w:eastAsia="楷体" w:cs="楷体"/>
                <w:b w:val="0"/>
                <w:bCs w:val="0"/>
                <w:color w:val="auto"/>
                <w:kern w:val="1"/>
                <w:szCs w:val="21"/>
                <w:highlight w:val="none"/>
                <w:lang w:val="en-US" w:eastAsia="zh-CN"/>
              </w:rPr>
              <w:t>4</w:t>
            </w:r>
          </w:p>
        </w:tc>
        <w:tc>
          <w:tcPr>
            <w:tcW w:w="1061" w:type="dxa"/>
            <w:vMerge w:val="restart"/>
            <w:tcBorders>
              <w:top w:val="single" w:color="auto" w:sz="4" w:space="0"/>
              <w:left w:val="single" w:color="auto" w:sz="4" w:space="0"/>
              <w:right w:val="single" w:color="auto" w:sz="4" w:space="0"/>
            </w:tcBorders>
            <w:noWrap w:val="0"/>
            <w:vAlign w:val="center"/>
          </w:tcPr>
          <w:p w14:paraId="1E4DAAD4">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服务团队</w:t>
            </w:r>
          </w:p>
          <w:p w14:paraId="0D615978">
            <w:pPr>
              <w:jc w:val="center"/>
              <w:rPr>
                <w:rFonts w:hint="eastAsia" w:ascii="楷体" w:hAnsi="楷体" w:eastAsia="楷体" w:cs="楷体"/>
                <w:b w:val="0"/>
                <w:bCs w:val="0"/>
                <w:color w:val="auto"/>
                <w:kern w:val="1"/>
                <w:sz w:val="21"/>
                <w:szCs w:val="21"/>
                <w:highlight w:val="none"/>
                <w:lang w:eastAsia="zh-CN"/>
              </w:rPr>
            </w:pP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30分</w:t>
            </w:r>
            <w:r>
              <w:rPr>
                <w:rFonts w:hint="eastAsia" w:ascii="楷体" w:hAnsi="楷体" w:eastAsia="楷体" w:cs="楷体"/>
                <w:b w:val="0"/>
                <w:bCs w:val="0"/>
                <w:color w:val="auto"/>
                <w:kern w:val="1"/>
                <w:sz w:val="21"/>
                <w:szCs w:val="21"/>
                <w:highlight w:val="none"/>
                <w:lang w:eastAsia="zh-CN"/>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49D1021">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服务团队资历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2BB0EE7">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10</w:t>
            </w:r>
          </w:p>
        </w:tc>
        <w:tc>
          <w:tcPr>
            <w:tcW w:w="4530" w:type="dxa"/>
            <w:tcBorders>
              <w:top w:val="single" w:color="auto" w:sz="4" w:space="0"/>
              <w:left w:val="single" w:color="auto" w:sz="4" w:space="0"/>
              <w:bottom w:val="single" w:color="auto" w:sz="4" w:space="0"/>
            </w:tcBorders>
            <w:noWrap w:val="0"/>
            <w:vAlign w:val="center"/>
          </w:tcPr>
          <w:p w14:paraId="21A579C3">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服务团队资历</w:t>
            </w:r>
            <w:r>
              <w:rPr>
                <w:rFonts w:hint="eastAsia" w:ascii="楷体" w:hAnsi="楷体" w:eastAsia="楷体" w:cs="楷体"/>
                <w:color w:val="000000" w:themeColor="text1"/>
                <w:szCs w:val="21"/>
                <w:highlight w:val="none"/>
                <w:lang w:val="en-US" w:eastAsia="zh-CN"/>
                <w14:textFill>
                  <w14:solidFill>
                    <w14:schemeClr w14:val="tx1"/>
                  </w14:solidFill>
                </w14:textFill>
              </w:rPr>
              <w:t>得分分为以下两个部分：</w:t>
            </w:r>
          </w:p>
          <w:p w14:paraId="560817F3">
            <w:pPr>
              <w:numPr>
                <w:ilvl w:val="0"/>
                <w:numId w:val="0"/>
              </w:numP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服务团队律师执业年限和教育背景：三名及以上律师执业满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8</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Hans"/>
                <w14:textFill>
                  <w14:solidFill>
                    <w14:schemeClr w14:val="tx1"/>
                  </w14:solidFill>
                </w14:textFill>
              </w:rPr>
              <w:t>二名及以上</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分，一名律师执业满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不满足不得分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p w14:paraId="4392B4F6">
            <w:pPr>
              <w:pStyle w:val="6"/>
              <w:ind w:left="0" w:leftChars="0" w:firstLine="0" w:firstLineChars="0"/>
              <w:rPr>
                <w:rFonts w:hint="default" w:ascii="楷体" w:hAnsi="楷体" w:eastAsia="楷体" w:cs="楷体"/>
                <w:b w:val="0"/>
                <w:bCs w:val="0"/>
                <w:color w:val="auto"/>
                <w:kern w:val="1"/>
                <w:sz w:val="21"/>
                <w:szCs w:val="21"/>
                <w:highlight w:val="none"/>
                <w:lang w:val="en-US" w:eastAsia="zh-CN" w:bidi="ar-SA"/>
              </w:rPr>
            </w:pP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2.</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服务团队固定且不少于</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5</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人的律师顾问团队</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的</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（不含实习律师、律师助理）得</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2分</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3至4人</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（不含实习律师、律师助理）</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得1分。</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未达条件</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为无效报价</w:t>
            </w:r>
          </w:p>
        </w:tc>
      </w:tr>
      <w:tr w14:paraId="34F33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5" w:hRule="atLeast"/>
        </w:trPr>
        <w:tc>
          <w:tcPr>
            <w:tcW w:w="421" w:type="dxa"/>
            <w:vMerge w:val="continue"/>
            <w:tcBorders>
              <w:right w:val="single" w:color="auto" w:sz="4" w:space="0"/>
            </w:tcBorders>
            <w:noWrap w:val="0"/>
            <w:vAlign w:val="center"/>
          </w:tcPr>
          <w:p w14:paraId="3F6FB52E">
            <w:pPr>
              <w:jc w:val="center"/>
              <w:rPr>
                <w:rFonts w:hint="eastAsia" w:ascii="楷体" w:hAnsi="楷体" w:eastAsia="楷体" w:cs="楷体"/>
                <w:b w:val="0"/>
                <w:bCs w:val="0"/>
                <w:color w:val="auto"/>
                <w:kern w:val="1"/>
                <w:szCs w:val="21"/>
                <w:highlight w:val="none"/>
              </w:rPr>
            </w:pPr>
          </w:p>
        </w:tc>
        <w:tc>
          <w:tcPr>
            <w:tcW w:w="1061" w:type="dxa"/>
            <w:vMerge w:val="continue"/>
            <w:tcBorders>
              <w:left w:val="single" w:color="auto" w:sz="4" w:space="0"/>
              <w:right w:val="single" w:color="auto" w:sz="4" w:space="0"/>
            </w:tcBorders>
            <w:noWrap w:val="0"/>
            <w:vAlign w:val="center"/>
          </w:tcPr>
          <w:p w14:paraId="08CA36FA">
            <w:pPr>
              <w:jc w:val="center"/>
              <w:rPr>
                <w:rFonts w:hint="eastAsia" w:ascii="楷体" w:hAnsi="楷体" w:eastAsia="楷体" w:cs="楷体"/>
                <w:b w:val="0"/>
                <w:bCs w:val="0"/>
                <w:color w:val="auto"/>
                <w:kern w:val="1"/>
                <w:sz w:val="21"/>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F9BDA13">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lang w:val="en-US" w:eastAsia="zh-CN"/>
              </w:rPr>
              <w:t>服务团队</w:t>
            </w:r>
            <w:r>
              <w:rPr>
                <w:rFonts w:hint="eastAsia" w:ascii="楷体" w:hAnsi="楷体" w:eastAsia="楷体" w:cs="楷体"/>
                <w:b w:val="0"/>
                <w:bCs w:val="0"/>
                <w:color w:val="auto"/>
                <w:kern w:val="1"/>
                <w:sz w:val="21"/>
                <w:szCs w:val="21"/>
                <w:highlight w:val="none"/>
              </w:rPr>
              <w:t>服务业绩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187F618">
            <w:pPr>
              <w:jc w:val="center"/>
              <w:rPr>
                <w:rFonts w:hint="default"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20</w:t>
            </w:r>
          </w:p>
        </w:tc>
        <w:tc>
          <w:tcPr>
            <w:tcW w:w="4530" w:type="dxa"/>
            <w:tcBorders>
              <w:top w:val="single" w:color="auto" w:sz="4" w:space="0"/>
              <w:left w:val="single" w:color="auto" w:sz="4" w:space="0"/>
              <w:bottom w:val="single" w:color="auto" w:sz="4" w:space="0"/>
            </w:tcBorders>
            <w:noWrap w:val="0"/>
            <w:vAlign w:val="center"/>
          </w:tcPr>
          <w:p w14:paraId="5352D189">
            <w:pPr>
              <w:pStyle w:val="6"/>
              <w:ind w:left="0" w:leftChars="0" w:firstLine="0" w:firstLineChars="0"/>
              <w:rPr>
                <w:rFonts w:hint="default" w:eastAsia="楷体"/>
                <w:color w:val="auto"/>
                <w:highlight w:val="none"/>
                <w:lang w:val="en-US" w:eastAsia="zh-CN"/>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服务团队有为国企提供企业/政府部门提供诉讼或执行法律服务标的金额1000万（含1000万）以上的，每增加一例得4分，最高不超过20分。</w:t>
            </w:r>
          </w:p>
        </w:tc>
      </w:tr>
      <w:tr w14:paraId="21D8A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trPr>
        <w:tc>
          <w:tcPr>
            <w:tcW w:w="3312" w:type="dxa"/>
            <w:gridSpan w:val="3"/>
            <w:tcBorders>
              <w:top w:val="single" w:color="auto" w:sz="4" w:space="0"/>
              <w:right w:val="single" w:color="auto" w:sz="4" w:space="0"/>
            </w:tcBorders>
            <w:noWrap w:val="0"/>
            <w:vAlign w:val="center"/>
          </w:tcPr>
          <w:p w14:paraId="452E5567">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合计</w:t>
            </w:r>
          </w:p>
        </w:tc>
        <w:tc>
          <w:tcPr>
            <w:tcW w:w="5210" w:type="dxa"/>
            <w:gridSpan w:val="2"/>
            <w:tcBorders>
              <w:top w:val="single" w:color="auto" w:sz="4" w:space="0"/>
              <w:left w:val="single" w:color="auto" w:sz="4" w:space="0"/>
            </w:tcBorders>
            <w:noWrap w:val="0"/>
            <w:vAlign w:val="center"/>
          </w:tcPr>
          <w:p w14:paraId="4786E335">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100分</w:t>
            </w:r>
          </w:p>
        </w:tc>
      </w:tr>
    </w:tbl>
    <w:p w14:paraId="2BD9CE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楷体" w:hAnsi="楷体" w:eastAsia="楷体" w:cs="楷体"/>
          <w:b w:val="0"/>
          <w:bCs w:val="0"/>
          <w:color w:val="auto"/>
          <w:kern w:val="1"/>
          <w:sz w:val="21"/>
          <w:szCs w:val="21"/>
          <w:highlight w:val="none"/>
          <w:lang w:val="en-US" w:eastAsia="zh-CN" w:bidi="ar-SA"/>
        </w:rPr>
      </w:pPr>
      <w:r>
        <w:rPr>
          <w:rFonts w:hint="eastAsia" w:ascii="楷体" w:hAnsi="楷体" w:eastAsia="楷体" w:cs="楷体"/>
          <w:b w:val="0"/>
          <w:bCs w:val="0"/>
          <w:color w:val="auto"/>
          <w:kern w:val="1"/>
          <w:sz w:val="21"/>
          <w:szCs w:val="21"/>
          <w:highlight w:val="none"/>
          <w:lang w:val="en-US" w:eastAsia="zh-CN" w:bidi="ar-SA"/>
        </w:rPr>
        <w:t>如总评分相同，</w:t>
      </w:r>
      <w:r>
        <w:rPr>
          <w:rFonts w:hint="eastAsia" w:ascii="楷体" w:hAnsi="楷体" w:eastAsia="楷体" w:cs="楷体"/>
          <w:b w:val="0"/>
          <w:bCs w:val="0"/>
          <w:color w:val="auto"/>
          <w:kern w:val="1"/>
          <w:sz w:val="21"/>
          <w:szCs w:val="21"/>
          <w:highlight w:val="none"/>
          <w:lang w:val="zh-CN" w:eastAsia="zh-CN" w:bidi="ar-SA"/>
        </w:rPr>
        <w:t>按</w:t>
      </w:r>
      <w:r>
        <w:rPr>
          <w:rFonts w:hint="eastAsia" w:ascii="楷体" w:hAnsi="楷体" w:eastAsia="楷体" w:cs="楷体"/>
          <w:b w:val="0"/>
          <w:bCs w:val="0"/>
          <w:color w:val="auto"/>
          <w:kern w:val="1"/>
          <w:sz w:val="21"/>
          <w:szCs w:val="21"/>
          <w:highlight w:val="none"/>
          <w:lang w:val="en-US" w:eastAsia="zh-CN" w:bidi="ar-SA"/>
        </w:rPr>
        <w:t>比选报价评分</w:t>
      </w:r>
      <w:r>
        <w:rPr>
          <w:rFonts w:hint="eastAsia" w:ascii="楷体" w:hAnsi="楷体" w:eastAsia="楷体" w:cs="楷体"/>
          <w:b w:val="0"/>
          <w:bCs w:val="0"/>
          <w:color w:val="auto"/>
          <w:kern w:val="1"/>
          <w:sz w:val="21"/>
          <w:szCs w:val="21"/>
          <w:highlight w:val="none"/>
          <w:lang w:val="zh-CN" w:eastAsia="zh-CN" w:bidi="ar-SA"/>
        </w:rPr>
        <w:t>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评分相同的，按</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评分均相同的，按</w:t>
      </w:r>
      <w:r>
        <w:rPr>
          <w:rFonts w:hint="eastAsia" w:ascii="楷体" w:hAnsi="楷体" w:eastAsia="楷体" w:cs="楷体"/>
          <w:b w:val="0"/>
          <w:bCs w:val="0"/>
          <w:color w:val="auto"/>
          <w:kern w:val="1"/>
          <w:sz w:val="21"/>
          <w:szCs w:val="21"/>
          <w:highlight w:val="none"/>
          <w:lang w:val="en-US" w:eastAsia="zh-CN" w:bidi="ar-SA"/>
        </w:rPr>
        <w:t>团队服务</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服务方案、团队服务</w:t>
      </w:r>
      <w:r>
        <w:rPr>
          <w:rFonts w:hint="eastAsia" w:ascii="楷体" w:hAnsi="楷体" w:eastAsia="楷体" w:cs="楷体"/>
          <w:b w:val="0"/>
          <w:bCs w:val="0"/>
          <w:color w:val="auto"/>
          <w:kern w:val="1"/>
          <w:sz w:val="21"/>
          <w:szCs w:val="21"/>
          <w:highlight w:val="none"/>
          <w:lang w:val="zh-CN" w:eastAsia="zh-CN" w:bidi="ar-SA"/>
        </w:rPr>
        <w:t>评分均相同的，按</w:t>
      </w:r>
      <w:r>
        <w:rPr>
          <w:rFonts w:hint="eastAsia" w:ascii="楷体" w:hAnsi="楷体" w:eastAsia="楷体" w:cs="楷体"/>
          <w:b w:val="0"/>
          <w:bCs w:val="0"/>
          <w:color w:val="auto"/>
          <w:kern w:val="1"/>
          <w:sz w:val="21"/>
          <w:szCs w:val="21"/>
          <w:highlight w:val="none"/>
          <w:lang w:val="en-US" w:eastAsia="zh-CN" w:bidi="ar-SA"/>
        </w:rPr>
        <w:t>履约能力</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团队服务、履约能力</w:t>
      </w:r>
      <w:r>
        <w:rPr>
          <w:rFonts w:hint="eastAsia" w:ascii="楷体" w:hAnsi="楷体" w:eastAsia="楷体" w:cs="楷体"/>
          <w:b w:val="0"/>
          <w:bCs w:val="0"/>
          <w:color w:val="auto"/>
          <w:kern w:val="1"/>
          <w:sz w:val="21"/>
          <w:szCs w:val="21"/>
          <w:highlight w:val="none"/>
          <w:lang w:val="zh-CN" w:eastAsia="zh-CN" w:bidi="ar-SA"/>
        </w:rPr>
        <w:t>评分均相同，名次由评审组抽签决定，评审组按上述排列顺序向比选人推荐1-3名中选候选人</w:t>
      </w:r>
      <w:r>
        <w:rPr>
          <w:rFonts w:hint="eastAsia" w:ascii="楷体" w:hAnsi="楷体" w:eastAsia="楷体" w:cs="楷体"/>
          <w:b w:val="0"/>
          <w:bCs w:val="0"/>
          <w:color w:val="auto"/>
          <w:kern w:val="1"/>
          <w:sz w:val="21"/>
          <w:szCs w:val="21"/>
          <w:highlight w:val="none"/>
          <w:lang w:val="en-US" w:eastAsia="zh-CN" w:bidi="ar-SA"/>
        </w:rPr>
        <w:t>。文件所指近3年为2022年1月1日至比选文件递交截止日。</w:t>
      </w:r>
    </w:p>
    <w:p w14:paraId="275132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202822A7">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782AEC4C">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3DBF2341">
      <w:pPr>
        <w:spacing w:line="400" w:lineRule="exact"/>
        <w:ind w:firstLine="643" w:firstLineChars="200"/>
        <w:jc w:val="center"/>
        <w:rPr>
          <w:rFonts w:ascii="Times New Roman" w:hAnsi="Times New Roman" w:eastAsia="仿宋" w:cs="Times New Roman"/>
          <w:b/>
          <w:color w:val="auto"/>
          <w:kern w:val="0"/>
          <w:sz w:val="32"/>
          <w:szCs w:val="32"/>
          <w:highlight w:val="none"/>
        </w:rPr>
      </w:pPr>
    </w:p>
    <w:bookmarkEnd w:id="414"/>
    <w:bookmarkEnd w:id="415"/>
    <w:p w14:paraId="4DBC5773">
      <w:pPr>
        <w:keepNext/>
        <w:keepLines/>
        <w:widowControl w:val="0"/>
        <w:spacing w:before="0" w:after="156" w:afterLines="50" w:line="460" w:lineRule="exact"/>
        <w:jc w:val="center"/>
        <w:outlineLvl w:val="0"/>
        <w:rPr>
          <w:rFonts w:hint="eastAsia" w:ascii="仿宋_GB2312" w:hAnsi="仿宋_GB2312" w:eastAsia="仿宋_GB2312" w:cs="仿宋_GB2312"/>
          <w:b/>
          <w:bCs/>
          <w:color w:val="auto"/>
          <w:kern w:val="44"/>
          <w:sz w:val="32"/>
          <w:szCs w:val="32"/>
          <w:highlight w:val="none"/>
          <w:lang w:val="zh-CN" w:eastAsia="zh-CN" w:bidi="ar-SA"/>
        </w:rPr>
      </w:pPr>
      <w:bookmarkStart w:id="416" w:name="_Toc29145"/>
      <w:bookmarkStart w:id="417" w:name="_Toc5104"/>
      <w:bookmarkStart w:id="418" w:name="_Toc23657"/>
    </w:p>
    <w:p w14:paraId="576753C9">
      <w:pPr>
        <w:keepNext/>
        <w:keepLines/>
        <w:widowControl w:val="0"/>
        <w:spacing w:before="0" w:after="156" w:afterLines="50" w:line="460" w:lineRule="exact"/>
        <w:jc w:val="center"/>
        <w:outlineLvl w:val="0"/>
        <w:rPr>
          <w:rFonts w:hint="eastAsia" w:ascii="仿宋_GB2312" w:hAnsi="仿宋_GB2312" w:eastAsia="仿宋_GB2312" w:cs="仿宋_GB2312"/>
          <w:b/>
          <w:bCs/>
          <w:color w:val="auto"/>
          <w:kern w:val="44"/>
          <w:sz w:val="32"/>
          <w:szCs w:val="32"/>
          <w:highlight w:val="none"/>
          <w:lang w:val="zh-CN" w:eastAsia="zh-CN" w:bidi="ar-SA"/>
        </w:rPr>
      </w:pPr>
    </w:p>
    <w:p w14:paraId="3A425E83">
      <w:pPr>
        <w:keepNext/>
        <w:keepLines/>
        <w:widowControl w:val="0"/>
        <w:spacing w:before="0" w:after="156" w:afterLines="50" w:line="460" w:lineRule="exact"/>
        <w:ind w:left="4469" w:leftChars="2128" w:firstLine="3534" w:firstLineChars="1100"/>
        <w:jc w:val="center"/>
        <w:outlineLvl w:val="0"/>
        <w:rPr>
          <w:rFonts w:hint="eastAsia" w:ascii="仿宋_GB2312" w:hAnsi="仿宋_GB2312" w:eastAsia="仿宋_GB2312" w:cs="仿宋_GB2312"/>
          <w:b/>
          <w:bCs/>
          <w:color w:val="auto"/>
          <w:kern w:val="44"/>
          <w:sz w:val="32"/>
          <w:szCs w:val="32"/>
          <w:highlight w:val="none"/>
          <w:lang w:val="zh-CN" w:eastAsia="zh-CN" w:bidi="ar-SA"/>
        </w:rPr>
      </w:pPr>
    </w:p>
    <w:p w14:paraId="456CFDBD">
      <w:pPr>
        <w:keepNext/>
        <w:keepLines/>
        <w:widowControl w:val="0"/>
        <w:spacing w:before="0" w:after="156" w:afterLines="50" w:line="460" w:lineRule="exact"/>
        <w:jc w:val="center"/>
        <w:outlineLvl w:val="0"/>
        <w:rPr>
          <w:rFonts w:ascii="仿宋_GB2312" w:hAnsi="仿宋_GB2312" w:eastAsia="仿宋_GB2312" w:cs="仿宋_GB2312"/>
          <w:b/>
          <w:bCs/>
          <w:color w:val="auto"/>
          <w:kern w:val="0"/>
          <w:sz w:val="32"/>
          <w:szCs w:val="32"/>
          <w:highlight w:val="none"/>
          <w:lang w:val="zh-CN" w:eastAsia="zh-CN" w:bidi="ar-SA"/>
        </w:rPr>
      </w:pPr>
      <w:r>
        <w:rPr>
          <w:rFonts w:hint="eastAsia" w:ascii="仿宋_GB2312" w:hAnsi="仿宋_GB2312" w:eastAsia="仿宋_GB2312" w:cs="仿宋_GB2312"/>
          <w:b/>
          <w:bCs/>
          <w:color w:val="auto"/>
          <w:kern w:val="44"/>
          <w:sz w:val="32"/>
          <w:szCs w:val="32"/>
          <w:highlight w:val="none"/>
          <w:lang w:val="zh-CN" w:eastAsia="zh-CN" w:bidi="ar-SA"/>
        </w:rPr>
        <w:t xml:space="preserve">第七章 </w:t>
      </w:r>
      <w:r>
        <w:rPr>
          <w:rFonts w:hint="eastAsia" w:ascii="仿宋_GB2312" w:hAnsi="仿宋_GB2312" w:eastAsia="仿宋_GB2312" w:cs="仿宋_GB2312"/>
          <w:b/>
          <w:bCs/>
          <w:color w:val="auto"/>
          <w:kern w:val="44"/>
          <w:sz w:val="32"/>
          <w:szCs w:val="32"/>
          <w:highlight w:val="none"/>
          <w:lang w:val="en-US" w:eastAsia="zh-CN" w:bidi="ar-SA"/>
        </w:rPr>
        <w:t>主要</w:t>
      </w:r>
      <w:r>
        <w:rPr>
          <w:rFonts w:hint="eastAsia" w:ascii="仿宋_GB2312" w:hAnsi="仿宋_GB2312" w:eastAsia="仿宋_GB2312" w:cs="仿宋_GB2312"/>
          <w:b/>
          <w:bCs/>
          <w:color w:val="auto"/>
          <w:kern w:val="44"/>
          <w:sz w:val="32"/>
          <w:szCs w:val="32"/>
          <w:highlight w:val="none"/>
          <w:lang w:val="zh-CN" w:eastAsia="zh-CN" w:bidi="ar-SA"/>
        </w:rPr>
        <w:t>合同条款（草案）</w:t>
      </w:r>
    </w:p>
    <w:p w14:paraId="03D5795B">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合同编号：</w:t>
      </w:r>
    </w:p>
    <w:p w14:paraId="38BE73B6">
      <w:pPr>
        <w:spacing w:line="460" w:lineRule="exact"/>
        <w:ind w:firstLine="480" w:firstLineChars="200"/>
        <w:jc w:val="center"/>
        <w:rPr>
          <w:rFonts w:ascii="仿宋_GB2312" w:hAnsi="仿宋_GB2312" w:eastAsia="仿宋_GB2312" w:cs="仿宋_GB2312"/>
          <w:color w:val="auto"/>
          <w:sz w:val="24"/>
          <w:highlight w:val="none"/>
        </w:rPr>
      </w:pPr>
    </w:p>
    <w:p w14:paraId="482CFC9F">
      <w:pPr>
        <w:spacing w:before="156" w:beforeLines="50" w:line="360" w:lineRule="exact"/>
        <w:ind w:firstLine="422" w:firstLineChars="200"/>
        <w:rPr>
          <w:rFonts w:ascii="Times" w:hAnsi="Times" w:eastAsia="楷体"/>
          <w:color w:val="auto"/>
          <w:highlight w:val="none"/>
        </w:rPr>
      </w:pPr>
      <w:r>
        <w:rPr>
          <w:rFonts w:ascii="Times" w:hAnsi="Times" w:eastAsia="楷体"/>
          <w:b/>
          <w:color w:val="auto"/>
          <w:highlight w:val="none"/>
        </w:rPr>
        <w:t>委托人</w:t>
      </w:r>
      <w:r>
        <w:rPr>
          <w:rFonts w:ascii="Times" w:hAnsi="Times" w:eastAsia="楷体"/>
          <w:color w:val="auto"/>
          <w:highlight w:val="none"/>
        </w:rPr>
        <w:t>（以下简称</w:t>
      </w:r>
      <w:r>
        <w:rPr>
          <w:rFonts w:ascii="楷体" w:hAnsi="楷体" w:eastAsia="楷体"/>
          <w:color w:val="auto"/>
          <w:highlight w:val="none"/>
        </w:rPr>
        <w:t>甲方）：</w:t>
      </w:r>
      <w:r>
        <w:rPr>
          <w:rFonts w:hint="eastAsia" w:ascii="楷体" w:hAnsi="楷体" w:eastAsia="楷体"/>
          <w:color w:val="auto"/>
          <w:highlight w:val="none"/>
          <w:lang w:val="en-US" w:eastAsia="zh-CN"/>
        </w:rPr>
        <w:t>xx</w:t>
      </w:r>
      <w:r>
        <w:rPr>
          <w:rFonts w:hint="eastAsia" w:ascii="楷体" w:hAnsi="楷体" w:eastAsia="楷体" w:cs="楷体"/>
          <w:color w:val="auto"/>
          <w:highlight w:val="none"/>
          <w:lang w:val="en-US" w:eastAsia="zh-CN"/>
        </w:rPr>
        <w:t>有限公司</w:t>
      </w:r>
    </w:p>
    <w:p w14:paraId="7252CBE0">
      <w:pPr>
        <w:spacing w:before="156" w:beforeLines="50" w:line="360" w:lineRule="exact"/>
        <w:ind w:left="1547" w:leftChars="229" w:hanging="1066" w:hangingChars="508"/>
        <w:rPr>
          <w:rFonts w:hint="eastAsia" w:ascii="楷体" w:hAnsi="楷体" w:eastAsia="楷体" w:cs="楷体"/>
          <w:color w:val="auto"/>
          <w:highlight w:val="none"/>
        </w:rPr>
      </w:pPr>
      <w:r>
        <w:rPr>
          <w:rFonts w:hint="eastAsia" w:ascii="楷体" w:hAnsi="楷体" w:eastAsia="楷体" w:cs="楷体"/>
          <w:color w:val="auto"/>
          <w:highlight w:val="none"/>
        </w:rPr>
        <w:t>法定地址：</w:t>
      </w:r>
    </w:p>
    <w:p w14:paraId="57CAEDC2">
      <w:pPr>
        <w:spacing w:before="156" w:beforeLines="50" w:line="360" w:lineRule="exact"/>
        <w:ind w:left="1547" w:leftChars="229" w:hanging="1066" w:hangingChars="508"/>
        <w:rPr>
          <w:rFonts w:hint="eastAsia" w:ascii="楷体" w:hAnsi="楷体" w:eastAsia="楷体" w:cs="楷体"/>
          <w:color w:val="auto"/>
          <w:highlight w:val="none"/>
        </w:rPr>
      </w:pPr>
      <w:r>
        <w:rPr>
          <w:rFonts w:hint="eastAsia" w:ascii="楷体" w:hAnsi="楷体" w:eastAsia="楷体" w:cs="楷体"/>
          <w:color w:val="auto"/>
          <w:highlight w:val="none"/>
        </w:rPr>
        <w:t>联系电话：</w:t>
      </w:r>
    </w:p>
    <w:p w14:paraId="197159BF">
      <w:pPr>
        <w:spacing w:before="156" w:beforeLines="50" w:line="360" w:lineRule="exact"/>
        <w:ind w:firstLine="420" w:firstLineChars="200"/>
        <w:rPr>
          <w:rFonts w:ascii="Times" w:hAnsi="Times" w:eastAsia="楷体"/>
          <w:color w:val="auto"/>
          <w:highlight w:val="none"/>
        </w:rPr>
      </w:pPr>
    </w:p>
    <w:p w14:paraId="7FF4C834">
      <w:pPr>
        <w:spacing w:before="156" w:beforeLines="50" w:line="360" w:lineRule="exact"/>
        <w:ind w:left="3036" w:leftChars="230" w:hanging="2553" w:hangingChars="1211"/>
        <w:rPr>
          <w:rFonts w:ascii="Times" w:hAnsi="Times" w:eastAsia="楷体"/>
          <w:color w:val="auto"/>
          <w:highlight w:val="none"/>
        </w:rPr>
      </w:pPr>
      <w:r>
        <w:rPr>
          <w:rFonts w:ascii="Times" w:hAnsi="Times" w:eastAsia="楷体"/>
          <w:b/>
          <w:color w:val="auto"/>
          <w:highlight w:val="none"/>
        </w:rPr>
        <w:t>受托人</w:t>
      </w:r>
      <w:r>
        <w:rPr>
          <w:rFonts w:ascii="Times" w:hAnsi="Times" w:eastAsia="楷体"/>
          <w:color w:val="auto"/>
          <w:highlight w:val="none"/>
        </w:rPr>
        <w:t>（以下简称乙方）：</w:t>
      </w:r>
      <w:r>
        <w:rPr>
          <w:rFonts w:hint="eastAsia" w:ascii="Times" w:hAnsi="Times" w:eastAsia="楷体"/>
          <w:color w:val="auto"/>
          <w:highlight w:val="none"/>
          <w:lang w:val="en-US" w:eastAsia="zh-CN"/>
        </w:rPr>
        <w:t>xx</w:t>
      </w:r>
      <w:r>
        <w:rPr>
          <w:rFonts w:ascii="Times" w:hAnsi="Times" w:eastAsia="楷体"/>
          <w:color w:val="auto"/>
          <w:highlight w:val="none"/>
        </w:rPr>
        <w:t>律师事务所</w:t>
      </w:r>
    </w:p>
    <w:p w14:paraId="236C20FA">
      <w:pPr>
        <w:spacing w:before="156" w:beforeLines="50" w:line="360" w:lineRule="exact"/>
        <w:ind w:left="1547" w:leftChars="229" w:hanging="1066" w:hangingChars="508"/>
        <w:rPr>
          <w:rFonts w:ascii="Times" w:hAnsi="Times" w:eastAsia="楷体"/>
          <w:color w:val="auto"/>
          <w:highlight w:val="none"/>
        </w:rPr>
      </w:pPr>
      <w:r>
        <w:rPr>
          <w:rFonts w:ascii="Times" w:hAnsi="Times" w:eastAsia="楷体"/>
          <w:color w:val="auto"/>
          <w:highlight w:val="none"/>
        </w:rPr>
        <w:t>法定地址：</w:t>
      </w:r>
    </w:p>
    <w:p w14:paraId="5CF507E5">
      <w:pPr>
        <w:spacing w:before="156" w:beforeLines="50" w:line="360" w:lineRule="exact"/>
        <w:ind w:left="1547" w:leftChars="229" w:hanging="1066" w:hangingChars="508"/>
        <w:rPr>
          <w:rFonts w:ascii="Times" w:hAnsi="Times" w:eastAsia="楷体"/>
          <w:color w:val="auto"/>
          <w:highlight w:val="none"/>
        </w:rPr>
      </w:pPr>
      <w:r>
        <w:rPr>
          <w:rFonts w:ascii="Times" w:hAnsi="Times" w:eastAsia="楷体"/>
          <w:color w:val="auto"/>
          <w:highlight w:val="none"/>
        </w:rPr>
        <w:t>联系电话：</w:t>
      </w:r>
    </w:p>
    <w:p w14:paraId="76D26AE0">
      <w:pPr>
        <w:spacing w:before="156" w:beforeLines="50" w:line="360" w:lineRule="exact"/>
        <w:rPr>
          <w:rFonts w:ascii="Times" w:hAnsi="Times" w:eastAsia="楷体"/>
          <w:color w:val="auto"/>
          <w:highlight w:val="none"/>
        </w:rPr>
      </w:pPr>
    </w:p>
    <w:p w14:paraId="654B394C">
      <w:pPr>
        <w:spacing w:before="156" w:beforeLines="50" w:line="360" w:lineRule="exact"/>
        <w:ind w:firstLine="422" w:firstLineChars="200"/>
        <w:rPr>
          <w:rFonts w:ascii="Times" w:hAnsi="Times" w:eastAsia="楷体"/>
          <w:b/>
          <w:bCs/>
          <w:color w:val="auto"/>
          <w:highlight w:val="none"/>
          <w:u w:color="FFFFFF"/>
        </w:rPr>
      </w:pPr>
      <w:r>
        <w:rPr>
          <w:rFonts w:ascii="Times" w:hAnsi="Times" w:eastAsia="楷体"/>
          <w:b/>
          <w:bCs/>
          <w:color w:val="auto"/>
          <w:highlight w:val="none"/>
          <w:u w:color="FFFFFF"/>
        </w:rPr>
        <w:t>鉴于：</w:t>
      </w:r>
    </w:p>
    <w:p w14:paraId="259C6FB1">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olor w:val="auto"/>
          <w:highlight w:val="none"/>
          <w:u w:color="FFFFFF"/>
        </w:rPr>
        <w:t>甲方是</w:t>
      </w:r>
      <w:r>
        <w:rPr>
          <w:rFonts w:eastAsia="楷体"/>
          <w:color w:val="auto"/>
          <w:highlight w:val="none"/>
          <w:u w:color="FFFFFF"/>
        </w:rPr>
        <w:t>一家在中华人民共和国境内经合法注册、有效运营的公司</w:t>
      </w:r>
      <w:r>
        <w:rPr>
          <w:rFonts w:ascii="Times" w:hAnsi="Times" w:eastAsia="楷体"/>
          <w:color w:val="auto"/>
          <w:highlight w:val="none"/>
          <w:u w:color="FFFFFF"/>
        </w:rPr>
        <w:t>；</w:t>
      </w:r>
    </w:p>
    <w:p w14:paraId="1163F322">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olor w:val="auto"/>
          <w:highlight w:val="none"/>
          <w:u w:color="FFFFFF"/>
        </w:rPr>
        <w:t>乙方是一家在中华人民共和国境内经合法注册登记成立的提供律师法律服务的大型的特殊普通合伙制律师事务所；</w:t>
      </w:r>
    </w:p>
    <w:p w14:paraId="5AAB6049">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s="Times New Roman"/>
          <w:color w:val="auto"/>
          <w:highlight w:val="none"/>
          <w:u w:color="FFFFFF"/>
        </w:rPr>
        <w:t>甲方因与</w:t>
      </w:r>
      <w:r>
        <w:rPr>
          <w:rFonts w:hint="eastAsia" w:ascii="Times" w:hAnsi="Times" w:eastAsia="楷体" w:cs="Times New Roman"/>
          <w:color w:val="auto"/>
          <w:highlight w:val="none"/>
          <w:u w:val="single" w:color="auto"/>
          <w:lang w:val="en-US" w:eastAsia="zh-CN"/>
        </w:rPr>
        <w:t xml:space="preserve">  xxx 有限公司</w:t>
      </w:r>
      <w:r>
        <w:rPr>
          <w:rFonts w:hint="eastAsia" w:ascii="Times" w:hAnsi="Times" w:eastAsia="楷体" w:cs="Times New Roman"/>
          <w:color w:val="auto"/>
          <w:highlight w:val="none"/>
          <w:u w:val="none" w:color="auto"/>
          <w:lang w:val="en-US" w:eastAsia="zh-CN"/>
        </w:rPr>
        <w:t>买卖</w:t>
      </w:r>
      <w:r>
        <w:rPr>
          <w:rFonts w:hint="eastAsia" w:ascii="Times" w:hAnsi="Times" w:eastAsia="楷体" w:cs="Times New Roman"/>
          <w:color w:val="auto"/>
          <w:highlight w:val="none"/>
          <w:u w:color="FFFFFF"/>
        </w:rPr>
        <w:t>合同</w:t>
      </w:r>
      <w:r>
        <w:rPr>
          <w:rFonts w:ascii="Times" w:hAnsi="Times" w:eastAsia="楷体" w:cs="Times New Roman"/>
          <w:color w:val="auto"/>
          <w:highlight w:val="none"/>
          <w:u w:color="FFFFFF"/>
        </w:rPr>
        <w:t>纠纷一案拟在中华人民共和国境内聘请一家具有合法执业资格的律师事务所为甲方提供法律服</w:t>
      </w:r>
      <w:r>
        <w:rPr>
          <w:rFonts w:ascii="Times" w:hAnsi="Times" w:eastAsia="楷体"/>
          <w:color w:val="auto"/>
          <w:highlight w:val="none"/>
          <w:u w:color="FFFFFF"/>
        </w:rPr>
        <w:t>务。</w:t>
      </w:r>
    </w:p>
    <w:p w14:paraId="786D7F51">
      <w:pPr>
        <w:spacing w:before="156" w:beforeLines="50" w:line="360" w:lineRule="exact"/>
        <w:ind w:firstLine="420" w:firstLineChars="200"/>
        <w:jc w:val="both"/>
        <w:rPr>
          <w:rFonts w:ascii="Times" w:hAnsi="Times" w:eastAsia="楷体"/>
          <w:color w:val="auto"/>
          <w:highlight w:val="none"/>
        </w:rPr>
      </w:pPr>
      <w:r>
        <w:rPr>
          <w:rFonts w:ascii="Times" w:hAnsi="Times" w:eastAsia="楷体"/>
          <w:color w:val="auto"/>
          <w:highlight w:val="none"/>
        </w:rPr>
        <w:t>双方本着平等协商的原则，就合同有关条款达成一致，共同遵照执行。</w:t>
      </w:r>
    </w:p>
    <w:p w14:paraId="75547D47">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委托代理事项</w:t>
      </w:r>
    </w:p>
    <w:p w14:paraId="004C2F2B">
      <w:pPr>
        <w:spacing w:before="156" w:beforeLines="50" w:line="360" w:lineRule="exact"/>
        <w:ind w:firstLine="420" w:firstLineChars="200"/>
        <w:rPr>
          <w:rFonts w:ascii="Times" w:hAnsi="Times" w:eastAsia="楷体"/>
          <w:color w:val="auto"/>
          <w:highlight w:val="none"/>
        </w:rPr>
      </w:pPr>
      <w:r>
        <w:rPr>
          <w:rFonts w:ascii="Times" w:hAnsi="Times" w:eastAsia="楷体"/>
          <w:color w:val="auto"/>
          <w:highlight w:val="none"/>
        </w:rPr>
        <w:t>乙方接受甲方委托，并应甲方要求，乙方安排本所</w:t>
      </w:r>
      <w:r>
        <w:rPr>
          <w:rFonts w:ascii="Times" w:hAnsi="Times" w:eastAsia="Kaiti SC"/>
          <w:color w:val="auto"/>
          <w:highlight w:val="none"/>
          <w:u w:val="single"/>
        </w:rPr>
        <w:t xml:space="preserve"> </w:t>
      </w:r>
      <w:r>
        <w:rPr>
          <w:rFonts w:hint="eastAsia" w:ascii="Times" w:hAnsi="Times" w:eastAsia="Kaiti SC"/>
          <w:color w:val="auto"/>
          <w:highlight w:val="none"/>
          <w:u w:val="single"/>
          <w:lang w:val="en-US" w:eastAsia="zh-CN"/>
        </w:rPr>
        <w:t xml:space="preserve">   </w:t>
      </w:r>
      <w:r>
        <w:rPr>
          <w:rFonts w:ascii="Times" w:hAnsi="Times" w:eastAsia="Kaiti SC"/>
          <w:color w:val="auto"/>
          <w:highlight w:val="none"/>
          <w:u w:val="single"/>
        </w:rPr>
        <w:t xml:space="preserve"> </w:t>
      </w:r>
      <w:r>
        <w:rPr>
          <w:rFonts w:ascii="Times" w:hAnsi="Times" w:eastAsia="楷体"/>
          <w:color w:val="auto"/>
          <w:highlight w:val="none"/>
        </w:rPr>
        <w:t>律师担任本合同项下</w:t>
      </w:r>
      <w:r>
        <w:rPr>
          <w:rFonts w:hint="eastAsia" w:ascii="Times" w:hAnsi="Times" w:eastAsia="楷体"/>
          <w:color w:val="auto"/>
          <w:highlight w:val="none"/>
        </w:rPr>
        <w:t>甲方与</w:t>
      </w:r>
      <w:r>
        <w:rPr>
          <w:rFonts w:hint="eastAsia" w:ascii="Times" w:hAnsi="Times" w:eastAsia="楷体" w:cs="Times New Roman"/>
          <w:color w:val="auto"/>
          <w:highlight w:val="none"/>
          <w:u w:val="single" w:color="auto"/>
          <w:lang w:val="en-US" w:eastAsia="zh-CN"/>
        </w:rPr>
        <w:t>xxx有限公司</w:t>
      </w:r>
      <w:r>
        <w:rPr>
          <w:rFonts w:hint="eastAsia" w:ascii="Times" w:hAnsi="Times" w:eastAsia="楷体" w:cs="Times New Roman"/>
          <w:color w:val="auto"/>
          <w:highlight w:val="none"/>
          <w:u w:val="none" w:color="auto"/>
          <w:lang w:val="en-US" w:eastAsia="zh-CN"/>
        </w:rPr>
        <w:t>买卖合同</w:t>
      </w:r>
      <w:r>
        <w:rPr>
          <w:rFonts w:ascii="Times" w:hAnsi="Times" w:eastAsia="楷体"/>
          <w:color w:val="auto"/>
          <w:highlight w:val="none"/>
        </w:rPr>
        <w:t>纠纷案甲方的委托代理人。</w:t>
      </w:r>
    </w:p>
    <w:p w14:paraId="4B733458">
      <w:pPr>
        <w:spacing w:before="156" w:beforeLines="50" w:line="360" w:lineRule="exact"/>
        <w:ind w:firstLine="420" w:firstLineChars="20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Times" w:hAnsi="Times" w:eastAsia="楷体"/>
          <w:color w:val="auto"/>
          <w:highlight w:val="none"/>
        </w:rPr>
        <w:t>代理事项为：</w:t>
      </w:r>
      <w:r>
        <w:rPr>
          <w:rFonts w:hint="eastAsia" w:ascii="楷体" w:hAnsi="楷体" w:eastAsia="楷体" w:cs="楷体"/>
          <w:snapToGrid/>
          <w:color w:val="000000" w:themeColor="text1"/>
          <w:kern w:val="2"/>
          <w:sz w:val="21"/>
          <w:szCs w:val="21"/>
          <w:lang w:val="en-US" w:eastAsia="zh-CN" w:bidi="ar-SA"/>
          <w14:textFill>
            <w14:solidFill>
              <w14:schemeClr w14:val="tx1"/>
            </w14:solidFill>
          </w14:textFill>
        </w:rPr>
        <w:t>仲裁程序，申请撤销仲裁裁决程序(若有),强制执行程序(若有),不予执行仲裁裁决程序(若有),执行异议、复议程序(若有)</w:t>
      </w:r>
    </w:p>
    <w:p w14:paraId="49D0FFB3">
      <w:pPr>
        <w:numPr>
          <w:ilvl w:val="0"/>
          <w:numId w:val="4"/>
        </w:numPr>
        <w:spacing w:before="156" w:beforeLines="50" w:line="360" w:lineRule="exact"/>
        <w:rPr>
          <w:rFonts w:hint="eastAsia" w:ascii="楷体" w:hAnsi="楷体" w:eastAsia="楷体" w:cs="楷体"/>
          <w:color w:val="auto"/>
          <w:highlight w:val="none"/>
        </w:rPr>
      </w:pPr>
      <w:r>
        <w:rPr>
          <w:rFonts w:hint="eastAsia" w:ascii="楷体" w:hAnsi="楷体" w:eastAsia="楷体" w:cs="楷体"/>
          <w:color w:val="auto"/>
          <w:highlight w:val="none"/>
        </w:rPr>
        <w:t>委托代理权限</w:t>
      </w:r>
    </w:p>
    <w:p w14:paraId="0ACBE70D">
      <w:pPr>
        <w:spacing w:before="156" w:beforeLines="50" w:line="360" w:lineRule="exact"/>
        <w:ind w:firstLine="420" w:firstLineChars="200"/>
        <w:rPr>
          <w:rFonts w:ascii="Times" w:hAnsi="Times" w:eastAsia="楷体"/>
          <w:color w:val="auto"/>
          <w:highlight w:val="none"/>
        </w:rPr>
      </w:pPr>
      <w:r>
        <w:rPr>
          <w:rFonts w:ascii="Times" w:hAnsi="Times" w:eastAsia="楷体"/>
          <w:color w:val="auto"/>
          <w:highlight w:val="none"/>
        </w:rPr>
        <w:t>甲方授予乙方律师的代理权限为</w:t>
      </w:r>
      <w:r>
        <w:rPr>
          <w:rFonts w:ascii="Times" w:hAnsi="Times" w:eastAsia="Kaiti SC"/>
          <w:color w:val="auto"/>
          <w:highlight w:val="none"/>
          <w:u w:val="single"/>
        </w:rPr>
        <w:t xml:space="preserve"> </w:t>
      </w:r>
      <w:r>
        <w:rPr>
          <w:rFonts w:hint="eastAsia" w:ascii="Times" w:hAnsi="Times" w:eastAsia="Kaiti SC"/>
          <w:color w:val="auto"/>
          <w:highlight w:val="none"/>
          <w:u w:val="single"/>
          <w:lang w:val="en-US" w:eastAsia="zh-CN"/>
        </w:rPr>
        <w:t xml:space="preserve">  </w:t>
      </w:r>
      <w:r>
        <w:rPr>
          <w:rFonts w:ascii="Times" w:hAnsi="Times" w:eastAsia="Kaiti SC"/>
          <w:color w:val="auto"/>
          <w:highlight w:val="none"/>
          <w:u w:val="single"/>
        </w:rPr>
        <w:t xml:space="preserve"> </w:t>
      </w:r>
      <w:r>
        <w:rPr>
          <w:rFonts w:ascii="Times" w:hAnsi="Times" w:eastAsia="楷体"/>
          <w:color w:val="auto"/>
          <w:highlight w:val="none"/>
        </w:rPr>
        <w:t>代理（具体权限详见《授权委托书》）。在代理期间内如需变更代理权限，双方需另行协商。</w:t>
      </w:r>
    </w:p>
    <w:p w14:paraId="04F96C8B">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甲方的权利义务</w:t>
      </w:r>
    </w:p>
    <w:p w14:paraId="745CF156">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甲方有权要求乙方承办律师及时通报服务或案情进展情况，对乙方提供的法律服务有权提出意见或建议。</w:t>
      </w:r>
    </w:p>
    <w:p w14:paraId="2D0DBB03">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甲方有权拒绝乙方及承办律师提出的本委托合同约定之外的报酬、报销、补贴、津贴或者馈赠要求。</w:t>
      </w:r>
    </w:p>
    <w:p w14:paraId="713EA913">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甲方应当真实、详尽和及时地向乙方叙述案情，提供与委托代理事项有关的证据、文件及其他事实材料；并积极、主动地配合乙方律师的工作，甲方对乙方律师提出的要求应当明确合理。</w:t>
      </w:r>
    </w:p>
    <w:p w14:paraId="628B4A4A">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甲方应当按时、足额向乙方支付律师代理费和工作费用。</w:t>
      </w:r>
    </w:p>
    <w:p w14:paraId="097BE7DF">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甲方指定</w:t>
      </w:r>
      <w:r>
        <w:rPr>
          <w:rFonts w:ascii="Times" w:hAnsi="Times" w:eastAsia="Kaiti SC"/>
          <w:color w:val="auto"/>
          <w:highlight w:val="none"/>
          <w:u w:val="single"/>
        </w:rPr>
        <w:t xml:space="preserve">    </w:t>
      </w:r>
      <w:r>
        <w:rPr>
          <w:rFonts w:ascii="Times" w:hAnsi="Times" w:eastAsia="楷体"/>
          <w:color w:val="auto"/>
          <w:highlight w:val="none"/>
        </w:rPr>
        <w:t>为本案联系人（联系电话：</w:t>
      </w:r>
      <w:r>
        <w:rPr>
          <w:rFonts w:ascii="Times" w:hAnsi="Times" w:eastAsia="Kaiti SC"/>
          <w:color w:val="auto"/>
          <w:highlight w:val="none"/>
          <w:u w:val="single"/>
        </w:rPr>
        <w:t xml:space="preserve">    </w:t>
      </w:r>
      <w:r>
        <w:rPr>
          <w:rFonts w:ascii="Times" w:hAnsi="Times" w:eastAsia="楷体"/>
          <w:color w:val="auto"/>
          <w:highlight w:val="none"/>
        </w:rPr>
        <w:t>），负责转达甲方的指示和要求，提供文件和资料等，甲方更换联系人（或更换联系电话）应当及时通知乙方。</w:t>
      </w:r>
    </w:p>
    <w:p w14:paraId="5D380FDB">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甲方有责任对委托代理事项做出独立的判断、决策，甲方根据乙方律师提供的法律意见、建议、方案所做出的决定而导致的损失，非因乙方律师错误运用法律等失职行为造成的，由甲方自行承担责任。</w:t>
      </w:r>
    </w:p>
    <w:p w14:paraId="2BA21DDF">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乙方的权利义务</w:t>
      </w:r>
    </w:p>
    <w:p w14:paraId="6BB14691">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乙方指派人员应当以事实为依据，以法律为准绳，认真负责地维护甲方的合法权益，并按甲方要求及时通报案件进展情况，遇到重大决定，必须经过甲方的书面确认。</w:t>
      </w:r>
    </w:p>
    <w:p w14:paraId="01BC5D72">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乙方律师应当以其依据法律做出的判断，向甲方进行法律风险提示，尽最大努力维护甲方利益。</w:t>
      </w:r>
    </w:p>
    <w:p w14:paraId="0BA9F6E4">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乙方律师对其获知的甲方的商业机密或者甲方的个人隐私负有保密责任，非由法律规定或甲方同意，不得向任何第三方披露。</w:t>
      </w:r>
    </w:p>
    <w:p w14:paraId="191866C9">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乙方如发现甲方有捏造事实、隐瞒事实真相或提供虚假证据等行为的，乙方有权解除本合同终止委托关系，已收取的律师服务费不予退还。</w:t>
      </w:r>
    </w:p>
    <w:p w14:paraId="6F048E20">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乙方律师不得违反《律师执业规范》，在涉及甲方的对抗性案件中，未经甲方同意，不得同时担任与甲方具有法律上利益冲突的另一方的委托代理人。</w:t>
      </w:r>
    </w:p>
    <w:p w14:paraId="3849035B">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szCs w:val="28"/>
          <w:highlight w:val="none"/>
          <w:u w:color="FFFFFF"/>
        </w:rPr>
        <w:t>如乙方在代理过程中因重大过失或者故意给甲方造成损失的，乙方应当按照《合伙企业法》第57条、《律师法》第15条、《律师事务所管理办法》第53条规定承担赔偿责任。</w:t>
      </w:r>
    </w:p>
    <w:p w14:paraId="3945AB82">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文件传递</w:t>
      </w:r>
    </w:p>
    <w:p w14:paraId="0999631C">
      <w:pPr>
        <w:numPr>
          <w:ilvl w:val="0"/>
          <w:numId w:val="7"/>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乙双方共同确认：甲方向乙方律师提交证据材料时，只能提交证据复印件或复制件，证据原件或底稿由甲方自行妥善保管，否则因证据原件遗失而造成的损失不由乙方承担。若乙方承办律师因案情需要必须借用证据原件或底稿，应当由乙方代理律师书面出具借条，并在借条上注明归还时间。</w:t>
      </w:r>
    </w:p>
    <w:p w14:paraId="2A2FF7E8">
      <w:pPr>
        <w:numPr>
          <w:ilvl w:val="0"/>
          <w:numId w:val="7"/>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双方文件往来应当严格执行签收制度，因文件缺失导致的不利后果将根据签收记录确定双方责任。</w:t>
      </w:r>
    </w:p>
    <w:p w14:paraId="15FEA7EA">
      <w:pPr>
        <w:numPr>
          <w:ilvl w:val="0"/>
          <w:numId w:val="4"/>
        </w:numPr>
        <w:spacing w:before="156" w:beforeLines="50" w:line="360" w:lineRule="exact"/>
        <w:rPr>
          <w:rFonts w:ascii="Times" w:hAnsi="Times" w:eastAsia="楷体"/>
          <w:color w:val="auto"/>
          <w:highlight w:val="none"/>
        </w:rPr>
      </w:pPr>
      <w:r>
        <w:rPr>
          <w:rFonts w:hint="eastAsia" w:ascii="Times" w:hAnsi="Times" w:eastAsia="楷体"/>
          <w:color w:val="auto"/>
          <w:highlight w:val="none"/>
          <w:lang w:val="en-US" w:eastAsia="zh-CN"/>
        </w:rPr>
        <w:t>代理费</w:t>
      </w:r>
      <w:r>
        <w:rPr>
          <w:rFonts w:ascii="Times" w:hAnsi="Times" w:eastAsia="楷体"/>
          <w:color w:val="auto"/>
          <w:highlight w:val="none"/>
        </w:rPr>
        <w:t>及其他费用</w:t>
      </w:r>
    </w:p>
    <w:p w14:paraId="447A72EC">
      <w:pPr>
        <w:spacing w:before="156" w:beforeLines="50" w:line="360" w:lineRule="exact"/>
        <w:ind w:firstLine="420" w:firstLineChars="200"/>
        <w:rPr>
          <w:rFonts w:ascii="Times" w:hAnsi="Times" w:eastAsia="楷体"/>
          <w:color w:val="auto"/>
          <w:szCs w:val="21"/>
          <w:highlight w:val="none"/>
        </w:rPr>
      </w:pPr>
      <w:r>
        <w:rPr>
          <w:rFonts w:ascii="Times" w:hAnsi="Times" w:eastAsia="楷体"/>
          <w:color w:val="auto"/>
          <w:szCs w:val="21"/>
          <w:highlight w:val="none"/>
        </w:rPr>
        <w:t>双方经充分协商，一致同意按如下方式计付代理费：</w:t>
      </w:r>
    </w:p>
    <w:p w14:paraId="5A597F16">
      <w:pPr>
        <w:numPr>
          <w:ilvl w:val="0"/>
          <w:numId w:val="8"/>
        </w:numPr>
        <w:spacing w:before="156" w:beforeLines="50" w:line="360" w:lineRule="exact"/>
        <w:rPr>
          <w:rFonts w:ascii="Times" w:hAnsi="Times" w:eastAsia="楷体"/>
          <w:color w:val="auto"/>
          <w:highlight w:val="none"/>
        </w:rPr>
      </w:pPr>
      <w:r>
        <w:rPr>
          <w:rFonts w:hint="eastAsia" w:ascii="Times" w:hAnsi="Times" w:eastAsia="楷体"/>
          <w:color w:val="auto"/>
          <w:highlight w:val="none"/>
          <w:lang w:val="en-US" w:eastAsia="zh-CN"/>
        </w:rPr>
        <w:t>代理费：</w:t>
      </w:r>
    </w:p>
    <w:p w14:paraId="184925C4">
      <w:pPr>
        <w:spacing w:before="156" w:beforeLines="50" w:line="360" w:lineRule="exact"/>
        <w:jc w:val="both"/>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 xml:space="preserve">     基础费用：</w:t>
      </w:r>
    </w:p>
    <w:p w14:paraId="429C3567">
      <w:pPr>
        <w:spacing w:before="156" w:beforeLines="50" w:line="360" w:lineRule="exact"/>
        <w:jc w:val="both"/>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 xml:space="preserve">     风险费用：</w:t>
      </w:r>
    </w:p>
    <w:p w14:paraId="33317936">
      <w:pPr>
        <w:spacing w:before="156" w:beforeLines="50" w:line="360" w:lineRule="exact"/>
        <w:ind w:firstLine="420" w:firstLineChars="200"/>
        <w:jc w:val="both"/>
        <w:rPr>
          <w:rFonts w:hint="default" w:ascii="楷体" w:hAnsi="楷体" w:eastAsia="楷体" w:cs="楷体"/>
          <w:color w:val="000000" w:themeColor="text1"/>
          <w:highlight w:val="none"/>
          <w:u w:val="single"/>
          <w:lang w:val="en-US"/>
          <w14:textFill>
            <w14:solidFill>
              <w14:schemeClr w14:val="tx1"/>
            </w14:solidFill>
          </w14:textFill>
        </w:rPr>
      </w:pPr>
      <w:r>
        <w:rPr>
          <w:rFonts w:hint="eastAsia" w:ascii="楷体" w:hAnsi="楷体" w:eastAsia="楷体" w:cs="楷体"/>
          <w:color w:val="auto"/>
          <w:highlight w:val="none"/>
        </w:rPr>
        <w:t xml:space="preserve"> </w:t>
      </w:r>
      <w:r>
        <w:rPr>
          <w:rFonts w:hint="eastAsia" w:ascii="楷体" w:hAnsi="楷体" w:eastAsia="楷体" w:cs="楷体"/>
          <w:color w:val="000000" w:themeColor="text1"/>
          <w:highlight w:val="none"/>
          <w:lang w:val="en-US" w:eastAsia="zh-CN"/>
          <w14:textFill>
            <w14:solidFill>
              <w14:schemeClr w14:val="tx1"/>
            </w14:solidFill>
          </w14:textFill>
        </w:rPr>
        <w:t>以上为含税费用，包括但不限</w:t>
      </w:r>
      <w:r>
        <w:rPr>
          <w:rFonts w:hint="eastAsia" w:ascii="楷体" w:hAnsi="楷体" w:eastAsia="楷体" w:cs="楷体"/>
          <w:color w:val="000000" w:themeColor="text1"/>
          <w:highlight w:val="none"/>
          <w:u w:val="none"/>
          <w:lang w:val="en-US" w:eastAsia="zh-CN"/>
          <w14:textFill>
            <w14:solidFill>
              <w14:schemeClr w14:val="tx1"/>
            </w14:solidFill>
          </w14:textFill>
        </w:rPr>
        <w:t>于强制执行、执行异议（若有）、执行复议（若有）、执行异议之诉（若有）等执行阶段或者诉讼阶段的全部代理费用，差旅费（如有），</w:t>
      </w:r>
      <w:r>
        <w:rPr>
          <w:rFonts w:hint="eastAsia" w:ascii="楷体" w:hAnsi="楷体" w:eastAsia="楷体" w:cs="楷体"/>
          <w:color w:val="000000" w:themeColor="text1"/>
          <w:highlight w:val="none"/>
          <w:lang w:val="en-US" w:eastAsia="zh-CN"/>
          <w14:textFill>
            <w14:solidFill>
              <w14:schemeClr w14:val="tx1"/>
            </w14:solidFill>
          </w14:textFill>
        </w:rPr>
        <w:t>不包含案件办理过程中涉及的诉讼费、保全费、鉴定费、公告费等第三方收取的相关费用；基础代理费由签订合同且甲方收到乙方发票后1</w:t>
      </w:r>
      <w:r>
        <w:rPr>
          <w:rFonts w:hint="eastAsia" w:ascii="楷体" w:hAnsi="楷体" w:eastAsia="楷体" w:cs="楷体"/>
          <w:color w:val="000000" w:themeColor="text1"/>
          <w:highlight w:val="none"/>
          <w:u w:val="single"/>
          <w:lang w:val="en-US" w:eastAsia="zh-CN"/>
          <w14:textFill>
            <w14:solidFill>
              <w14:schemeClr w14:val="tx1"/>
            </w14:solidFill>
          </w14:textFill>
        </w:rPr>
        <w:t>5个工作日</w:t>
      </w:r>
      <w:r>
        <w:rPr>
          <w:rFonts w:hint="eastAsia" w:ascii="楷体" w:hAnsi="楷体" w:eastAsia="楷体" w:cs="楷体"/>
          <w:color w:val="000000" w:themeColor="text1"/>
          <w:highlight w:val="none"/>
          <w:u w:val="none"/>
          <w:lang w:val="en-US" w:eastAsia="zh-CN"/>
          <w14:textFill>
            <w14:solidFill>
              <w14:schemeClr w14:val="tx1"/>
            </w14:solidFill>
          </w14:textFill>
        </w:rPr>
        <w:t>支付</w:t>
      </w:r>
      <w:r>
        <w:rPr>
          <w:rFonts w:hint="eastAsia" w:ascii="楷体" w:hAnsi="楷体" w:eastAsia="楷体" w:cs="楷体"/>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highlight w:val="none"/>
          <w:u w:val="none"/>
          <w:lang w:val="en-US" w:eastAsia="zh-CN"/>
          <w14:textFill>
            <w14:solidFill>
              <w14:schemeClr w14:val="tx1"/>
            </w14:solidFill>
          </w14:textFill>
        </w:rPr>
        <w:t>%。风险代理以甲方收到乙方发票后</w:t>
      </w:r>
      <w:r>
        <w:rPr>
          <w:rFonts w:hint="eastAsia" w:ascii="楷体" w:hAnsi="楷体" w:eastAsia="楷体" w:cs="楷体"/>
          <w:strike w:val="0"/>
          <w:dstrike w:val="0"/>
          <w:color w:val="000000" w:themeColor="text1"/>
          <w:highlight w:val="none"/>
          <w:u w:val="single"/>
          <w:lang w:val="en-US" w:eastAsia="zh-CN"/>
          <w14:textFill>
            <w14:solidFill>
              <w14:schemeClr w14:val="tx1"/>
            </w14:solidFill>
          </w14:textFill>
        </w:rPr>
        <w:t>15个工作日内</w:t>
      </w:r>
      <w:r>
        <w:rPr>
          <w:rFonts w:hint="eastAsia" w:ascii="楷体" w:hAnsi="楷体" w:eastAsia="楷体" w:cs="楷体"/>
          <w:color w:val="000000" w:themeColor="text1"/>
          <w:highlight w:val="none"/>
          <w:u w:val="none"/>
          <w:lang w:val="en-US" w:eastAsia="zh-CN"/>
          <w14:textFill>
            <w14:solidFill>
              <w14:schemeClr w14:val="tx1"/>
            </w14:solidFill>
          </w14:textFill>
        </w:rPr>
        <w:t>，按照甲方收到</w:t>
      </w:r>
      <w:r>
        <w:rPr>
          <w:rFonts w:ascii="Times" w:hAnsi="Times" w:eastAsia="Kaiti SC"/>
          <w:color w:val="auto"/>
          <w:highlight w:val="none"/>
          <w:u w:val="single"/>
        </w:rPr>
        <w:t xml:space="preserve">                    </w:t>
      </w:r>
      <w:r>
        <w:rPr>
          <w:rFonts w:hint="eastAsia" w:ascii="楷体" w:hAnsi="楷体" w:eastAsia="楷体" w:cs="楷体"/>
          <w:color w:val="000000" w:themeColor="text1"/>
          <w:highlight w:val="none"/>
          <w:u w:val="none"/>
          <w:lang w:val="en-US" w:eastAsia="zh-CN"/>
          <w14:textFill>
            <w14:solidFill>
              <w14:schemeClr w14:val="tx1"/>
            </w14:solidFill>
          </w14:textFill>
        </w:rPr>
        <w:t>部分等比例支付，甲方收到的案件回均认定为“先本后息”。</w:t>
      </w:r>
    </w:p>
    <w:p w14:paraId="28E0D91D">
      <w:pPr>
        <w:spacing w:before="156" w:beforeLines="50" w:line="360" w:lineRule="exact"/>
        <w:jc w:val="both"/>
        <w:rPr>
          <w:rFonts w:hint="default" w:ascii="楷体" w:hAnsi="楷体" w:eastAsia="楷体" w:cs="楷体"/>
          <w:color w:val="auto"/>
          <w:highlight w:val="none"/>
          <w:u w:val="single"/>
          <w:lang w:val="en-US"/>
        </w:rPr>
      </w:pPr>
    </w:p>
    <w:p w14:paraId="30F04D53">
      <w:pPr>
        <w:numPr>
          <w:ilvl w:val="1"/>
          <w:numId w:val="9"/>
        </w:numPr>
        <w:spacing w:before="156" w:beforeLines="50" w:line="360" w:lineRule="exact"/>
        <w:rPr>
          <w:rFonts w:hint="eastAsia" w:ascii="楷体" w:hAnsi="楷体" w:eastAsia="楷体" w:cs="楷体"/>
          <w:color w:val="auto"/>
          <w:highlight w:val="none"/>
        </w:rPr>
      </w:pPr>
      <w:r>
        <w:rPr>
          <w:rFonts w:hint="eastAsia" w:ascii="楷体" w:hAnsi="楷体" w:eastAsia="楷体" w:cs="楷体"/>
          <w:color w:val="auto"/>
          <w:highlight w:val="none"/>
        </w:rPr>
        <w:t>其他费用：</w:t>
      </w:r>
    </w:p>
    <w:p w14:paraId="6C5DD0C0">
      <w:pPr>
        <w:spacing w:before="156" w:beforeLines="50" w:line="360" w:lineRule="exact"/>
        <w:ind w:firstLine="42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乙方为甲方提供法律服务过程中有关单位收取的鉴定费、公证费、评估费、翻译费、查档费或仲裁、诉讼、聘请专家论证等相关费用由甲方另行支付。</w:t>
      </w:r>
    </w:p>
    <w:p w14:paraId="57C8D287">
      <w:pPr>
        <w:spacing w:before="156" w:beforeLines="50" w:line="360" w:lineRule="exact"/>
        <w:ind w:firstLine="420" w:firstLineChars="200"/>
        <w:rPr>
          <w:rFonts w:ascii="Times" w:hAnsi="Times" w:eastAsia="楷体"/>
          <w:color w:val="auto"/>
          <w:highlight w:val="none"/>
          <w:u w:color="FFFFFF"/>
        </w:rPr>
      </w:pPr>
      <w:r>
        <w:rPr>
          <w:rFonts w:ascii="Times" w:hAnsi="Times" w:eastAsia="楷体"/>
          <w:color w:val="auto"/>
          <w:highlight w:val="none"/>
          <w:u w:color="FFFFFF"/>
        </w:rPr>
        <w:t>乙方收款账户：</w:t>
      </w:r>
    </w:p>
    <w:p w14:paraId="1BFD09FB">
      <w:pPr>
        <w:spacing w:before="156" w:beforeLines="50" w:line="360" w:lineRule="exact"/>
        <w:ind w:left="850" w:leftChars="405"/>
        <w:rPr>
          <w:rFonts w:ascii="Times" w:hAnsi="Times" w:eastAsia="楷体"/>
          <w:color w:val="auto"/>
          <w:highlight w:val="none"/>
          <w:u w:color="FFFFFF"/>
        </w:rPr>
      </w:pPr>
      <w:r>
        <w:rPr>
          <w:rFonts w:ascii="Times" w:hAnsi="Times" w:eastAsia="楷体"/>
          <w:color w:val="auto"/>
          <w:highlight w:val="none"/>
          <w:u w:color="FFFFFF"/>
        </w:rPr>
        <w:t>户    名：</w:t>
      </w:r>
      <w:r>
        <w:rPr>
          <w:rFonts w:ascii="Times" w:hAnsi="Times" w:eastAsia="楷体"/>
          <w:color w:val="auto"/>
          <w:highlight w:val="none"/>
          <w:u w:color="FFFFFF"/>
        </w:rPr>
        <w:br w:type="textWrapping"/>
      </w:r>
      <w:r>
        <w:rPr>
          <w:rFonts w:ascii="Times" w:hAnsi="Times" w:eastAsia="楷体"/>
          <w:color w:val="auto"/>
          <w:highlight w:val="none"/>
          <w:u w:color="FFFFFF"/>
        </w:rPr>
        <w:t>开户银行：</w:t>
      </w:r>
      <w:r>
        <w:rPr>
          <w:rFonts w:ascii="Times" w:hAnsi="Times" w:eastAsia="楷体"/>
          <w:color w:val="auto"/>
          <w:highlight w:val="none"/>
          <w:u w:color="FFFFFF"/>
        </w:rPr>
        <w:br w:type="textWrapping"/>
      </w:r>
      <w:r>
        <w:rPr>
          <w:rFonts w:ascii="Times" w:hAnsi="Times" w:eastAsia="楷体"/>
          <w:color w:val="auto"/>
          <w:highlight w:val="none"/>
          <w:u w:color="FFFFFF"/>
        </w:rPr>
        <w:t>账    号：</w:t>
      </w:r>
    </w:p>
    <w:p w14:paraId="7F93689D">
      <w:pPr>
        <w:spacing w:before="156" w:beforeLines="50" w:line="360" w:lineRule="exact"/>
        <w:ind w:firstLine="480"/>
        <w:rPr>
          <w:rFonts w:ascii="Times" w:hAnsi="Times" w:eastAsia="楷体"/>
          <w:color w:val="auto"/>
          <w:highlight w:val="none"/>
          <w:u w:color="FFFFFF"/>
        </w:rPr>
      </w:pPr>
      <w:r>
        <w:rPr>
          <w:rFonts w:ascii="Times" w:hAnsi="Times" w:eastAsia="楷体"/>
          <w:color w:val="auto"/>
          <w:highlight w:val="none"/>
          <w:u w:color="FFFFFF"/>
        </w:rPr>
        <w:t xml:space="preserve">乙方应按如下开票信息向甲方开具 </w:t>
      </w:r>
      <w:r>
        <w:rPr>
          <w:rFonts w:hint="eastAsia" w:eastAsia="仿宋"/>
          <w:color w:val="auto"/>
          <w:sz w:val="36"/>
          <w:szCs w:val="36"/>
          <w:highlight w:val="none"/>
          <w:lang w:eastAsia="zh-CN"/>
        </w:rPr>
        <w:t>☑</w:t>
      </w:r>
      <w:r>
        <w:rPr>
          <w:rFonts w:ascii="Times" w:hAnsi="Times" w:eastAsia="楷体"/>
          <w:color w:val="auto"/>
          <w:highlight w:val="none"/>
          <w:u w:color="FFFFFF"/>
        </w:rPr>
        <w:t xml:space="preserve">增值税专用发票 </w:t>
      </w:r>
      <w:r>
        <w:rPr>
          <w:rFonts w:eastAsia="仿宋"/>
          <w:color w:val="auto"/>
          <w:sz w:val="36"/>
          <w:szCs w:val="36"/>
          <w:highlight w:val="none"/>
        </w:rPr>
        <w:t>□</w:t>
      </w:r>
      <w:r>
        <w:rPr>
          <w:rFonts w:ascii="Times" w:hAnsi="Times" w:eastAsia="楷体"/>
          <w:color w:val="auto"/>
          <w:highlight w:val="none"/>
          <w:u w:color="FFFFFF"/>
        </w:rPr>
        <w:t>增值税普通发票：</w:t>
      </w:r>
    </w:p>
    <w:p w14:paraId="05F4F694">
      <w:pPr>
        <w:spacing w:before="156" w:beforeLines="50" w:line="360" w:lineRule="exact"/>
        <w:ind w:left="850" w:leftChars="405"/>
        <w:rPr>
          <w:rFonts w:ascii="Times" w:hAnsi="Times" w:eastAsia="楷体"/>
          <w:color w:val="auto"/>
          <w:highlight w:val="none"/>
          <w:u w:color="FFFFFF"/>
        </w:rPr>
      </w:pPr>
      <w:r>
        <w:rPr>
          <w:rFonts w:ascii="Times" w:hAnsi="Times" w:eastAsia="楷体"/>
          <w:color w:val="auto"/>
          <w:highlight w:val="none"/>
          <w:u w:color="FFFFFF"/>
        </w:rPr>
        <w:t>名        称：</w:t>
      </w:r>
      <w:r>
        <w:rPr>
          <w:rFonts w:ascii="Times" w:hAnsi="Times" w:eastAsia="楷体"/>
          <w:color w:val="auto"/>
          <w:highlight w:val="none"/>
          <w:u w:color="FFFFFF"/>
        </w:rPr>
        <w:br w:type="textWrapping"/>
      </w:r>
      <w:r>
        <w:rPr>
          <w:rFonts w:ascii="Times" w:hAnsi="Times" w:eastAsia="楷体"/>
          <w:color w:val="auto"/>
          <w:highlight w:val="none"/>
          <w:u w:color="FFFFFF"/>
        </w:rPr>
        <w:t>纳税人识别号：</w:t>
      </w:r>
      <w:r>
        <w:rPr>
          <w:rFonts w:ascii="Times" w:hAnsi="Times" w:eastAsia="楷体"/>
          <w:color w:val="auto"/>
          <w:highlight w:val="none"/>
          <w:u w:color="FFFFFF"/>
        </w:rPr>
        <w:br w:type="textWrapping"/>
      </w:r>
      <w:r>
        <w:rPr>
          <w:rFonts w:ascii="Times" w:hAnsi="Times" w:eastAsia="楷体"/>
          <w:color w:val="auto"/>
          <w:highlight w:val="none"/>
          <w:u w:color="FFFFFF"/>
        </w:rPr>
        <w:t>地 址、电 话：</w:t>
      </w:r>
      <w:r>
        <w:rPr>
          <w:rFonts w:ascii="Times" w:hAnsi="Times" w:eastAsia="楷体"/>
          <w:color w:val="auto"/>
          <w:highlight w:val="none"/>
          <w:u w:color="FFFFFF"/>
        </w:rPr>
        <w:br w:type="textWrapping"/>
      </w:r>
      <w:r>
        <w:rPr>
          <w:rFonts w:ascii="Times" w:hAnsi="Times" w:eastAsia="楷体"/>
          <w:color w:val="auto"/>
          <w:highlight w:val="none"/>
          <w:u w:color="FFFFFF"/>
        </w:rPr>
        <w:t>开户行及账号：</w:t>
      </w:r>
    </w:p>
    <w:p w14:paraId="5EA39A1E">
      <w:pPr>
        <w:spacing w:before="156" w:beforeLines="50" w:line="360" w:lineRule="exact"/>
        <w:ind w:left="480"/>
        <w:rPr>
          <w:rFonts w:ascii="Times" w:hAnsi="Times" w:eastAsia="楷体"/>
          <w:color w:val="auto"/>
          <w:highlight w:val="none"/>
        </w:rPr>
      </w:pPr>
      <w:r>
        <w:rPr>
          <w:rFonts w:hint="eastAsia" w:ascii="Times" w:hAnsi="Times" w:eastAsia="楷体"/>
          <w:b/>
          <w:color w:val="auto"/>
          <w:highlight w:val="none"/>
        </w:rPr>
        <w:t>第七条</w:t>
      </w:r>
      <w:r>
        <w:rPr>
          <w:rFonts w:hint="eastAsia" w:ascii="Times" w:hAnsi="Times" w:eastAsia="楷体"/>
          <w:color w:val="auto"/>
          <w:highlight w:val="none"/>
        </w:rPr>
        <w:t xml:space="preserve"> </w:t>
      </w:r>
      <w:r>
        <w:rPr>
          <w:rFonts w:ascii="Times" w:hAnsi="Times" w:eastAsia="楷体"/>
          <w:color w:val="auto"/>
          <w:highlight w:val="none"/>
        </w:rPr>
        <w:t>违约责任</w:t>
      </w:r>
    </w:p>
    <w:p w14:paraId="2DA04739">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本合同履行中，因乙方律师过错而解除本合同终止委托关系的，乙方应当退还预收的全部律师服务费。由此造成甲方经济损失的，乙方应当给予甲方赔偿。</w:t>
      </w:r>
    </w:p>
    <w:p w14:paraId="6D5E1BBC">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如乙方未经甲方同意终止履行合同，所收费用应在甲方要求退费后三日内全部退还甲方。如甲方未经乙方同意终止合同，所缴费用乙方不予退还，且有权收取甲方尚欠的律师服务费；如本合同约定收费方式为风险代理，则视为乙方已完成委托事项，乙方有权向甲方收取本合同所约定的全部律师服务费。</w:t>
      </w:r>
    </w:p>
    <w:p w14:paraId="1BA6EBE7">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甲方应当如实陈述案情，并保证其提供的证据材料的真实性和合法性，否则由此产生的法律后果由甲方承担。乙方有权终止代理，所收费用不予退还，甲方应缴费用在乙方终止代理关系后三日内仍应缴清；</w:t>
      </w:r>
    </w:p>
    <w:p w14:paraId="1BAF38F8">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除非本合同约定或乙方另有书面同意，否则如因甲方未能按时足额付清上述费用，导致乙方律师不能或未能及时承办本合同委托事项所产生的不良后果由甲方承担责任。</w:t>
      </w:r>
    </w:p>
    <w:p w14:paraId="6AC6F606">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双方协商解除本合同或者为避免客户利益冲突等而根据行业管理规定需解除本合同的，乙方应按已办理该项法律事务的工作时间、复杂程度、律师人数等实际情况，酌情退费。</w:t>
      </w:r>
    </w:p>
    <w:p w14:paraId="1537AED4">
      <w:pPr>
        <w:spacing w:before="156" w:beforeLines="50" w:line="360" w:lineRule="auto"/>
        <w:rPr>
          <w:rFonts w:ascii="楷体" w:hAnsi="楷体" w:eastAsia="楷体"/>
          <w:color w:val="auto"/>
          <w:highlight w:val="none"/>
        </w:rPr>
      </w:pPr>
      <w:r>
        <w:rPr>
          <w:rFonts w:hint="eastAsia" w:ascii="楷体" w:hAnsi="楷体" w:eastAsia="楷体"/>
          <w:color w:val="auto"/>
          <w:highlight w:val="none"/>
        </w:rPr>
        <w:t xml:space="preserve">    </w:t>
      </w:r>
      <w:r>
        <w:rPr>
          <w:rFonts w:hint="eastAsia" w:ascii="楷体" w:hAnsi="楷体" w:eastAsia="楷体"/>
          <w:b/>
          <w:color w:val="auto"/>
          <w:highlight w:val="none"/>
        </w:rPr>
        <w:t>第八条</w:t>
      </w:r>
      <w:r>
        <w:rPr>
          <w:rFonts w:hint="eastAsia" w:ascii="楷体" w:hAnsi="楷体" w:eastAsia="楷体"/>
          <w:color w:val="auto"/>
          <w:highlight w:val="none"/>
        </w:rPr>
        <w:t xml:space="preserve"> 【间接利冲豁免条款】</w:t>
      </w:r>
    </w:p>
    <w:p w14:paraId="166ECE39">
      <w:pPr>
        <w:spacing w:before="156" w:beforeLines="50" w:line="360" w:lineRule="auto"/>
        <w:ind w:firstLine="420" w:firstLineChars="200"/>
        <w:rPr>
          <w:rFonts w:eastAsia="楷体"/>
          <w:color w:val="auto"/>
          <w:highlight w:val="none"/>
        </w:rPr>
      </w:pPr>
      <w:r>
        <w:rPr>
          <w:rFonts w:hint="eastAsia" w:ascii="楷体" w:hAnsi="楷体" w:eastAsia="楷体"/>
          <w:color w:val="auto"/>
          <w:highlight w:val="none"/>
        </w:rPr>
        <w:t>甲方知晓并充分理解</w:t>
      </w:r>
      <w:r>
        <w:rPr>
          <w:rFonts w:hint="eastAsia" w:ascii="楷体" w:hAnsi="楷体" w:eastAsia="楷体"/>
          <w:color w:val="auto"/>
          <w:highlight w:val="none"/>
          <w:lang w:val="en-US" w:eastAsia="zh-CN"/>
        </w:rPr>
        <w:t>xx</w:t>
      </w:r>
      <w:r>
        <w:rPr>
          <w:rFonts w:hint="eastAsia" w:ascii="楷体" w:hAnsi="楷体" w:eastAsia="楷体"/>
          <w:color w:val="auto"/>
          <w:highlight w:val="none"/>
        </w:rPr>
        <w:t>律师事务所为已在多地设立分所的跨区域法律服务机构。为避免本合同项下委托事项给乙方及其它各地分所律师造成工作不便，甲方在此确认，除乙方外，</w:t>
      </w:r>
      <w:r>
        <w:rPr>
          <w:rFonts w:hint="eastAsia" w:ascii="楷体" w:hAnsi="楷体" w:eastAsia="楷体"/>
          <w:color w:val="auto"/>
          <w:highlight w:val="none"/>
          <w:lang w:val="en-US" w:eastAsia="zh-CN"/>
        </w:rPr>
        <w:t>xx</w:t>
      </w:r>
      <w:r>
        <w:rPr>
          <w:rFonts w:hint="eastAsia" w:ascii="楷体" w:hAnsi="楷体" w:eastAsia="楷体"/>
          <w:color w:val="auto"/>
          <w:highlight w:val="none"/>
        </w:rPr>
        <w:t>律师事务所其它各地分所的律师可以代理涉及甲方的，由对方当事人委托、与本合同委托事项无关、独立于本合同委托事项之外的诉讼、仲裁或非诉讼业务，并无需取得甲方另行同意或豁免；但依法律规定或律师行业规范与甲方有直接利益冲突情形的除外。本合同其他条款内容与本条款不一致的，以本条款为准。</w:t>
      </w:r>
    </w:p>
    <w:p w14:paraId="20E3B512">
      <w:pPr>
        <w:spacing w:before="156" w:beforeLines="50" w:line="360" w:lineRule="auto"/>
        <w:ind w:left="480"/>
        <w:rPr>
          <w:rFonts w:ascii="楷体" w:hAnsi="楷体" w:eastAsia="楷体"/>
          <w:color w:val="auto"/>
          <w:highlight w:val="none"/>
        </w:rPr>
      </w:pPr>
      <w:r>
        <w:rPr>
          <w:rFonts w:hint="eastAsia" w:ascii="楷体" w:hAnsi="楷体" w:eastAsia="楷体"/>
          <w:b/>
          <w:color w:val="auto"/>
          <w:highlight w:val="none"/>
        </w:rPr>
        <w:t>第九条</w:t>
      </w:r>
      <w:r>
        <w:rPr>
          <w:rFonts w:hint="eastAsia" w:ascii="楷体" w:hAnsi="楷体" w:eastAsia="楷体"/>
          <w:color w:val="auto"/>
          <w:highlight w:val="none"/>
        </w:rPr>
        <w:t xml:space="preserve"> 【风险告知条款】</w:t>
      </w:r>
    </w:p>
    <w:p w14:paraId="6DDCD483">
      <w:pPr>
        <w:spacing w:before="156" w:beforeLines="50" w:line="360" w:lineRule="auto"/>
        <w:ind w:firstLine="420" w:firstLineChars="200"/>
        <w:rPr>
          <w:rFonts w:ascii="楷体" w:hAnsi="楷体" w:eastAsia="楷体"/>
          <w:color w:val="auto"/>
          <w:highlight w:val="none"/>
        </w:rPr>
      </w:pPr>
      <w:r>
        <w:rPr>
          <w:rFonts w:hint="eastAsia" w:ascii="楷体" w:hAnsi="楷体" w:eastAsia="楷体"/>
          <w:color w:val="auto"/>
          <w:highlight w:val="none"/>
        </w:rPr>
        <w:t>法律为社会科学，具有不确定性，乙方无法穷尽所有风险。律师也无法对案件结果提前作出确定的预判。案件进程和案件结果可能受到各种客观因素的影响。聘请律师前甲方已确认具有承受此等法律风险之负担能力及合理预见。为维护甲方的合法权益，甲方确认在委托乙方办理案件前，乙方已遵循诚实信用原则，向甲方告知可能存在判决结果不确定的风险、诉讼</w:t>
      </w:r>
      <w:r>
        <w:rPr>
          <w:rFonts w:hint="eastAsia" w:eastAsia="楷体"/>
          <w:color w:val="auto"/>
          <w:highlight w:val="none"/>
        </w:rPr>
        <w:t>/</w:t>
      </w:r>
      <w:r>
        <w:rPr>
          <w:rFonts w:hint="eastAsia" w:ascii="楷体" w:hAnsi="楷体" w:eastAsia="楷体"/>
          <w:color w:val="auto"/>
          <w:highlight w:val="none"/>
        </w:rPr>
        <w:t>仲裁时间长短不确定性的风险、执行不能的风险、不如实陈述事实和提供证据可能承担相应不利后果或败诉的风险。</w:t>
      </w:r>
    </w:p>
    <w:p w14:paraId="3F238540">
      <w:pPr>
        <w:spacing w:before="156" w:beforeLines="50" w:line="360" w:lineRule="exact"/>
        <w:rPr>
          <w:rFonts w:ascii="Times" w:hAnsi="Times" w:eastAsia="楷体"/>
          <w:color w:val="auto"/>
          <w:highlight w:val="none"/>
        </w:rPr>
      </w:pPr>
      <w:r>
        <w:rPr>
          <w:rFonts w:hint="eastAsia" w:ascii="Times" w:hAnsi="Times" w:eastAsia="楷体"/>
          <w:b/>
          <w:color w:val="auto"/>
          <w:highlight w:val="none"/>
        </w:rPr>
        <w:t xml:space="preserve">    第十条 </w:t>
      </w:r>
      <w:r>
        <w:rPr>
          <w:rFonts w:ascii="Times" w:hAnsi="Times" w:eastAsia="楷体"/>
          <w:color w:val="auto"/>
          <w:highlight w:val="none"/>
        </w:rPr>
        <w:t>甲方承诺在乙方律师代理案件的任何一个阶段或乙方律师代理职责终止时，认真填制《律师服务质量征求意见表》并寄交乙方或递交给承办律师。</w:t>
      </w:r>
    </w:p>
    <w:p w14:paraId="06A8A34C">
      <w:pPr>
        <w:spacing w:before="156" w:beforeLines="50" w:line="360" w:lineRule="exact"/>
        <w:rPr>
          <w:rFonts w:ascii="Times" w:hAnsi="Times" w:eastAsia="楷体"/>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第十一条</w:t>
      </w:r>
      <w:r>
        <w:rPr>
          <w:rFonts w:hint="eastAsia" w:ascii="Times" w:hAnsi="Times" w:eastAsia="楷体"/>
          <w:color w:val="auto"/>
          <w:highlight w:val="none"/>
        </w:rPr>
        <w:t xml:space="preserve"> </w:t>
      </w:r>
      <w:r>
        <w:rPr>
          <w:rFonts w:ascii="Times" w:hAnsi="Times" w:eastAsia="楷体"/>
          <w:color w:val="auto"/>
          <w:highlight w:val="none"/>
        </w:rPr>
        <w:t>本合同履行中如发生纠纷，双方应尽量协商解决。协商不成，任何一方都可以向成都仲裁委员会申请仲裁。</w:t>
      </w:r>
    </w:p>
    <w:p w14:paraId="566A385A">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第十二条</w:t>
      </w:r>
      <w:r>
        <w:rPr>
          <w:rFonts w:hint="eastAsia" w:ascii="Times" w:hAnsi="Times" w:eastAsia="楷体"/>
          <w:color w:val="auto"/>
          <w:highlight w:val="none"/>
        </w:rPr>
        <w:t xml:space="preserve"> </w:t>
      </w:r>
      <w:r>
        <w:rPr>
          <w:rFonts w:ascii="Times" w:hAnsi="Times" w:eastAsia="楷体"/>
          <w:color w:val="auto"/>
          <w:highlight w:val="none"/>
        </w:rPr>
        <w:t>乙方的代理职责自本合同签订之日起至乙方代理的法律事务完成之日止。</w:t>
      </w:r>
    </w:p>
    <w:p w14:paraId="28A43E4E">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第十三条</w:t>
      </w:r>
      <w:r>
        <w:rPr>
          <w:rFonts w:hint="eastAsia" w:ascii="Times" w:hAnsi="Times" w:eastAsia="楷体"/>
          <w:color w:val="auto"/>
          <w:highlight w:val="none"/>
        </w:rPr>
        <w:t xml:space="preserve"> </w:t>
      </w:r>
      <w:r>
        <w:rPr>
          <w:rFonts w:ascii="Times" w:hAnsi="Times" w:eastAsia="楷体"/>
          <w:color w:val="auto"/>
          <w:highlight w:val="none"/>
        </w:rPr>
        <w:t>本合同履行中，如一方要求解除合同，需由双方另行协商，并签订书面协议。</w:t>
      </w:r>
    </w:p>
    <w:p w14:paraId="4F1DC303">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第十四条</w:t>
      </w:r>
      <w:r>
        <w:rPr>
          <w:rFonts w:hint="eastAsia" w:ascii="Times" w:hAnsi="Times" w:eastAsia="楷体"/>
          <w:color w:val="auto"/>
          <w:highlight w:val="none"/>
        </w:rPr>
        <w:t xml:space="preserve"> </w:t>
      </w:r>
      <w:r>
        <w:rPr>
          <w:rFonts w:ascii="Times" w:hAnsi="Times" w:eastAsia="楷体"/>
          <w:color w:val="auto"/>
          <w:highlight w:val="none"/>
        </w:rPr>
        <w:t>本合同壹式</w:t>
      </w:r>
      <w:r>
        <w:rPr>
          <w:rFonts w:hint="eastAsia" w:ascii="Times" w:hAnsi="Times" w:eastAsia="楷体"/>
          <w:color w:val="auto"/>
          <w:highlight w:val="none"/>
        </w:rPr>
        <w:t>肆</w:t>
      </w:r>
      <w:r>
        <w:rPr>
          <w:rFonts w:ascii="Times" w:hAnsi="Times" w:eastAsia="楷体"/>
          <w:color w:val="auto"/>
          <w:highlight w:val="none"/>
        </w:rPr>
        <w:t>份，甲方</w:t>
      </w:r>
      <w:r>
        <w:rPr>
          <w:rFonts w:hint="eastAsia" w:ascii="Times" w:hAnsi="Times" w:eastAsia="楷体"/>
          <w:color w:val="auto"/>
          <w:highlight w:val="none"/>
        </w:rPr>
        <w:t>贰</w:t>
      </w:r>
      <w:r>
        <w:rPr>
          <w:rFonts w:ascii="Times" w:hAnsi="Times" w:eastAsia="楷体"/>
          <w:color w:val="auto"/>
          <w:highlight w:val="none"/>
        </w:rPr>
        <w:t>份，乙方</w:t>
      </w:r>
      <w:r>
        <w:rPr>
          <w:rFonts w:hint="eastAsia" w:ascii="Times" w:hAnsi="Times" w:eastAsia="楷体"/>
          <w:color w:val="auto"/>
          <w:highlight w:val="none"/>
        </w:rPr>
        <w:t>贰</w:t>
      </w:r>
      <w:r>
        <w:rPr>
          <w:rFonts w:ascii="Times" w:hAnsi="Times" w:eastAsia="楷体"/>
          <w:color w:val="auto"/>
          <w:highlight w:val="none"/>
        </w:rPr>
        <w:t>份，自双方授权代表签字并加盖单位印章后生效。</w:t>
      </w:r>
    </w:p>
    <w:p w14:paraId="455A46EC">
      <w:pPr>
        <w:spacing w:line="460" w:lineRule="exact"/>
        <w:jc w:val="left"/>
        <w:rPr>
          <w:rFonts w:ascii="仿宋_GB2312" w:hAnsi="仿宋_GB2312" w:eastAsia="仿宋_GB2312" w:cs="仿宋_GB2312"/>
          <w:b/>
          <w:color w:val="auto"/>
          <w:sz w:val="24"/>
          <w:highlight w:val="none"/>
        </w:rPr>
      </w:pPr>
      <w:bookmarkStart w:id="419" w:name="_Toc29829"/>
      <w:bookmarkStart w:id="420" w:name="_Toc361325820"/>
      <w:bookmarkStart w:id="421" w:name="_Toc18854"/>
      <w:bookmarkStart w:id="422" w:name="_Toc474502608"/>
      <w:bookmarkStart w:id="423" w:name="_Toc513469076"/>
      <w:bookmarkStart w:id="424" w:name="_Toc474327066"/>
      <w:bookmarkStart w:id="425" w:name="_Toc8347"/>
      <w:bookmarkStart w:id="426" w:name="_Toc466391967"/>
      <w:bookmarkStart w:id="427" w:name="_Toc505261938"/>
      <w:r>
        <w:rPr>
          <w:rFonts w:hint="eastAsia" w:ascii="Times" w:hAnsi="Times" w:eastAsia="楷体"/>
          <w:b/>
          <w:color w:val="auto"/>
          <w:highlight w:val="none"/>
        </w:rPr>
        <w:t>第</w:t>
      </w:r>
      <w:r>
        <w:rPr>
          <w:rFonts w:hint="eastAsia" w:ascii="Times" w:hAnsi="Times" w:eastAsia="楷体"/>
          <w:b/>
          <w:color w:val="auto"/>
          <w:highlight w:val="none"/>
          <w:lang w:val="en-US" w:eastAsia="zh-CN"/>
        </w:rPr>
        <w:t>伍</w:t>
      </w:r>
      <w:r>
        <w:rPr>
          <w:rFonts w:hint="eastAsia" w:ascii="Times" w:hAnsi="Times" w:eastAsia="楷体"/>
          <w:b/>
          <w:color w:val="auto"/>
          <w:highlight w:val="none"/>
        </w:rPr>
        <w:t>条</w:t>
      </w:r>
      <w:r>
        <w:rPr>
          <w:rFonts w:hint="eastAsia" w:ascii="仿宋_GB2312" w:hAnsi="仿宋_GB2312" w:eastAsia="仿宋_GB2312" w:cs="仿宋_GB2312"/>
          <w:b/>
          <w:color w:val="auto"/>
          <w:sz w:val="24"/>
          <w:highlight w:val="none"/>
        </w:rPr>
        <w:t xml:space="preserve">  </w:t>
      </w:r>
      <w:r>
        <w:rPr>
          <w:rFonts w:hint="eastAsia" w:ascii="Times" w:hAnsi="Times" w:eastAsia="楷体"/>
          <w:color w:val="auto"/>
          <w:highlight w:val="none"/>
        </w:rPr>
        <w:t>附件</w:t>
      </w:r>
      <w:bookmarkEnd w:id="419"/>
      <w:bookmarkEnd w:id="420"/>
      <w:bookmarkEnd w:id="421"/>
      <w:bookmarkEnd w:id="422"/>
      <w:bookmarkEnd w:id="423"/>
      <w:bookmarkEnd w:id="424"/>
      <w:bookmarkEnd w:id="425"/>
      <w:bookmarkEnd w:id="426"/>
      <w:bookmarkEnd w:id="427"/>
    </w:p>
    <w:p w14:paraId="6A3B596D">
      <w:pPr>
        <w:spacing w:before="156" w:beforeLines="50" w:line="360" w:lineRule="auto"/>
        <w:ind w:firstLine="420" w:firstLineChars="200"/>
        <w:rPr>
          <w:rFonts w:hint="eastAsia" w:ascii="楷体" w:hAnsi="楷体" w:eastAsia="楷体"/>
          <w:color w:val="auto"/>
          <w:highlight w:val="none"/>
        </w:rPr>
      </w:pPr>
      <w:bookmarkStart w:id="428" w:name="_Toc7234"/>
      <w:r>
        <w:rPr>
          <w:rFonts w:hint="eastAsia" w:ascii="楷体" w:hAnsi="楷体" w:eastAsia="楷体"/>
          <w:color w:val="auto"/>
          <w:highlight w:val="none"/>
        </w:rPr>
        <w:t>1.项目比选文件</w:t>
      </w:r>
      <w:bookmarkEnd w:id="428"/>
    </w:p>
    <w:p w14:paraId="51C63451">
      <w:pPr>
        <w:spacing w:before="156" w:beforeLines="50" w:line="360" w:lineRule="auto"/>
        <w:ind w:firstLine="420" w:firstLineChars="200"/>
        <w:rPr>
          <w:rFonts w:hint="default" w:ascii="楷体" w:hAnsi="楷体" w:eastAsia="楷体"/>
          <w:color w:val="auto"/>
          <w:highlight w:val="none"/>
          <w:lang w:val="en-US" w:eastAsia="zh-CN"/>
        </w:rPr>
      </w:pPr>
      <w:bookmarkStart w:id="429" w:name="_Toc30140"/>
      <w:r>
        <w:rPr>
          <w:rFonts w:hint="eastAsia" w:ascii="楷体" w:hAnsi="楷体" w:eastAsia="楷体"/>
          <w:color w:val="auto"/>
          <w:highlight w:val="none"/>
        </w:rPr>
        <w:t>2.项目修改澄清文件</w:t>
      </w:r>
      <w:bookmarkEnd w:id="429"/>
      <w:r>
        <w:rPr>
          <w:rFonts w:hint="eastAsia" w:ascii="楷体" w:hAnsi="楷体" w:eastAsia="楷体"/>
          <w:color w:val="auto"/>
          <w:highlight w:val="none"/>
          <w:lang w:eastAsia="zh-CN"/>
        </w:rPr>
        <w:t>（</w:t>
      </w:r>
      <w:r>
        <w:rPr>
          <w:rFonts w:hint="eastAsia" w:ascii="楷体" w:hAnsi="楷体" w:eastAsia="楷体"/>
          <w:color w:val="auto"/>
          <w:highlight w:val="none"/>
          <w:lang w:val="en-US" w:eastAsia="zh-CN"/>
        </w:rPr>
        <w:t>如有）</w:t>
      </w:r>
    </w:p>
    <w:p w14:paraId="5A4CACDE">
      <w:pPr>
        <w:spacing w:before="156" w:beforeLines="50" w:line="360" w:lineRule="auto"/>
        <w:ind w:firstLine="420" w:firstLineChars="200"/>
        <w:rPr>
          <w:rFonts w:hint="eastAsia" w:ascii="楷体" w:hAnsi="楷体" w:eastAsia="楷体"/>
          <w:color w:val="auto"/>
          <w:highlight w:val="none"/>
        </w:rPr>
      </w:pPr>
      <w:bookmarkStart w:id="430" w:name="_Toc6003"/>
      <w:r>
        <w:rPr>
          <w:rFonts w:hint="eastAsia" w:ascii="楷体" w:hAnsi="楷体" w:eastAsia="楷体"/>
          <w:color w:val="auto"/>
          <w:highlight w:val="none"/>
        </w:rPr>
        <w:t>3.项目比选申请书</w:t>
      </w:r>
      <w:bookmarkEnd w:id="430"/>
    </w:p>
    <w:p w14:paraId="34686E2A">
      <w:pPr>
        <w:spacing w:before="156" w:beforeLines="50" w:line="360" w:lineRule="auto"/>
        <w:ind w:firstLine="420" w:firstLineChars="200"/>
        <w:rPr>
          <w:rFonts w:hint="eastAsia" w:ascii="楷体" w:hAnsi="楷体" w:eastAsia="楷体"/>
          <w:color w:val="auto"/>
          <w:highlight w:val="none"/>
        </w:rPr>
      </w:pPr>
      <w:bookmarkStart w:id="431" w:name="_Toc11660"/>
      <w:r>
        <w:rPr>
          <w:rFonts w:hint="eastAsia" w:ascii="楷体" w:hAnsi="楷体" w:eastAsia="楷体"/>
          <w:color w:val="auto"/>
          <w:highlight w:val="none"/>
        </w:rPr>
        <w:t>4.中选通知书</w:t>
      </w:r>
      <w:bookmarkEnd w:id="431"/>
    </w:p>
    <w:p w14:paraId="2200CDED">
      <w:pPr>
        <w:spacing w:before="156" w:beforeLines="50" w:line="360" w:lineRule="auto"/>
        <w:ind w:firstLine="420" w:firstLineChars="200"/>
        <w:rPr>
          <w:rFonts w:hint="eastAsia" w:ascii="楷体" w:hAnsi="楷体" w:eastAsia="楷体"/>
          <w:color w:val="auto"/>
          <w:highlight w:val="none"/>
        </w:rPr>
      </w:pPr>
      <w:bookmarkStart w:id="432" w:name="_Toc10357"/>
      <w:r>
        <w:rPr>
          <w:rFonts w:hint="eastAsia" w:ascii="楷体" w:hAnsi="楷体" w:eastAsia="楷体"/>
          <w:color w:val="auto"/>
          <w:highlight w:val="none"/>
        </w:rPr>
        <w:t>5.本合同的其他附件</w:t>
      </w:r>
      <w:bookmarkEnd w:id="432"/>
    </w:p>
    <w:p w14:paraId="7EDA2F7F">
      <w:pPr>
        <w:spacing w:before="156" w:beforeLines="50" w:line="360" w:lineRule="auto"/>
        <w:ind w:firstLine="420" w:firstLineChars="200"/>
        <w:rPr>
          <w:rFonts w:hint="eastAsia" w:ascii="楷体" w:hAnsi="楷体" w:eastAsia="楷体"/>
          <w:color w:val="auto"/>
          <w:highlight w:val="none"/>
        </w:rPr>
      </w:pPr>
    </w:p>
    <w:p w14:paraId="0BD23B53">
      <w:pPr>
        <w:spacing w:before="156" w:beforeLines="50" w:line="360" w:lineRule="auto"/>
        <w:ind w:firstLine="420" w:firstLineChars="200"/>
        <w:jc w:val="center"/>
        <w:rPr>
          <w:rFonts w:hint="eastAsia" w:ascii="楷体" w:hAnsi="楷体" w:eastAsia="楷体"/>
          <w:color w:val="auto"/>
          <w:highlight w:val="none"/>
        </w:rPr>
      </w:pPr>
      <w:r>
        <w:rPr>
          <w:rFonts w:hint="eastAsia" w:ascii="楷体" w:hAnsi="楷体" w:eastAsia="楷体"/>
          <w:color w:val="auto"/>
          <w:highlight w:val="none"/>
        </w:rPr>
        <w:t>——以下无正文——</w:t>
      </w:r>
      <w:bookmarkEnd w:id="416"/>
      <w:bookmarkEnd w:id="417"/>
      <w:bookmarkEnd w:id="418"/>
    </w:p>
    <w:p w14:paraId="74D405A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甲方：   （单位公章）   </w:t>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rPr>
        <w:t xml:space="preserve">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乙方：   （单位公章）</w:t>
      </w:r>
    </w:p>
    <w:p w14:paraId="1B7EBAA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法定代表人（授权代表）：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法定代表人（授权代表）：</w:t>
      </w:r>
    </w:p>
    <w:p w14:paraId="245E5A6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地    址：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地    址：</w:t>
      </w:r>
    </w:p>
    <w:p w14:paraId="2D54C63E">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开户银行：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开户银行：</w:t>
      </w:r>
    </w:p>
    <w:p w14:paraId="4ABBD7BA">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账号：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账号：</w:t>
      </w:r>
    </w:p>
    <w:p w14:paraId="2E50ECC5">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电    话：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电    话：</w:t>
      </w:r>
    </w:p>
    <w:p w14:paraId="7AA3599C">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传    真：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传    真：</w:t>
      </w:r>
    </w:p>
    <w:p w14:paraId="4D4AAAEA">
      <w:pPr>
        <w:spacing w:before="156" w:beforeLines="50" w:line="360" w:lineRule="auto"/>
        <w:ind w:firstLine="420" w:firstLineChars="200"/>
        <w:rPr>
          <w:rFonts w:hint="eastAsia" w:ascii="楷体" w:hAnsi="楷体" w:eastAsia="楷体"/>
          <w:color w:val="auto"/>
          <w:highlight w:val="none"/>
          <w:lang w:val="en-US" w:eastAsia="zh-CN"/>
        </w:rPr>
      </w:pPr>
      <w:r>
        <w:rPr>
          <w:rFonts w:hint="eastAsia" w:ascii="楷体" w:hAnsi="楷体" w:eastAsia="楷体"/>
          <w:color w:val="auto"/>
          <w:highlight w:val="none"/>
        </w:rPr>
        <w:t xml:space="preserve">签约日期：XX年XX月XX日 </w:t>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签约日期：XX年XX月XX</w:t>
      </w:r>
      <w:r>
        <w:rPr>
          <w:rFonts w:hint="eastAsia" w:ascii="楷体" w:hAnsi="楷体" w:eastAsia="楷体"/>
          <w:color w:val="auto"/>
          <w:highlight w:val="none"/>
          <w:lang w:val="en-US" w:eastAsia="zh-CN"/>
        </w:rPr>
        <w:t>日</w:t>
      </w:r>
    </w:p>
    <w:p w14:paraId="3B466907">
      <w:pPr>
        <w:pStyle w:val="3"/>
        <w:rPr>
          <w:rFonts w:hint="eastAsia" w:ascii="楷体" w:hAnsi="楷体" w:eastAsia="楷体"/>
          <w:color w:val="auto"/>
          <w:highlight w:val="none"/>
          <w:lang w:val="en-US" w:eastAsia="zh-CN"/>
        </w:rPr>
      </w:pPr>
    </w:p>
    <w:p w14:paraId="551ECAC1">
      <w:pPr>
        <w:rPr>
          <w:rFonts w:hint="eastAsia" w:ascii="楷体" w:hAnsi="楷体" w:eastAsia="楷体"/>
          <w:color w:val="auto"/>
          <w:highlight w:val="none"/>
          <w:lang w:val="en-US" w:eastAsia="zh-CN"/>
        </w:rPr>
      </w:pPr>
    </w:p>
    <w:p w14:paraId="2C6E04BE">
      <w:pPr>
        <w:pStyle w:val="3"/>
        <w:rPr>
          <w:rFonts w:hint="eastAsia" w:ascii="楷体" w:hAnsi="楷体" w:eastAsia="楷体"/>
          <w:color w:val="auto"/>
          <w:highlight w:val="none"/>
          <w:lang w:val="en-US" w:eastAsia="zh-CN"/>
        </w:rPr>
      </w:pPr>
    </w:p>
    <w:p w14:paraId="3C3FEADC">
      <w:pPr>
        <w:rPr>
          <w:rFonts w:hint="eastAsia" w:ascii="楷体" w:hAnsi="楷体" w:eastAsia="楷体"/>
          <w:color w:val="auto"/>
          <w:highlight w:val="none"/>
          <w:lang w:val="en-US" w:eastAsia="zh-CN"/>
        </w:rPr>
      </w:pPr>
    </w:p>
    <w:p w14:paraId="1B2212AA">
      <w:pPr>
        <w:pStyle w:val="3"/>
        <w:rPr>
          <w:rFonts w:hint="eastAsia" w:ascii="楷体" w:hAnsi="楷体" w:eastAsia="楷体"/>
          <w:color w:val="auto"/>
          <w:highlight w:val="none"/>
          <w:lang w:val="en-US" w:eastAsia="zh-CN"/>
        </w:rPr>
      </w:pPr>
    </w:p>
    <w:p w14:paraId="68CEE453">
      <w:pPr>
        <w:rPr>
          <w:rFonts w:hint="eastAsia" w:ascii="楷体" w:hAnsi="楷体" w:eastAsia="楷体"/>
          <w:color w:val="auto"/>
          <w:highlight w:val="none"/>
          <w:lang w:val="en-US" w:eastAsia="zh-CN"/>
        </w:rPr>
      </w:pPr>
    </w:p>
    <w:p w14:paraId="3DBB9A8F">
      <w:pPr>
        <w:pStyle w:val="3"/>
        <w:rPr>
          <w:rFonts w:hint="eastAsia"/>
          <w:color w:val="auto"/>
          <w:highlight w:val="none"/>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Times">
    <w:altName w:val="Times New Roman"/>
    <w:panose1 w:val="00000500000000020000"/>
    <w:charset w:val="00"/>
    <w:family w:val="auto"/>
    <w:pitch w:val="default"/>
    <w:sig w:usb0="00000000" w:usb1="00000000" w:usb2="00000000" w:usb3="00000000" w:csb0="2000019F" w:csb1="4F010000"/>
  </w:font>
  <w:font w:name="Kaiti SC">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1D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AE3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8ABB">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8670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5328670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52D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0452DD">
                    <w:pPr>
                      <w:pStyle w:val="4"/>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371E">
    <w:pPr>
      <w:pStyle w:val="4"/>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96CB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10696CB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2955290</wp:posOffset>
              </wp:positionH>
              <wp:positionV relativeFrom="paragraph">
                <wp:posOffset>-75565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3C40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7pt;margin-top:-5.95pt;height:144pt;width:144pt;mso-position-horizontal-relative:margin;mso-wrap-style:none;z-index:251662336;mso-width-relative:page;mso-height-relative:page;" filled="f" stroked="f" coordsize="21600,21600" o:gfxdata="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je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20C3C40B">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5EA6F">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45EA6F">
                    <w:pPr>
                      <w:pStyle w:val="4"/>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67D2">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1395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3/pUs3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Cd/6VLNwIAAG0EAAAOAAAAAAAAAAEAIAAAACUBAABkcnMvZTJv&#10;RG9jLnhtbFBLBQYAAAAABgAGAFkBAADOBQAAAAA=&#10;">
              <v:fill on="f" focussize="0,0"/>
              <v:stroke on="f" weight="0.5pt"/>
              <v:imagedata o:title=""/>
              <o:lock v:ext="edit" aspectratio="f"/>
              <v:textbox inset="16pt,0mm,16pt,0mm" style="mso-fit-shape-to-text:t;">
                <w:txbxContent>
                  <w:p w14:paraId="29A1395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5BBC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B85BBCB">
                    <w:pPr>
                      <w:pStyle w:val="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C7C">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D531">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D531">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C1BC">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F4E">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62499"/>
    <w:multiLevelType w:val="multilevel"/>
    <w:tmpl w:val="0C862499"/>
    <w:lvl w:ilvl="0" w:tentative="0">
      <w:start w:val="1"/>
      <w:numFmt w:val="decimal"/>
      <w:lvlText w:val="%1."/>
      <w:lvlJc w:val="left"/>
      <w:pPr>
        <w:ind w:left="900" w:hanging="420"/>
      </w:pPr>
    </w:lvl>
    <w:lvl w:ilvl="1" w:tentative="0">
      <w:start w:val="1"/>
      <w:numFmt w:val="japaneseCounting"/>
      <w:lvlText w:val="第%2条"/>
      <w:lvlJc w:val="left"/>
      <w:pPr>
        <w:ind w:left="1740" w:hanging="84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5C180F"/>
    <w:multiLevelType w:val="multilevel"/>
    <w:tmpl w:val="285C18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E135ADC"/>
    <w:multiLevelType w:val="multilevel"/>
    <w:tmpl w:val="2E135ADC"/>
    <w:lvl w:ilvl="0" w:tentative="0">
      <w:start w:val="1"/>
      <w:numFmt w:val="decimal"/>
      <w:lvlText w:val="%1."/>
      <w:lvlJc w:val="left"/>
      <w:pPr>
        <w:ind w:left="900" w:hanging="420"/>
      </w:pPr>
    </w:lvl>
    <w:lvl w:ilvl="1" w:tentative="0">
      <w:start w:val="1"/>
      <w:numFmt w:val="decimal"/>
      <w:isLgl/>
      <w:lvlText w:val="%1.%2."/>
      <w:lvlJc w:val="left"/>
      <w:pPr>
        <w:ind w:left="840" w:hanging="36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200" w:hanging="720"/>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560" w:hanging="108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1920" w:hanging="1440"/>
      </w:pPr>
      <w:rPr>
        <w:rFonts w:hint="default"/>
      </w:rPr>
    </w:lvl>
    <w:lvl w:ilvl="8" w:tentative="0">
      <w:start w:val="1"/>
      <w:numFmt w:val="decimal"/>
      <w:isLgl/>
      <w:lvlText w:val="%1.%2.%3.%4.%5.%6.%7.%8.%9."/>
      <w:lvlJc w:val="left"/>
      <w:pPr>
        <w:ind w:left="2280" w:hanging="1800"/>
      </w:pPr>
      <w:rPr>
        <w:rFonts w:hint="default"/>
      </w:rPr>
    </w:lvl>
  </w:abstractNum>
  <w:abstractNum w:abstractNumId="3">
    <w:nsid w:val="3B171B96"/>
    <w:multiLevelType w:val="singleLevel"/>
    <w:tmpl w:val="3B171B96"/>
    <w:lvl w:ilvl="0" w:tentative="0">
      <w:start w:val="1"/>
      <w:numFmt w:val="chineseCounting"/>
      <w:suff w:val="space"/>
      <w:lvlText w:val="第%1章"/>
      <w:lvlJc w:val="left"/>
      <w:rPr>
        <w:rFonts w:hint="eastAsia"/>
      </w:rPr>
    </w:lvl>
  </w:abstractNum>
  <w:abstractNum w:abstractNumId="4">
    <w:nsid w:val="4C522F5E"/>
    <w:multiLevelType w:val="multilevel"/>
    <w:tmpl w:val="4C522F5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44084"/>
    <w:multiLevelType w:val="multilevel"/>
    <w:tmpl w:val="6054408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A0664E0"/>
    <w:multiLevelType w:val="singleLevel"/>
    <w:tmpl w:val="6A0664E0"/>
    <w:lvl w:ilvl="0" w:tentative="0">
      <w:start w:val="8"/>
      <w:numFmt w:val="chineseCounting"/>
      <w:suff w:val="nothing"/>
      <w:lvlText w:val="%1、"/>
      <w:lvlJc w:val="left"/>
      <w:rPr>
        <w:rFonts w:hint="eastAsia"/>
      </w:rPr>
    </w:lvl>
  </w:abstractNum>
  <w:abstractNum w:abstractNumId="7">
    <w:nsid w:val="76766B2A"/>
    <w:multiLevelType w:val="multilevel"/>
    <w:tmpl w:val="76766B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F0E108D"/>
    <w:multiLevelType w:val="multilevel"/>
    <w:tmpl w:val="7F0E108D"/>
    <w:lvl w:ilvl="0" w:tentative="0">
      <w:start w:val="1"/>
      <w:numFmt w:val="ideographDigital"/>
      <w:suff w:val="space"/>
      <w:lvlText w:val="第%1条"/>
      <w:lvlJc w:val="left"/>
      <w:pPr>
        <w:ind w:left="900" w:hanging="420"/>
      </w:pPr>
      <w:rPr>
        <w:rFonts w:hint="eastAsia"/>
        <w:b/>
      </w:rPr>
    </w:lvl>
    <w:lvl w:ilvl="1" w:tentative="0">
      <w:start w:val="10"/>
      <w:numFmt w:val="japaneseCounting"/>
      <w:suff w:val="space"/>
      <w:lvlText w:val="第%2条"/>
      <w:lvlJc w:val="left"/>
      <w:pPr>
        <w:ind w:left="3774"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1"/>
  </w:num>
  <w:num w:numId="6">
    <w:abstractNumId w:val="7"/>
  </w:num>
  <w:num w:numId="7">
    <w:abstractNumId w:val="4"/>
  </w:num>
  <w:num w:numId="8">
    <w:abstractNumId w:val="2"/>
  </w:num>
  <w:num w:numId="9">
    <w:abstractNumId w:val="2"/>
    <w:lvlOverride w:ilvl="0">
      <w:lvl w:ilvl="0" w:tentative="1">
        <w:start w:val="1"/>
        <w:numFmt w:val="decimal"/>
        <w:lvlText w:val="%1."/>
        <w:lvlJc w:val="left"/>
        <w:pPr>
          <w:ind w:left="900" w:hanging="420"/>
        </w:pPr>
        <w:rPr>
          <w:rFonts w:hint="eastAsia"/>
        </w:rPr>
      </w:lvl>
    </w:lvlOverride>
    <w:lvlOverride w:ilvl="1">
      <w:lvl w:ilvl="1" w:tentative="1">
        <w:start w:val="1"/>
        <w:numFmt w:val="decimal"/>
        <w:isLgl/>
        <w:suff w:val="space"/>
        <w:lvlText w:val="%1.%2."/>
        <w:lvlJc w:val="left"/>
        <w:pPr>
          <w:ind w:left="840" w:hanging="360"/>
        </w:pPr>
        <w:rPr>
          <w:rFonts w:hint="default"/>
        </w:rPr>
      </w:lvl>
    </w:lvlOverride>
    <w:lvlOverride w:ilvl="2">
      <w:lvl w:ilvl="2" w:tentative="1">
        <w:start w:val="1"/>
        <w:numFmt w:val="decimal"/>
        <w:isLgl/>
        <w:lvlText w:val="%1.%2.%3."/>
        <w:lvlJc w:val="left"/>
        <w:pPr>
          <w:ind w:left="1200" w:hanging="720"/>
        </w:pPr>
        <w:rPr>
          <w:rFonts w:hint="default"/>
        </w:rPr>
      </w:lvl>
    </w:lvlOverride>
    <w:lvlOverride w:ilvl="3">
      <w:lvl w:ilvl="3" w:tentative="1">
        <w:start w:val="1"/>
        <w:numFmt w:val="decimal"/>
        <w:isLgl/>
        <w:lvlText w:val="%1.%2.%3.%4."/>
        <w:lvlJc w:val="left"/>
        <w:pPr>
          <w:ind w:left="1200" w:hanging="720"/>
        </w:pPr>
        <w:rPr>
          <w:rFonts w:hint="default"/>
        </w:rPr>
      </w:lvl>
    </w:lvlOverride>
    <w:lvlOverride w:ilvl="4">
      <w:lvl w:ilvl="4" w:tentative="1">
        <w:start w:val="1"/>
        <w:numFmt w:val="decimal"/>
        <w:isLgl/>
        <w:lvlText w:val="%1.%2.%3.%4.%5."/>
        <w:lvlJc w:val="left"/>
        <w:pPr>
          <w:ind w:left="1560" w:hanging="1080"/>
        </w:pPr>
        <w:rPr>
          <w:rFonts w:hint="default"/>
        </w:rPr>
      </w:lvl>
    </w:lvlOverride>
    <w:lvlOverride w:ilvl="5">
      <w:lvl w:ilvl="5" w:tentative="1">
        <w:start w:val="1"/>
        <w:numFmt w:val="decimal"/>
        <w:isLgl/>
        <w:lvlText w:val="%1.%2.%3.%4.%5.%6."/>
        <w:lvlJc w:val="left"/>
        <w:pPr>
          <w:ind w:left="1560" w:hanging="1080"/>
        </w:pPr>
        <w:rPr>
          <w:rFonts w:hint="default"/>
        </w:rPr>
      </w:lvl>
    </w:lvlOverride>
    <w:lvlOverride w:ilvl="6">
      <w:lvl w:ilvl="6" w:tentative="1">
        <w:start w:val="1"/>
        <w:numFmt w:val="decimal"/>
        <w:isLgl/>
        <w:lvlText w:val="%1.%2.%3.%4.%5.%6.%7."/>
        <w:lvlJc w:val="left"/>
        <w:pPr>
          <w:ind w:left="1920" w:hanging="1440"/>
        </w:pPr>
        <w:rPr>
          <w:rFonts w:hint="default"/>
        </w:rPr>
      </w:lvl>
    </w:lvlOverride>
    <w:lvlOverride w:ilvl="7">
      <w:lvl w:ilvl="7" w:tentative="1">
        <w:start w:val="1"/>
        <w:numFmt w:val="decimal"/>
        <w:isLgl/>
        <w:lvlText w:val="%1.%2.%3.%4.%5.%6.%7.%8."/>
        <w:lvlJc w:val="left"/>
        <w:pPr>
          <w:ind w:left="1920" w:hanging="1440"/>
        </w:pPr>
        <w:rPr>
          <w:rFonts w:hint="default"/>
        </w:rPr>
      </w:lvl>
    </w:lvlOverride>
    <w:lvlOverride w:ilvl="8">
      <w:lvl w:ilvl="8" w:tentative="1">
        <w:start w:val="1"/>
        <w:numFmt w:val="decimal"/>
        <w:isLgl/>
        <w:lvlText w:val="%1.%2.%3.%4.%5.%6.%7.%8.%9."/>
        <w:lvlJc w:val="left"/>
        <w:pPr>
          <w:ind w:left="2280" w:hanging="1800"/>
        </w:pPr>
        <w:rPr>
          <w:rFonts w:hint="default"/>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jBkNjI0YzU3MTYwZWZlODdhMzBiNjdmZjkzMzUifQ=="/>
  </w:docVars>
  <w:rsids>
    <w:rsidRoot w:val="06024BFC"/>
    <w:rsid w:val="01195218"/>
    <w:rsid w:val="01453484"/>
    <w:rsid w:val="03676BDB"/>
    <w:rsid w:val="03C341DC"/>
    <w:rsid w:val="03FC42A4"/>
    <w:rsid w:val="0456002C"/>
    <w:rsid w:val="049D5915"/>
    <w:rsid w:val="06024BFC"/>
    <w:rsid w:val="07276ACE"/>
    <w:rsid w:val="075524D7"/>
    <w:rsid w:val="07870B30"/>
    <w:rsid w:val="08591E67"/>
    <w:rsid w:val="0D200F3F"/>
    <w:rsid w:val="0EDE1004"/>
    <w:rsid w:val="118C18B9"/>
    <w:rsid w:val="135D2B0C"/>
    <w:rsid w:val="14A7065D"/>
    <w:rsid w:val="16E113E5"/>
    <w:rsid w:val="179F5363"/>
    <w:rsid w:val="184454FA"/>
    <w:rsid w:val="1A0A55F4"/>
    <w:rsid w:val="1C9553F8"/>
    <w:rsid w:val="1D085BCA"/>
    <w:rsid w:val="1E1E3077"/>
    <w:rsid w:val="1EAA0208"/>
    <w:rsid w:val="20427E9A"/>
    <w:rsid w:val="22596501"/>
    <w:rsid w:val="22AA7723"/>
    <w:rsid w:val="25B22B68"/>
    <w:rsid w:val="26376D35"/>
    <w:rsid w:val="2A4D7312"/>
    <w:rsid w:val="2A952A67"/>
    <w:rsid w:val="2B5335E7"/>
    <w:rsid w:val="2DD976E7"/>
    <w:rsid w:val="2E150147"/>
    <w:rsid w:val="30556337"/>
    <w:rsid w:val="317452BC"/>
    <w:rsid w:val="33BC18BA"/>
    <w:rsid w:val="34093676"/>
    <w:rsid w:val="34594345"/>
    <w:rsid w:val="34634EE0"/>
    <w:rsid w:val="35696FCA"/>
    <w:rsid w:val="36F67E60"/>
    <w:rsid w:val="37462400"/>
    <w:rsid w:val="38B43830"/>
    <w:rsid w:val="3A50745A"/>
    <w:rsid w:val="3B0F1F28"/>
    <w:rsid w:val="3B2F036E"/>
    <w:rsid w:val="3FEA043A"/>
    <w:rsid w:val="420248A2"/>
    <w:rsid w:val="46C25B9D"/>
    <w:rsid w:val="47763048"/>
    <w:rsid w:val="49CA40B9"/>
    <w:rsid w:val="4D936308"/>
    <w:rsid w:val="4E671CA0"/>
    <w:rsid w:val="4EE16E62"/>
    <w:rsid w:val="51F660CD"/>
    <w:rsid w:val="53910557"/>
    <w:rsid w:val="539620A7"/>
    <w:rsid w:val="548D4619"/>
    <w:rsid w:val="54EC5BD5"/>
    <w:rsid w:val="56DC71A4"/>
    <w:rsid w:val="588A2A1A"/>
    <w:rsid w:val="58BA314C"/>
    <w:rsid w:val="594E3CA4"/>
    <w:rsid w:val="59D6437F"/>
    <w:rsid w:val="5CAA2060"/>
    <w:rsid w:val="5DCC1F1C"/>
    <w:rsid w:val="5E0D2339"/>
    <w:rsid w:val="5F6D7B45"/>
    <w:rsid w:val="5FBB4071"/>
    <w:rsid w:val="633839B4"/>
    <w:rsid w:val="647E189B"/>
    <w:rsid w:val="65804045"/>
    <w:rsid w:val="67BC7BE0"/>
    <w:rsid w:val="67C27211"/>
    <w:rsid w:val="6AAA5ADF"/>
    <w:rsid w:val="6AB05AA2"/>
    <w:rsid w:val="6BC40E5C"/>
    <w:rsid w:val="6C0B1393"/>
    <w:rsid w:val="6C2D44BC"/>
    <w:rsid w:val="6D453B1E"/>
    <w:rsid w:val="6E820728"/>
    <w:rsid w:val="6F0A08FB"/>
    <w:rsid w:val="70E341B7"/>
    <w:rsid w:val="71B72890"/>
    <w:rsid w:val="73F43927"/>
    <w:rsid w:val="784F55D0"/>
    <w:rsid w:val="7B8B4B71"/>
    <w:rsid w:val="7C426F7F"/>
    <w:rsid w:val="7DE14F1D"/>
    <w:rsid w:val="7E36681D"/>
    <w:rsid w:val="7F0013D2"/>
    <w:rsid w:val="7F47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kern w:val="0"/>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13475</Words>
  <Characters>13943</Characters>
  <Lines>0</Lines>
  <Paragraphs>0</Paragraphs>
  <TotalTime>9</TotalTime>
  <ScaleCrop>false</ScaleCrop>
  <LinksUpToDate>false</LinksUpToDate>
  <CharactersWithSpaces>15187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2023-10-25T09:12:00Z</dcterms:created>
  <dc:creator>倾拥</dc:creator>
  <cp:lastModifiedBy>练航程</cp:lastModifiedBy>
  <cp:lastPrinted>2025-04-15T01:05:00Z</cp:lastPrinted>
  <dcterms:modified xsi:type="dcterms:W3CDTF">2025-11-28T08:31:30Z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5AD479FB7DA54688B76CA1FD5047EB55_13</vt:lpwstr>
  </property>
  <property fmtid="{D5CDD505-2E9C-101B-9397-08002B2CF9AE}" pid="4" name="KSOTemplateDocerSaveRecord">
    <vt:lpwstr>eyJoZGlkIjoiYzExNDA4ZWQ3NDFmOTMzZmE1NjYwMTUxNjM0N2M0ZTkiLCJ1c2VySWQiOiIxNjMzNDE0OTE3In0=</vt:lpwstr>
  </property>
</Properties>
</file>