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09776">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四川蜀物兴川物流发展有限公司</w:t>
      </w:r>
    </w:p>
    <w:p w14:paraId="7298D3F3">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关于与四川省某国有企业买卖合同纠纷法律</w:t>
      </w:r>
    </w:p>
    <w:p w14:paraId="5586028F">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服务项目</w:t>
      </w:r>
    </w:p>
    <w:p w14:paraId="5C23808C">
      <w:pPr>
        <w:pStyle w:val="14"/>
        <w:keepNext w:val="0"/>
        <w:keepLines w:val="0"/>
        <w:pageBreakBefore w:val="0"/>
        <w:kinsoku w:val="0"/>
        <w:wordWrap/>
        <w:overflowPunct w:val="0"/>
        <w:topLinePunct w:val="0"/>
        <w:bidi w:val="0"/>
        <w:snapToGrid/>
        <w:spacing w:after="0" w:line="800" w:lineRule="exact"/>
        <w:ind w:left="0"/>
        <w:textAlignment w:val="auto"/>
        <w:rPr>
          <w:rFonts w:ascii="仿宋" w:hAnsi="仿宋" w:eastAsia="仿宋" w:cs="Times New Roman"/>
          <w:sz w:val="20"/>
          <w:szCs w:val="20"/>
          <w:highlight w:val="none"/>
        </w:rPr>
      </w:pPr>
    </w:p>
    <w:p w14:paraId="5320749D">
      <w:pPr>
        <w:keepNext w:val="0"/>
        <w:keepLines w:val="0"/>
        <w:pageBreakBefore w:val="0"/>
        <w:wordWrap/>
        <w:topLinePunct w:val="0"/>
        <w:bidi w:val="0"/>
        <w:snapToGrid/>
        <w:spacing w:after="0" w:line="800" w:lineRule="exact"/>
        <w:ind w:left="0"/>
        <w:textAlignment w:val="auto"/>
        <w:rPr>
          <w:highlight w:val="none"/>
        </w:rPr>
      </w:pPr>
    </w:p>
    <w:p w14:paraId="6A6C59CF">
      <w:pPr>
        <w:pStyle w:val="14"/>
        <w:keepNext w:val="0"/>
        <w:keepLines w:val="0"/>
        <w:pageBreakBefore w:val="0"/>
        <w:kinsoku w:val="0"/>
        <w:wordWrap/>
        <w:overflowPunct w:val="0"/>
        <w:topLinePunct w:val="0"/>
        <w:bidi w:val="0"/>
        <w:snapToGrid/>
        <w:spacing w:after="0" w:line="800" w:lineRule="exact"/>
        <w:ind w:left="0"/>
        <w:textAlignment w:val="auto"/>
        <w:rPr>
          <w:rFonts w:ascii="仿宋" w:hAnsi="仿宋" w:eastAsia="仿宋" w:cs="Times New Roman"/>
          <w:sz w:val="20"/>
          <w:szCs w:val="20"/>
          <w:highlight w:val="none"/>
        </w:rPr>
      </w:pPr>
    </w:p>
    <w:p w14:paraId="720A0F79">
      <w:pPr>
        <w:pStyle w:val="14"/>
        <w:keepNext w:val="0"/>
        <w:keepLines w:val="0"/>
        <w:pageBreakBefore w:val="0"/>
        <w:kinsoku w:val="0"/>
        <w:wordWrap/>
        <w:overflowPunct w:val="0"/>
        <w:topLinePunct w:val="0"/>
        <w:bidi w:val="0"/>
        <w:snapToGrid/>
        <w:spacing w:after="0" w:line="800" w:lineRule="exact"/>
        <w:ind w:left="0"/>
        <w:jc w:val="center"/>
        <w:textAlignment w:val="auto"/>
        <w:rPr>
          <w:rFonts w:ascii="仿宋" w:hAnsi="仿宋" w:eastAsia="仿宋" w:cs="Times New Roman"/>
          <w:b/>
          <w:sz w:val="44"/>
          <w:szCs w:val="44"/>
          <w:highlight w:val="none"/>
        </w:rPr>
      </w:pPr>
    </w:p>
    <w:p w14:paraId="00CF8565">
      <w:pPr>
        <w:pStyle w:val="14"/>
        <w:keepNext w:val="0"/>
        <w:keepLines w:val="0"/>
        <w:pageBreakBefore w:val="0"/>
        <w:kinsoku w:val="0"/>
        <w:wordWrap/>
        <w:overflowPunct w:val="0"/>
        <w:topLinePunct w:val="0"/>
        <w:bidi w:val="0"/>
        <w:snapToGrid/>
        <w:spacing w:after="0" w:line="800" w:lineRule="exact"/>
        <w:ind w:left="0"/>
        <w:jc w:val="both"/>
        <w:textAlignment w:val="auto"/>
        <w:rPr>
          <w:rFonts w:hint="eastAsia" w:ascii="方正小标宋简体" w:hAnsi="方正小标宋简体" w:eastAsia="方正小标宋简体" w:cs="方正小标宋简体"/>
          <w:b/>
          <w:sz w:val="72"/>
          <w:szCs w:val="72"/>
          <w:highlight w:val="none"/>
        </w:rPr>
      </w:pPr>
    </w:p>
    <w:p w14:paraId="0820ECFB">
      <w:pPr>
        <w:pStyle w:val="14"/>
        <w:keepNext w:val="0"/>
        <w:keepLines w:val="0"/>
        <w:pageBreakBefore w:val="0"/>
        <w:widowControl w:val="0"/>
        <w:kinsoku w:val="0"/>
        <w:wordWrap/>
        <w:overflowPunct w:val="0"/>
        <w:topLinePunct w:val="0"/>
        <w:autoSpaceDE w:val="0"/>
        <w:autoSpaceDN w:val="0"/>
        <w:bidi w:val="0"/>
        <w:adjustRightInd w:val="0"/>
        <w:snapToGrid/>
        <w:spacing w:after="0" w:line="800" w:lineRule="exact"/>
        <w:ind w:left="0"/>
        <w:jc w:val="center"/>
        <w:textAlignment w:val="auto"/>
        <w:rPr>
          <w:rFonts w:ascii="仿宋" w:hAnsi="仿宋" w:eastAsia="仿宋" w:cs="Times New Roman"/>
          <w:sz w:val="24"/>
          <w:szCs w:val="24"/>
          <w:highlight w:val="none"/>
        </w:rPr>
      </w:pPr>
      <w:r>
        <w:rPr>
          <w:rFonts w:hint="eastAsia" w:ascii="方正小标宋简体" w:hAnsi="方正小标宋简体" w:eastAsia="方正小标宋简体" w:cs="方正小标宋简体"/>
          <w:sz w:val="72"/>
          <w:szCs w:val="72"/>
          <w:highlight w:val="none"/>
        </w:rPr>
        <w:t>比 选 文 件</w:t>
      </w:r>
    </w:p>
    <w:p w14:paraId="594C3F78">
      <w:pPr>
        <w:pStyle w:val="12"/>
        <w:keepNext w:val="0"/>
        <w:keepLines w:val="0"/>
        <w:pageBreakBefore w:val="0"/>
        <w:wordWrap/>
        <w:topLinePunct w:val="0"/>
        <w:bidi w:val="0"/>
        <w:snapToGrid/>
        <w:spacing w:after="0" w:line="800" w:lineRule="exact"/>
        <w:ind w:left="0"/>
        <w:textAlignment w:val="auto"/>
        <w:rPr>
          <w:rFonts w:ascii="仿宋" w:hAnsi="仿宋" w:eastAsia="仿宋"/>
          <w:highlight w:val="none"/>
        </w:rPr>
      </w:pPr>
    </w:p>
    <w:p w14:paraId="6E09A718">
      <w:pPr>
        <w:keepNext w:val="0"/>
        <w:keepLines w:val="0"/>
        <w:pageBreakBefore w:val="0"/>
        <w:wordWrap/>
        <w:topLinePunct w:val="0"/>
        <w:bidi w:val="0"/>
        <w:snapToGrid/>
        <w:spacing w:after="0" w:line="800" w:lineRule="exact"/>
        <w:ind w:left="0" w:firstLine="560" w:firstLineChars="200"/>
        <w:textAlignment w:val="auto"/>
        <w:outlineLvl w:val="0"/>
        <w:rPr>
          <w:rFonts w:ascii="仿宋" w:hAnsi="仿宋" w:eastAsia="仿宋" w:cs="Times New Roman"/>
          <w:color w:val="auto"/>
          <w:sz w:val="28"/>
          <w:szCs w:val="28"/>
          <w:highlight w:val="none"/>
        </w:rPr>
      </w:pPr>
      <w:r>
        <w:rPr>
          <w:rFonts w:ascii="仿宋" w:hAnsi="仿宋" w:eastAsia="仿宋" w:cs="Times New Roman"/>
          <w:color w:val="auto"/>
          <w:sz w:val="28"/>
          <w:szCs w:val="28"/>
          <w:highlight w:val="none"/>
        </w:rPr>
        <w:t xml:space="preserve">  </w:t>
      </w:r>
    </w:p>
    <w:p w14:paraId="1DEC613D">
      <w:pPr>
        <w:pStyle w:val="14"/>
        <w:keepNext w:val="0"/>
        <w:keepLines w:val="0"/>
        <w:pageBreakBefore w:val="0"/>
        <w:wordWrap/>
        <w:topLinePunct w:val="0"/>
        <w:bidi w:val="0"/>
        <w:snapToGrid/>
        <w:spacing w:after="0" w:line="800" w:lineRule="exact"/>
        <w:ind w:left="0"/>
        <w:textAlignment w:val="auto"/>
        <w:rPr>
          <w:rFonts w:ascii="仿宋" w:hAnsi="仿宋" w:eastAsia="仿宋" w:cs="Times New Roman"/>
          <w:color w:val="auto"/>
          <w:sz w:val="28"/>
          <w:szCs w:val="28"/>
          <w:highlight w:val="none"/>
        </w:rPr>
      </w:pPr>
    </w:p>
    <w:p w14:paraId="3F54DD4E">
      <w:pPr>
        <w:keepNext w:val="0"/>
        <w:keepLines w:val="0"/>
        <w:pageBreakBefore w:val="0"/>
        <w:wordWrap/>
        <w:topLinePunct w:val="0"/>
        <w:bidi w:val="0"/>
        <w:snapToGrid/>
        <w:spacing w:after="0" w:line="800" w:lineRule="exact"/>
        <w:ind w:left="0"/>
        <w:textAlignment w:val="auto"/>
        <w:rPr>
          <w:rFonts w:ascii="仿宋" w:hAnsi="仿宋" w:eastAsia="仿宋" w:cs="Times New Roman"/>
          <w:color w:val="auto"/>
          <w:sz w:val="28"/>
          <w:szCs w:val="28"/>
          <w:highlight w:val="none"/>
        </w:rPr>
      </w:pPr>
    </w:p>
    <w:p w14:paraId="435B3C17">
      <w:pPr>
        <w:keepNext w:val="0"/>
        <w:keepLines w:val="0"/>
        <w:pageBreakBefore w:val="0"/>
        <w:wordWrap/>
        <w:topLinePunct w:val="0"/>
        <w:bidi w:val="0"/>
        <w:snapToGrid/>
        <w:spacing w:after="0" w:line="800" w:lineRule="exact"/>
        <w:ind w:left="0"/>
        <w:textAlignment w:val="auto"/>
        <w:rPr>
          <w:highlight w:val="none"/>
        </w:rPr>
      </w:pPr>
    </w:p>
    <w:p w14:paraId="2BBF8370">
      <w:pPr>
        <w:keepNext w:val="0"/>
        <w:keepLines w:val="0"/>
        <w:pageBreakBefore w:val="0"/>
        <w:wordWrap/>
        <w:topLinePunct w:val="0"/>
        <w:bidi w:val="0"/>
        <w:snapToGrid/>
        <w:spacing w:after="0" w:line="640" w:lineRule="exact"/>
        <w:jc w:val="center"/>
        <w:textAlignment w:val="auto"/>
        <w:outlineLvl w:val="0"/>
        <w:rPr>
          <w:rFonts w:hint="eastAsia" w:ascii="仿宋_GB2312" w:hAnsi="仿宋_GB2312" w:eastAsia="仿宋_GB2312" w:cs="仿宋_GB2312"/>
          <w:b/>
          <w:bCs w:val="0"/>
          <w:color w:val="auto"/>
          <w:sz w:val="32"/>
          <w:szCs w:val="32"/>
          <w:highlight w:val="none"/>
        </w:rPr>
      </w:pPr>
      <w:bookmarkStart w:id="0" w:name="_Toc12131"/>
      <w:bookmarkStart w:id="1" w:name="_Toc30100"/>
      <w:r>
        <w:rPr>
          <w:rFonts w:hint="eastAsia" w:ascii="仿宋_GB2312" w:hAnsi="仿宋_GB2312" w:eastAsia="仿宋_GB2312" w:cs="仿宋_GB2312"/>
          <w:b/>
          <w:bCs w:val="0"/>
          <w:color w:val="auto"/>
          <w:sz w:val="32"/>
          <w:szCs w:val="32"/>
          <w:highlight w:val="none"/>
        </w:rPr>
        <w:t>比选人：四川蜀物兴川物流发展有限公司</w:t>
      </w:r>
      <w:bookmarkEnd w:id="0"/>
      <w:bookmarkEnd w:id="1"/>
    </w:p>
    <w:p w14:paraId="7BB541A9">
      <w:pPr>
        <w:pStyle w:val="14"/>
        <w:keepNext w:val="0"/>
        <w:keepLines w:val="0"/>
        <w:pageBreakBefore w:val="0"/>
        <w:tabs>
          <w:tab w:val="left" w:pos="2593"/>
        </w:tabs>
        <w:kinsoku w:val="0"/>
        <w:wordWrap/>
        <w:overflowPunct w:val="0"/>
        <w:topLinePunct w:val="0"/>
        <w:bidi w:val="0"/>
        <w:snapToGrid/>
        <w:spacing w:line="640" w:lineRule="exact"/>
        <w:ind w:left="0"/>
        <w:jc w:val="center"/>
        <w:textAlignment w:val="auto"/>
        <w:rPr>
          <w:rFonts w:ascii="仿宋" w:hAnsi="仿宋" w:eastAsia="仿宋" w:cs="Times New Roman"/>
          <w:b/>
          <w:sz w:val="32"/>
          <w:szCs w:val="32"/>
          <w:highlight w:val="none"/>
        </w:rPr>
        <w:sectPr>
          <w:pgSz w:w="11906" w:h="16838"/>
          <w:pgMar w:top="2098" w:right="1474" w:bottom="1984" w:left="1587" w:header="720" w:footer="720" w:gutter="0"/>
          <w:cols w:space="720" w:num="1"/>
        </w:sectPr>
      </w:pPr>
      <w:r>
        <w:rPr>
          <w:rFonts w:hint="eastAsia" w:ascii="仿宋_GB2312" w:hAnsi="仿宋_GB2312" w:eastAsia="仿宋_GB2312" w:cs="仿宋_GB2312"/>
          <w:b/>
          <w:bCs w:val="0"/>
          <w:sz w:val="32"/>
          <w:szCs w:val="32"/>
          <w:highlight w:val="none"/>
        </w:rPr>
        <w:t>二〇二</w:t>
      </w:r>
      <w:r>
        <w:rPr>
          <w:rFonts w:hint="eastAsia" w:ascii="仿宋_GB2312" w:hAnsi="仿宋_GB2312" w:eastAsia="仿宋_GB2312" w:cs="仿宋_GB2312"/>
          <w:b/>
          <w:bCs w:val="0"/>
          <w:sz w:val="32"/>
          <w:szCs w:val="32"/>
          <w:highlight w:val="none"/>
          <w:lang w:val="en-US" w:eastAsia="zh-CN"/>
        </w:rPr>
        <w:t>六</w:t>
      </w:r>
      <w:r>
        <w:rPr>
          <w:rFonts w:hint="eastAsia" w:ascii="仿宋_GB2312" w:hAnsi="仿宋_GB2312" w:eastAsia="仿宋_GB2312" w:cs="仿宋_GB2312"/>
          <w:b/>
          <w:bCs w:val="0"/>
          <w:sz w:val="32"/>
          <w:szCs w:val="32"/>
          <w:highlight w:val="none"/>
        </w:rPr>
        <w:t>年</w:t>
      </w:r>
      <w:r>
        <w:rPr>
          <w:rFonts w:hint="eastAsia" w:ascii="仿宋_GB2312" w:hAnsi="仿宋_GB2312" w:eastAsia="仿宋_GB2312" w:cs="仿宋_GB2312"/>
          <w:b/>
          <w:bCs w:val="0"/>
          <w:sz w:val="32"/>
          <w:szCs w:val="32"/>
          <w:highlight w:val="none"/>
          <w:lang w:val="en-US" w:eastAsia="zh-CN"/>
        </w:rPr>
        <w:t>二</w:t>
      </w:r>
      <w:r>
        <w:rPr>
          <w:rFonts w:hint="eastAsia" w:ascii="仿宋_GB2312" w:hAnsi="仿宋_GB2312" w:eastAsia="仿宋_GB2312" w:cs="仿宋_GB2312"/>
          <w:b/>
          <w:bCs w:val="0"/>
          <w:sz w:val="32"/>
          <w:szCs w:val="32"/>
          <w:highlight w:val="none"/>
        </w:rPr>
        <w:t>月</w:t>
      </w:r>
    </w:p>
    <w:p w14:paraId="6ADAC24D">
      <w:pPr>
        <w:spacing w:after="0" w:line="265" w:lineRule="auto"/>
        <w:ind w:left="10" w:right="119" w:hanging="10"/>
        <w:jc w:val="center"/>
        <w:rPr>
          <w:rFonts w:ascii="仿宋" w:hAnsi="仿宋" w:eastAsia="仿宋" w:cs="Times New Roman"/>
          <w:color w:val="auto"/>
          <w:sz w:val="28"/>
          <w:szCs w:val="28"/>
          <w:highlight w:val="none"/>
        </w:rPr>
      </w:pPr>
      <w:r>
        <w:rPr>
          <w:rFonts w:ascii="仿宋" w:hAnsi="仿宋" w:eastAsia="仿宋" w:cs="Times New Roman"/>
          <w:color w:val="auto"/>
          <w:sz w:val="36"/>
          <w:szCs w:val="28"/>
          <w:highlight w:val="none"/>
        </w:rPr>
        <w:t xml:space="preserve">目  录 </w:t>
      </w:r>
    </w:p>
    <w:p w14:paraId="7B87B7EB">
      <w:pPr>
        <w:spacing w:after="0"/>
        <w:rPr>
          <w:rFonts w:ascii="仿宋" w:hAnsi="仿宋" w:eastAsia="仿宋" w:cs="Times New Roman"/>
          <w:color w:val="auto"/>
          <w:highlight w:val="none"/>
        </w:rPr>
      </w:pPr>
    </w:p>
    <w:p w14:paraId="0AAE21B8">
      <w:pPr>
        <w:pStyle w:val="4"/>
        <w:spacing w:after="0" w:line="560" w:lineRule="exact"/>
        <w:ind w:left="0" w:right="0" w:firstLine="0"/>
        <w:rPr>
          <w:rFonts w:ascii="仿宋" w:hAnsi="仿宋" w:eastAsia="仿宋" w:cs="Times New Roman"/>
          <w:sz w:val="28"/>
          <w:szCs w:val="28"/>
          <w:highlight w:val="none"/>
        </w:rPr>
      </w:pPr>
      <w:bookmarkStart w:id="2" w:name="_Toc2910"/>
      <w:bookmarkStart w:id="3" w:name="_Toc118752"/>
      <w:bookmarkStart w:id="4" w:name="_Toc15280"/>
      <w:bookmarkStart w:id="5" w:name="_Toc114620"/>
    </w:p>
    <w:p w14:paraId="09514119">
      <w:pPr>
        <w:pStyle w:val="14"/>
        <w:spacing w:line="560" w:lineRule="exact"/>
        <w:rPr>
          <w:rFonts w:ascii="仿宋" w:hAnsi="仿宋" w:eastAsia="仿宋" w:cs="Times New Roman"/>
          <w:sz w:val="28"/>
          <w:szCs w:val="28"/>
          <w:highlight w:val="none"/>
        </w:rPr>
      </w:pPr>
      <w:r>
        <w:rPr>
          <w:rFonts w:ascii="仿宋" w:hAnsi="仿宋" w:eastAsia="仿宋" w:cs="Times New Roman"/>
          <w:sz w:val="28"/>
          <w:szCs w:val="36"/>
          <w:highlight w:val="none"/>
        </w:rPr>
        <w:t>第一章 比选公告</w:t>
      </w:r>
      <w:r>
        <w:rPr>
          <w:rFonts w:ascii="仿宋" w:hAnsi="仿宋" w:eastAsia="仿宋" w:cs="Times New Roman"/>
          <w:sz w:val="28"/>
          <w:szCs w:val="28"/>
          <w:highlight w:val="none"/>
        </w:rPr>
        <w:t>……………………………………………………1</w:t>
      </w:r>
    </w:p>
    <w:p w14:paraId="6D8C5725">
      <w:pPr>
        <w:pStyle w:val="14"/>
        <w:spacing w:line="560" w:lineRule="exact"/>
        <w:rPr>
          <w:rFonts w:ascii="仿宋" w:hAnsi="仿宋" w:eastAsia="仿宋" w:cs="Times New Roman"/>
          <w:sz w:val="28"/>
          <w:szCs w:val="28"/>
          <w:highlight w:val="none"/>
        </w:rPr>
      </w:pPr>
      <w:r>
        <w:rPr>
          <w:rFonts w:ascii="仿宋" w:hAnsi="仿宋" w:eastAsia="仿宋" w:cs="Times New Roman"/>
          <w:sz w:val="28"/>
          <w:szCs w:val="36"/>
          <w:highlight w:val="none"/>
        </w:rPr>
        <w:t>第二章 参选人须知</w:t>
      </w:r>
      <w:r>
        <w:rPr>
          <w:rFonts w:ascii="仿宋" w:hAnsi="仿宋" w:eastAsia="仿宋" w:cs="Times New Roman"/>
          <w:sz w:val="28"/>
          <w:szCs w:val="28"/>
          <w:highlight w:val="none"/>
        </w:rPr>
        <w:t>…………………………………………………</w:t>
      </w:r>
      <w:r>
        <w:rPr>
          <w:rFonts w:hint="eastAsia" w:ascii="仿宋" w:hAnsi="仿宋" w:eastAsia="仿宋" w:cs="Times New Roman"/>
          <w:sz w:val="28"/>
          <w:szCs w:val="28"/>
          <w:highlight w:val="none"/>
        </w:rPr>
        <w:t>5</w:t>
      </w:r>
    </w:p>
    <w:p w14:paraId="73C9A7F9">
      <w:pPr>
        <w:pStyle w:val="14"/>
        <w:spacing w:line="560" w:lineRule="exact"/>
        <w:rPr>
          <w:rFonts w:ascii="仿宋" w:hAnsi="仿宋" w:eastAsia="仿宋" w:cs="Times New Roman"/>
          <w:sz w:val="28"/>
          <w:szCs w:val="28"/>
          <w:highlight w:val="none"/>
        </w:rPr>
      </w:pPr>
      <w:r>
        <w:rPr>
          <w:rFonts w:ascii="仿宋" w:hAnsi="仿宋" w:eastAsia="仿宋" w:cs="Times New Roman"/>
          <w:sz w:val="28"/>
          <w:szCs w:val="36"/>
          <w:highlight w:val="none"/>
        </w:rPr>
        <w:t>第三章 评审办法</w:t>
      </w:r>
      <w:r>
        <w:rPr>
          <w:rFonts w:ascii="仿宋" w:hAnsi="仿宋" w:eastAsia="仿宋" w:cs="Times New Roman"/>
          <w:sz w:val="28"/>
          <w:szCs w:val="28"/>
          <w:highlight w:val="none"/>
        </w:rPr>
        <w:t>……………………………………………………</w:t>
      </w:r>
      <w:r>
        <w:rPr>
          <w:rFonts w:hint="eastAsia" w:ascii="仿宋" w:hAnsi="仿宋" w:eastAsia="仿宋" w:cs="Times New Roman"/>
          <w:sz w:val="28"/>
          <w:szCs w:val="28"/>
          <w:highlight w:val="none"/>
        </w:rPr>
        <w:t>8</w:t>
      </w:r>
    </w:p>
    <w:p w14:paraId="34C92914">
      <w:pPr>
        <w:pStyle w:val="14"/>
        <w:spacing w:line="560" w:lineRule="exact"/>
        <w:rPr>
          <w:rFonts w:ascii="仿宋" w:hAnsi="仿宋" w:eastAsia="仿宋" w:cs="Times New Roman"/>
          <w:sz w:val="28"/>
          <w:szCs w:val="28"/>
          <w:highlight w:val="none"/>
        </w:rPr>
      </w:pPr>
      <w:r>
        <w:rPr>
          <w:rFonts w:ascii="仿宋" w:hAnsi="仿宋" w:eastAsia="仿宋" w:cs="Times New Roman"/>
          <w:sz w:val="28"/>
          <w:szCs w:val="28"/>
          <w:highlight w:val="none"/>
        </w:rPr>
        <w:t>第四章</w:t>
      </w:r>
      <w:r>
        <w:rPr>
          <w:rFonts w:ascii="仿宋" w:hAnsi="仿宋" w:eastAsia="仿宋" w:cs="Times New Roman"/>
          <w:sz w:val="28"/>
          <w:szCs w:val="36"/>
          <w:highlight w:val="none"/>
        </w:rPr>
        <w:t xml:space="preserve"> </w:t>
      </w:r>
      <w:r>
        <w:rPr>
          <w:rFonts w:ascii="仿宋" w:hAnsi="仿宋" w:eastAsia="仿宋" w:cs="Times New Roman"/>
          <w:sz w:val="28"/>
          <w:szCs w:val="28"/>
          <w:highlight w:val="none"/>
        </w:rPr>
        <w:t>合同条款及格式</w:t>
      </w:r>
      <w:r>
        <w:rPr>
          <w:rFonts w:hint="eastAsia" w:ascii="仿宋" w:hAnsi="仿宋" w:eastAsia="仿宋" w:cs="Times New Roman"/>
          <w:sz w:val="28"/>
          <w:szCs w:val="28"/>
          <w:highlight w:val="none"/>
        </w:rPr>
        <w:t xml:space="preserve">  </w:t>
      </w:r>
      <w:r>
        <w:rPr>
          <w:rFonts w:ascii="仿宋" w:hAnsi="仿宋" w:eastAsia="仿宋" w:cs="Times New Roman"/>
          <w:sz w:val="28"/>
          <w:szCs w:val="28"/>
          <w:highlight w:val="none"/>
        </w:rPr>
        <w:t>…………………………………………1</w:t>
      </w:r>
      <w:r>
        <w:rPr>
          <w:rFonts w:hint="eastAsia" w:ascii="仿宋" w:hAnsi="仿宋" w:eastAsia="仿宋" w:cs="Times New Roman"/>
          <w:sz w:val="28"/>
          <w:szCs w:val="28"/>
          <w:highlight w:val="none"/>
        </w:rPr>
        <w:t>1</w:t>
      </w:r>
    </w:p>
    <w:p w14:paraId="234136E8">
      <w:pPr>
        <w:pStyle w:val="14"/>
        <w:spacing w:line="560" w:lineRule="exact"/>
        <w:rPr>
          <w:rFonts w:hint="eastAsia" w:ascii="仿宋" w:hAnsi="仿宋" w:eastAsia="仿宋" w:cs="Times New Roman"/>
          <w:sz w:val="28"/>
          <w:szCs w:val="28"/>
          <w:highlight w:val="none"/>
          <w:lang w:eastAsia="zh-CN"/>
        </w:rPr>
      </w:pPr>
      <w:r>
        <w:rPr>
          <w:rStyle w:val="35"/>
          <w:rFonts w:ascii="仿宋" w:hAnsi="仿宋" w:eastAsia="仿宋" w:cs="Times New Roman"/>
          <w:color w:val="auto"/>
          <w:sz w:val="28"/>
          <w:szCs w:val="36"/>
          <w:highlight w:val="none"/>
          <w:u w:val="none"/>
        </w:rPr>
        <w:t>第五章</w:t>
      </w:r>
      <w:r>
        <w:rPr>
          <w:rFonts w:ascii="仿宋" w:hAnsi="仿宋" w:eastAsia="仿宋" w:cs="Times New Roman"/>
          <w:sz w:val="28"/>
          <w:szCs w:val="36"/>
          <w:highlight w:val="none"/>
        </w:rPr>
        <w:t xml:space="preserve"> </w:t>
      </w:r>
      <w:r>
        <w:rPr>
          <w:rStyle w:val="35"/>
          <w:rFonts w:ascii="仿宋" w:hAnsi="仿宋" w:eastAsia="仿宋" w:cs="Times New Roman"/>
          <w:color w:val="auto"/>
          <w:sz w:val="28"/>
          <w:szCs w:val="36"/>
          <w:highlight w:val="none"/>
          <w:u w:val="none"/>
        </w:rPr>
        <w:t>比选响应文件</w:t>
      </w:r>
      <w:r>
        <w:rPr>
          <w:rFonts w:ascii="仿宋" w:hAnsi="仿宋" w:eastAsia="仿宋" w:cs="Times New Roman"/>
          <w:sz w:val="28"/>
          <w:szCs w:val="36"/>
          <w:highlight w:val="none"/>
        </w:rPr>
        <w:t>格式</w:t>
      </w:r>
      <w:r>
        <w:rPr>
          <w:rFonts w:hint="eastAsia" w:ascii="仿宋" w:hAnsi="仿宋" w:eastAsia="仿宋" w:cs="Times New Roman"/>
          <w:sz w:val="28"/>
          <w:szCs w:val="36"/>
          <w:highlight w:val="none"/>
        </w:rPr>
        <w:t xml:space="preserve">  </w:t>
      </w:r>
      <w:r>
        <w:rPr>
          <w:rFonts w:ascii="仿宋" w:hAnsi="仿宋" w:eastAsia="仿宋" w:cs="Times New Roman"/>
          <w:sz w:val="28"/>
          <w:szCs w:val="28"/>
          <w:highlight w:val="none"/>
        </w:rPr>
        <w:t>………………………………………1</w:t>
      </w:r>
      <w:r>
        <w:rPr>
          <w:rFonts w:hint="eastAsia" w:ascii="仿宋" w:hAnsi="仿宋" w:eastAsia="仿宋" w:cs="Times New Roman"/>
          <w:sz w:val="28"/>
          <w:szCs w:val="28"/>
          <w:highlight w:val="none"/>
          <w:lang w:val="en-US" w:eastAsia="zh-CN"/>
        </w:rPr>
        <w:t>6</w:t>
      </w:r>
    </w:p>
    <w:p w14:paraId="73BEB3D4">
      <w:pPr>
        <w:pStyle w:val="4"/>
        <w:spacing w:after="0" w:line="240" w:lineRule="auto"/>
        <w:ind w:left="0" w:right="0" w:firstLine="0"/>
        <w:rPr>
          <w:rFonts w:ascii="仿宋" w:hAnsi="仿宋" w:eastAsia="仿宋" w:cs="Times New Roman"/>
          <w:sz w:val="28"/>
          <w:szCs w:val="28"/>
          <w:highlight w:val="none"/>
        </w:rPr>
      </w:pPr>
    </w:p>
    <w:p w14:paraId="58A6D580">
      <w:pPr>
        <w:pStyle w:val="4"/>
        <w:spacing w:after="0" w:line="240" w:lineRule="auto"/>
        <w:ind w:left="0" w:right="0" w:firstLine="0"/>
        <w:rPr>
          <w:rFonts w:ascii="仿宋" w:hAnsi="仿宋" w:eastAsia="仿宋" w:cs="Times New Roman"/>
          <w:sz w:val="28"/>
          <w:szCs w:val="28"/>
          <w:highlight w:val="none"/>
        </w:rPr>
      </w:pPr>
    </w:p>
    <w:p w14:paraId="0FB89153">
      <w:pPr>
        <w:pStyle w:val="4"/>
        <w:spacing w:after="0" w:line="240" w:lineRule="auto"/>
        <w:ind w:left="0" w:right="0" w:firstLine="0"/>
        <w:rPr>
          <w:rFonts w:ascii="仿宋" w:hAnsi="仿宋" w:eastAsia="仿宋" w:cs="Times New Roman"/>
          <w:sz w:val="28"/>
          <w:szCs w:val="28"/>
          <w:highlight w:val="none"/>
        </w:rPr>
        <w:sectPr>
          <w:footerReference r:id="rId5" w:type="default"/>
          <w:pgSz w:w="11906" w:h="16838"/>
          <w:pgMar w:top="2098" w:right="1474" w:bottom="1984" w:left="1587" w:header="720" w:footer="720" w:gutter="0"/>
          <w:pgNumType w:start="1"/>
          <w:cols w:space="720" w:num="1"/>
        </w:sectPr>
      </w:pPr>
    </w:p>
    <w:p w14:paraId="5B325C9F">
      <w:pPr>
        <w:pStyle w:val="4"/>
        <w:pageBreakBefore w:val="0"/>
        <w:kinsoku/>
        <w:wordWrap/>
        <w:overflowPunct/>
        <w:topLinePunct w:val="0"/>
        <w:autoSpaceDE/>
        <w:autoSpaceDN/>
        <w:bidi w:val="0"/>
        <w:adjustRightInd/>
        <w:snapToGrid/>
        <w:spacing w:after="0" w:line="520" w:lineRule="exact"/>
        <w:ind w:left="0" w:leftChars="0" w:right="0" w:firstLine="0"/>
        <w:textAlignment w:val="auto"/>
        <w:rPr>
          <w:rFonts w:ascii="仿宋" w:hAnsi="仿宋" w:eastAsia="仿宋" w:cs="Times New Roman"/>
          <w:color w:val="auto"/>
          <w:sz w:val="36"/>
          <w:szCs w:val="36"/>
          <w:highlight w:val="none"/>
        </w:rPr>
      </w:pPr>
      <w:r>
        <w:rPr>
          <w:rFonts w:ascii="仿宋" w:hAnsi="仿宋" w:eastAsia="仿宋" w:cs="Times New Roman"/>
          <w:color w:val="auto"/>
          <w:szCs w:val="32"/>
          <w:highlight w:val="none"/>
        </w:rPr>
        <w:t>第一章</w:t>
      </w:r>
      <w:bookmarkEnd w:id="2"/>
      <w:bookmarkEnd w:id="3"/>
      <w:bookmarkEnd w:id="4"/>
      <w:r>
        <w:rPr>
          <w:rFonts w:ascii="仿宋" w:hAnsi="仿宋" w:eastAsia="仿宋" w:cs="Times New Roman"/>
          <w:color w:val="auto"/>
          <w:szCs w:val="32"/>
          <w:highlight w:val="none"/>
        </w:rPr>
        <w:t xml:space="preserve">  比选公告</w:t>
      </w:r>
    </w:p>
    <w:p w14:paraId="3EE4EF8B">
      <w:pPr>
        <w:pageBreakBefore w:val="0"/>
        <w:kinsoku/>
        <w:wordWrap/>
        <w:overflowPunct/>
        <w:topLinePunct w:val="0"/>
        <w:autoSpaceDE/>
        <w:autoSpaceDN/>
        <w:bidi w:val="0"/>
        <w:adjustRightInd/>
        <w:snapToGrid/>
        <w:spacing w:after="0" w:line="520" w:lineRule="exact"/>
        <w:ind w:left="0" w:leftChars="0"/>
        <w:jc w:val="center"/>
        <w:textAlignment w:val="auto"/>
        <w:rPr>
          <w:rFonts w:ascii="仿宋" w:hAnsi="仿宋" w:eastAsia="仿宋" w:cs="Times New Roman"/>
          <w:b/>
          <w:bCs/>
          <w:color w:val="auto"/>
          <w:spacing w:val="-11"/>
          <w:sz w:val="28"/>
          <w:szCs w:val="28"/>
          <w:highlight w:val="none"/>
        </w:rPr>
      </w:pPr>
    </w:p>
    <w:p w14:paraId="0C1AF5B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一、比选条件</w:t>
      </w:r>
    </w:p>
    <w:p w14:paraId="21051E5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1.</w:t>
      </w:r>
      <w:r>
        <w:rPr>
          <w:rFonts w:ascii="仿宋" w:hAnsi="仿宋" w:eastAsia="仿宋" w:cs="Times New Roman"/>
          <w:color w:val="auto"/>
          <w:kern w:val="0"/>
          <w:sz w:val="28"/>
          <w:szCs w:val="28"/>
          <w:highlight w:val="none"/>
        </w:rPr>
        <w:t>四川蜀物兴川物流发展有限公司</w:t>
      </w:r>
      <w:r>
        <w:rPr>
          <w:rFonts w:hint="eastAsia" w:ascii="仿宋" w:hAnsi="仿宋" w:eastAsia="仿宋" w:cs="Times New Roman"/>
          <w:b/>
          <w:bCs/>
          <w:strike w:val="0"/>
          <w:dstrike w:val="0"/>
          <w:color w:val="auto"/>
          <w:kern w:val="0"/>
          <w:sz w:val="28"/>
          <w:szCs w:val="28"/>
          <w:highlight w:val="none"/>
          <w:u w:val="single"/>
          <w:lang w:val="en-US" w:eastAsia="zh-CN"/>
        </w:rPr>
        <w:t>关于与四川省某国有企业买卖合同纠纷法律服务项目</w:t>
      </w:r>
      <w:r>
        <w:rPr>
          <w:rFonts w:ascii="仿宋" w:hAnsi="仿宋" w:eastAsia="仿宋" w:cs="Times New Roman"/>
          <w:color w:val="auto"/>
          <w:kern w:val="0"/>
          <w:sz w:val="28"/>
          <w:szCs w:val="28"/>
          <w:highlight w:val="none"/>
        </w:rPr>
        <w:t>已具备公开比选条件，项目业主为四川蜀物兴川物流发展有限公司，资金来自自筹资金，出资比例为100%，比选人为四川蜀物兴川物流发展有限公司，现对该项目进行公开比选。</w:t>
      </w:r>
    </w:p>
    <w:p w14:paraId="13CB0853">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6" w:name="_Toc18180"/>
      <w:bookmarkStart w:id="7" w:name="_Toc118754"/>
      <w:bookmarkStart w:id="8" w:name="_Toc128141189"/>
      <w:bookmarkStart w:id="9" w:name="_Toc28409"/>
      <w:r>
        <w:rPr>
          <w:rFonts w:ascii="仿宋" w:hAnsi="仿宋" w:eastAsia="仿宋" w:cs="Times New Roman"/>
          <w:color w:val="auto"/>
          <w:kern w:val="0"/>
          <w:sz w:val="28"/>
          <w:szCs w:val="28"/>
          <w:highlight w:val="none"/>
        </w:rPr>
        <w:t>二、项目概况</w:t>
      </w:r>
      <w:bookmarkEnd w:id="6"/>
      <w:bookmarkEnd w:id="7"/>
      <w:bookmarkEnd w:id="8"/>
      <w:bookmarkEnd w:id="9"/>
    </w:p>
    <w:p w14:paraId="4059567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eastAsia="zh-CN"/>
        </w:rPr>
      </w:pPr>
      <w:r>
        <w:rPr>
          <w:rFonts w:ascii="仿宋" w:hAnsi="仿宋" w:eastAsia="仿宋" w:cs="Times New Roman"/>
          <w:color w:val="auto"/>
          <w:kern w:val="0"/>
          <w:sz w:val="28"/>
          <w:szCs w:val="28"/>
          <w:highlight w:val="none"/>
        </w:rPr>
        <w:t>2.1.1项目名称：</w:t>
      </w:r>
      <w:r>
        <w:rPr>
          <w:rFonts w:hint="eastAsia" w:ascii="仿宋" w:hAnsi="仿宋" w:eastAsia="仿宋" w:cs="Times New Roman"/>
          <w:color w:val="auto"/>
          <w:kern w:val="0"/>
          <w:sz w:val="28"/>
          <w:szCs w:val="28"/>
          <w:highlight w:val="none"/>
        </w:rPr>
        <w:t>四川蜀物兴川物流发展有限公司关于与四川省某国有企业买卖合同纠纷法律服务项目</w:t>
      </w:r>
      <w:r>
        <w:rPr>
          <w:rFonts w:hint="eastAsia" w:ascii="仿宋" w:hAnsi="仿宋" w:eastAsia="仿宋" w:cs="Times New Roman"/>
          <w:color w:val="auto"/>
          <w:kern w:val="0"/>
          <w:sz w:val="28"/>
          <w:szCs w:val="28"/>
          <w:highlight w:val="none"/>
          <w:lang w:eastAsia="zh-CN"/>
        </w:rPr>
        <w:t>；</w:t>
      </w:r>
    </w:p>
    <w:p w14:paraId="21C03CB3">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val="en-US" w:eastAsia="zh-CN"/>
        </w:rPr>
      </w:pPr>
      <w:r>
        <w:rPr>
          <w:rFonts w:ascii="仿宋" w:hAnsi="仿宋" w:eastAsia="仿宋" w:cs="Times New Roman"/>
          <w:color w:val="auto"/>
          <w:kern w:val="0"/>
          <w:sz w:val="28"/>
          <w:szCs w:val="28"/>
          <w:highlight w:val="none"/>
        </w:rPr>
        <w:t>2.1.2最高限价：</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8.00</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万元</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其中：</w:t>
      </w:r>
    </w:p>
    <w:p w14:paraId="6F173669">
      <w:pPr>
        <w:pageBreakBefore w:val="0"/>
        <w:widowControl w:val="0"/>
        <w:numPr>
          <w:ilvl w:val="0"/>
          <w:numId w:val="0"/>
        </w:numPr>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val="en-US" w:eastAsia="zh-CN"/>
        </w:rPr>
      </w:pPr>
      <w:r>
        <w:rPr>
          <w:rFonts w:hint="eastAsia" w:ascii="仿宋" w:hAnsi="仿宋" w:eastAsia="仿宋" w:cs="Times New Roman"/>
          <w:color w:val="auto"/>
          <w:kern w:val="0"/>
          <w:sz w:val="28"/>
          <w:szCs w:val="28"/>
          <w:highlight w:val="none"/>
          <w:lang w:val="en-US" w:eastAsia="zh-CN"/>
        </w:rPr>
        <w:t>2.1.2.1基础代理费不超过</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1.20</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万元；</w:t>
      </w:r>
    </w:p>
    <w:p w14:paraId="36B1AB74">
      <w:pPr>
        <w:pageBreakBefore w:val="0"/>
        <w:widowControl w:val="0"/>
        <w:numPr>
          <w:ilvl w:val="0"/>
          <w:numId w:val="0"/>
        </w:numPr>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lang w:val="en-US" w:eastAsia="zh-CN"/>
        </w:rPr>
        <w:t>2.1.2.2风险代理费不超过</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6.80</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万元；</w:t>
      </w:r>
    </w:p>
    <w:p w14:paraId="0788332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2.1.3案由：买卖合同纠纷;</w:t>
      </w:r>
    </w:p>
    <w:p w14:paraId="47A1CA0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2.1.4被告：</w:t>
      </w:r>
      <w:r>
        <w:rPr>
          <w:rFonts w:hint="eastAsia" w:ascii="仿宋" w:hAnsi="仿宋" w:eastAsia="仿宋" w:cs="Times New Roman"/>
          <w:color w:val="auto"/>
          <w:kern w:val="0"/>
          <w:sz w:val="28"/>
          <w:szCs w:val="28"/>
          <w:highlight w:val="none"/>
          <w:lang w:val="en-US" w:eastAsia="zh-CN"/>
        </w:rPr>
        <w:t>四川省某</w:t>
      </w:r>
      <w:r>
        <w:rPr>
          <w:rFonts w:ascii="仿宋" w:hAnsi="仿宋" w:eastAsia="仿宋" w:cs="Times New Roman"/>
          <w:color w:val="auto"/>
          <w:kern w:val="0"/>
          <w:sz w:val="28"/>
          <w:szCs w:val="28"/>
          <w:highlight w:val="none"/>
        </w:rPr>
        <w:t>国有企业</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 xml:space="preserve"> </w:t>
      </w:r>
    </w:p>
    <w:p w14:paraId="320E58A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2.1.5诉讼标的：</w:t>
      </w:r>
      <w:r>
        <w:rPr>
          <w:rFonts w:hint="eastAsia" w:ascii="仿宋" w:hAnsi="仿宋" w:eastAsia="仿宋" w:cs="Times New Roman"/>
          <w:color w:val="auto"/>
          <w:kern w:val="0"/>
          <w:sz w:val="28"/>
          <w:szCs w:val="28"/>
          <w:highlight w:val="none"/>
        </w:rPr>
        <w:t>合计约</w:t>
      </w:r>
      <w:r>
        <w:rPr>
          <w:rFonts w:hint="eastAsia" w:ascii="仿宋" w:hAnsi="仿宋" w:eastAsia="仿宋" w:cs="Times New Roman"/>
          <w:color w:val="auto"/>
          <w:kern w:val="0"/>
          <w:sz w:val="28"/>
          <w:szCs w:val="28"/>
          <w:highlight w:val="none"/>
          <w:lang w:val="en-US" w:eastAsia="zh-CN"/>
        </w:rPr>
        <w:t>900</w:t>
      </w:r>
      <w:r>
        <w:rPr>
          <w:rFonts w:hint="eastAsia" w:ascii="仿宋" w:hAnsi="仿宋" w:eastAsia="仿宋" w:cs="Times New Roman"/>
          <w:color w:val="auto"/>
          <w:kern w:val="0"/>
          <w:sz w:val="28"/>
          <w:szCs w:val="28"/>
          <w:highlight w:val="none"/>
        </w:rPr>
        <w:t>万元</w:t>
      </w:r>
      <w:r>
        <w:rPr>
          <w:rFonts w:ascii="仿宋" w:hAnsi="仿宋" w:eastAsia="仿宋" w:cs="Times New Roman"/>
          <w:color w:val="auto"/>
          <w:kern w:val="0"/>
          <w:sz w:val="28"/>
          <w:szCs w:val="28"/>
          <w:highlight w:val="none"/>
        </w:rPr>
        <w:t>（涉诉金额可能变化，以实际为准）;</w:t>
      </w:r>
    </w:p>
    <w:p w14:paraId="6A95819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2.1.6管辖地：</w:t>
      </w:r>
      <w:r>
        <w:rPr>
          <w:rFonts w:hint="eastAsia" w:ascii="仿宋" w:hAnsi="仿宋" w:eastAsia="仿宋" w:cs="Times New Roman"/>
          <w:color w:val="auto"/>
          <w:kern w:val="0"/>
          <w:sz w:val="28"/>
          <w:szCs w:val="28"/>
          <w:highlight w:val="none"/>
          <w:lang w:val="en-US" w:eastAsia="zh-CN"/>
        </w:rPr>
        <w:t>四川省成都市青羊区</w:t>
      </w:r>
      <w:r>
        <w:rPr>
          <w:rFonts w:ascii="仿宋" w:hAnsi="仿宋" w:eastAsia="仿宋" w:cs="Times New Roman"/>
          <w:color w:val="auto"/>
          <w:kern w:val="0"/>
          <w:sz w:val="28"/>
          <w:szCs w:val="28"/>
          <w:highlight w:val="none"/>
        </w:rPr>
        <w:t>;</w:t>
      </w:r>
    </w:p>
    <w:p w14:paraId="05EA17C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2.1.7代理阶段：一、二审、再审（若有）、反诉（若有）、执行;</w:t>
      </w:r>
    </w:p>
    <w:p w14:paraId="05A54220">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2.2服务期限：自代理合同签订之日起至甲方债权全部实现为止;</w:t>
      </w:r>
    </w:p>
    <w:p w14:paraId="130A560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2.3服务内容：</w:t>
      </w:r>
    </w:p>
    <w:p w14:paraId="2F2E883C">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1</w:t>
      </w:r>
      <w:r>
        <w:rPr>
          <w:rFonts w:ascii="仿宋" w:hAnsi="仿宋" w:eastAsia="仿宋" w:cs="Times New Roman"/>
          <w:color w:val="auto"/>
          <w:kern w:val="0"/>
          <w:sz w:val="28"/>
          <w:szCs w:val="28"/>
          <w:highlight w:val="none"/>
        </w:rPr>
        <w:t>）全面分析案情，对相关事实与法律问题进行深入分析与研究；</w:t>
      </w:r>
    </w:p>
    <w:p w14:paraId="17D8D9E9">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2</w:t>
      </w:r>
      <w:r>
        <w:rPr>
          <w:rFonts w:ascii="仿宋" w:hAnsi="仿宋" w:eastAsia="仿宋" w:cs="Times New Roman"/>
          <w:color w:val="auto"/>
          <w:kern w:val="0"/>
          <w:sz w:val="28"/>
          <w:szCs w:val="28"/>
          <w:highlight w:val="none"/>
        </w:rPr>
        <w:t>）梳理案件的证据资料，制定诉讼方案和策略；</w:t>
      </w:r>
    </w:p>
    <w:p w14:paraId="0C04254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3</w:t>
      </w:r>
      <w:r>
        <w:rPr>
          <w:rFonts w:ascii="仿宋" w:hAnsi="仿宋" w:eastAsia="仿宋" w:cs="Times New Roman"/>
          <w:color w:val="auto"/>
          <w:kern w:val="0"/>
          <w:sz w:val="28"/>
          <w:szCs w:val="28"/>
          <w:highlight w:val="none"/>
        </w:rPr>
        <w:t>）准备草拟</w:t>
      </w:r>
      <w:r>
        <w:rPr>
          <w:rFonts w:hint="eastAsia" w:ascii="仿宋" w:hAnsi="仿宋" w:eastAsia="仿宋" w:cs="Times New Roman"/>
          <w:color w:val="auto"/>
          <w:kern w:val="0"/>
          <w:sz w:val="28"/>
          <w:szCs w:val="28"/>
          <w:highlight w:val="none"/>
        </w:rPr>
        <w:t>起诉状/答辩状</w:t>
      </w:r>
      <w:r>
        <w:rPr>
          <w:rFonts w:ascii="仿宋" w:hAnsi="仿宋" w:eastAsia="仿宋" w:cs="Times New Roman"/>
          <w:color w:val="auto"/>
          <w:kern w:val="0"/>
          <w:sz w:val="28"/>
          <w:szCs w:val="28"/>
          <w:highlight w:val="none"/>
        </w:rPr>
        <w:t>、代理词、证据清单等法律文书；</w:t>
      </w:r>
    </w:p>
    <w:p w14:paraId="6C44BB1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4</w:t>
      </w:r>
      <w:r>
        <w:rPr>
          <w:rFonts w:ascii="仿宋" w:hAnsi="仿宋" w:eastAsia="仿宋" w:cs="Times New Roman"/>
          <w:color w:val="auto"/>
          <w:kern w:val="0"/>
          <w:sz w:val="28"/>
          <w:szCs w:val="28"/>
          <w:highlight w:val="none"/>
        </w:rPr>
        <w:t>）代理与本案相关的一审、二审、</w:t>
      </w:r>
      <w:r>
        <w:rPr>
          <w:rFonts w:hint="eastAsia" w:ascii="仿宋" w:hAnsi="仿宋" w:eastAsia="仿宋" w:cs="Times New Roman"/>
          <w:color w:val="auto"/>
          <w:kern w:val="0"/>
          <w:sz w:val="28"/>
          <w:szCs w:val="28"/>
          <w:highlight w:val="none"/>
        </w:rPr>
        <w:t>再审（若有）</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rPr>
        <w:t>含反诉</w:t>
      </w:r>
      <w:r>
        <w:rPr>
          <w:rFonts w:ascii="仿宋" w:hAnsi="仿宋" w:eastAsia="仿宋" w:cs="Times New Roman"/>
          <w:color w:val="auto"/>
          <w:kern w:val="0"/>
          <w:sz w:val="28"/>
          <w:szCs w:val="28"/>
          <w:highlight w:val="none"/>
        </w:rPr>
        <w:t>；</w:t>
      </w:r>
    </w:p>
    <w:p w14:paraId="4637CAC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5</w:t>
      </w:r>
      <w:r>
        <w:rPr>
          <w:rFonts w:ascii="仿宋" w:hAnsi="仿宋" w:eastAsia="仿宋" w:cs="Times New Roman"/>
          <w:color w:val="auto"/>
          <w:kern w:val="0"/>
          <w:sz w:val="28"/>
          <w:szCs w:val="28"/>
          <w:highlight w:val="none"/>
        </w:rPr>
        <w:t>）向法院递交相应的文书和资料、领取法院的相关法律文书；</w:t>
      </w:r>
    </w:p>
    <w:p w14:paraId="13973449">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6</w:t>
      </w:r>
      <w:r>
        <w:rPr>
          <w:rFonts w:ascii="仿宋" w:hAnsi="仿宋" w:eastAsia="仿宋" w:cs="Times New Roman"/>
          <w:color w:val="auto"/>
          <w:kern w:val="0"/>
          <w:sz w:val="28"/>
          <w:szCs w:val="28"/>
          <w:highlight w:val="none"/>
        </w:rPr>
        <w:t>）受</w:t>
      </w:r>
      <w:r>
        <w:rPr>
          <w:rFonts w:hint="eastAsia" w:ascii="仿宋" w:hAnsi="仿宋" w:eastAsia="仿宋" w:cs="Times New Roman"/>
          <w:color w:val="auto"/>
          <w:kern w:val="0"/>
          <w:sz w:val="28"/>
          <w:szCs w:val="28"/>
          <w:highlight w:val="none"/>
          <w:lang w:val="en-US" w:eastAsia="zh-CN"/>
        </w:rPr>
        <w:t>比选</w:t>
      </w:r>
      <w:r>
        <w:rPr>
          <w:rFonts w:ascii="仿宋" w:hAnsi="仿宋" w:eastAsia="仿宋" w:cs="Times New Roman"/>
          <w:color w:val="auto"/>
          <w:kern w:val="0"/>
          <w:sz w:val="28"/>
          <w:szCs w:val="28"/>
          <w:highlight w:val="none"/>
        </w:rPr>
        <w:t>人委托参加可能发生的诉讼程序、谈判、和解、调解活动，就调解、和解方案提出意见，并出具书面的法律意见书；</w:t>
      </w:r>
    </w:p>
    <w:p w14:paraId="480D843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7</w:t>
      </w:r>
      <w:r>
        <w:rPr>
          <w:rFonts w:ascii="仿宋" w:hAnsi="仿宋" w:eastAsia="仿宋" w:cs="Times New Roman"/>
          <w:color w:val="auto"/>
          <w:kern w:val="0"/>
          <w:sz w:val="28"/>
          <w:szCs w:val="28"/>
          <w:highlight w:val="none"/>
        </w:rPr>
        <w:t>）提起上诉，拟定上诉状，参加应诉工作；</w:t>
      </w:r>
    </w:p>
    <w:p w14:paraId="31A20756">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8</w:t>
      </w:r>
      <w:r>
        <w:rPr>
          <w:rFonts w:ascii="仿宋" w:hAnsi="仿宋" w:eastAsia="仿宋" w:cs="Times New Roman"/>
          <w:color w:val="auto"/>
          <w:kern w:val="0"/>
          <w:sz w:val="28"/>
          <w:szCs w:val="28"/>
          <w:highlight w:val="none"/>
        </w:rPr>
        <w:t>）在重要节点，以工作报告形式及时通报委托事项办理进展，征求意见；</w:t>
      </w:r>
    </w:p>
    <w:p w14:paraId="51C41A6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9</w:t>
      </w:r>
      <w:r>
        <w:rPr>
          <w:rFonts w:ascii="仿宋" w:hAnsi="仿宋" w:eastAsia="仿宋" w:cs="Times New Roman"/>
          <w:color w:val="auto"/>
          <w:kern w:val="0"/>
          <w:sz w:val="28"/>
          <w:szCs w:val="28"/>
          <w:highlight w:val="none"/>
        </w:rPr>
        <w:t>）代理案件执行工作；</w:t>
      </w:r>
    </w:p>
    <w:p w14:paraId="26C72B6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10</w:t>
      </w:r>
      <w:r>
        <w:rPr>
          <w:rFonts w:ascii="仿宋" w:hAnsi="仿宋" w:eastAsia="仿宋" w:cs="Times New Roman"/>
          <w:color w:val="auto"/>
          <w:kern w:val="0"/>
          <w:sz w:val="28"/>
          <w:szCs w:val="28"/>
          <w:highlight w:val="none"/>
        </w:rPr>
        <w:t xml:space="preserve">）其他与案件相关的法律事务。       </w:t>
      </w:r>
    </w:p>
    <w:p w14:paraId="273BDEC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2.4质量标准：满足行业及比选人要求;</w:t>
      </w:r>
    </w:p>
    <w:p w14:paraId="44755FA7">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10" w:name="_Toc128141190"/>
      <w:bookmarkStart w:id="11" w:name="_Toc8468"/>
      <w:bookmarkStart w:id="12" w:name="_Toc30467"/>
      <w:bookmarkStart w:id="13" w:name="_Toc118755"/>
      <w:r>
        <w:rPr>
          <w:rFonts w:ascii="仿宋" w:hAnsi="仿宋" w:eastAsia="仿宋" w:cs="Times New Roman"/>
          <w:color w:val="auto"/>
          <w:kern w:val="0"/>
          <w:sz w:val="28"/>
          <w:szCs w:val="28"/>
          <w:highlight w:val="none"/>
        </w:rPr>
        <w:t>2.5项目概述：</w:t>
      </w:r>
    </w:p>
    <w:p w14:paraId="6818FFE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于2024年9月与四川省某国有企业签订多份《煤炭采购合同》。截至2025年11月30日，</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累计支付货款141,619,820.68元，双方累计完成结算金额133,039,809.37元，该国有企业应向</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退还款项8,580,011.31元，前述款项目前已全部逾期。依据《煤炭采购合同》约定，若四川省某国有企业存在未按时交货、未及时办理结算等违约情形，</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有权按照对应批次货款价税合计金额每日万分之五的标准计收违约金。</w:t>
      </w:r>
    </w:p>
    <w:p w14:paraId="710ABB77">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本项目管辖地：四川省成都市青羊区。</w:t>
      </w:r>
    </w:p>
    <w:p w14:paraId="6F24A46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三、参选人资格要求</w:t>
      </w:r>
      <w:bookmarkEnd w:id="10"/>
      <w:bookmarkEnd w:id="11"/>
      <w:bookmarkEnd w:id="12"/>
      <w:bookmarkEnd w:id="13"/>
    </w:p>
    <w:p w14:paraId="67D58B5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3.1资质要求：参选人须在中华人民共和国境内注册，具有独立承担民事责任的能力，具有司法行政主管部门颁发的《律师事务所执业许可证》，合法存续且年度年检合格。</w:t>
      </w:r>
    </w:p>
    <w:p w14:paraId="0DC545F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3.2参选人须具有良好的商业信誉，在“信用中国”网站上查询无严重违</w:t>
      </w:r>
      <w:r>
        <w:rPr>
          <w:rFonts w:hint="eastAsia" w:ascii="仿宋" w:hAnsi="仿宋" w:eastAsia="仿宋" w:cs="Times New Roman"/>
          <w:color w:val="auto"/>
          <w:kern w:val="0"/>
          <w:sz w:val="28"/>
          <w:szCs w:val="28"/>
          <w:highlight w:val="none"/>
        </w:rPr>
        <w:t>法</w:t>
      </w:r>
      <w:r>
        <w:rPr>
          <w:rFonts w:ascii="仿宋" w:hAnsi="仿宋" w:eastAsia="仿宋" w:cs="Times New Roman"/>
          <w:color w:val="auto"/>
          <w:kern w:val="0"/>
          <w:sz w:val="28"/>
          <w:szCs w:val="28"/>
          <w:highlight w:val="none"/>
        </w:rPr>
        <w:t>失信、经营</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活动</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异常</w:t>
      </w:r>
      <w:r>
        <w:rPr>
          <w:rFonts w:hint="eastAsia" w:ascii="仿宋" w:hAnsi="仿宋" w:eastAsia="仿宋" w:cs="Times New Roman"/>
          <w:color w:val="auto"/>
          <w:kern w:val="0"/>
          <w:sz w:val="28"/>
          <w:szCs w:val="28"/>
          <w:highlight w:val="none"/>
          <w:lang w:eastAsia="zh-CN"/>
        </w:rPr>
        <w:t>、失信被执行人、重大税收违法失信</w:t>
      </w:r>
      <w:r>
        <w:rPr>
          <w:rFonts w:ascii="仿宋" w:hAnsi="仿宋" w:eastAsia="仿宋" w:cs="Times New Roman"/>
          <w:color w:val="auto"/>
          <w:kern w:val="0"/>
          <w:sz w:val="28"/>
          <w:szCs w:val="28"/>
          <w:highlight w:val="none"/>
        </w:rPr>
        <w:t>。</w:t>
      </w:r>
    </w:p>
    <w:p w14:paraId="4DDA9B95">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3.3参选人没有处于参选禁入期内，参加本次比选活动前三年内，在经营活动中没有重大违法记录</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律所及团队成员无刑事犯罪记录，近3年内未受过纪律处分、行政处罚或行业处分。</w:t>
      </w:r>
    </w:p>
    <w:p w14:paraId="3D60D91F">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3.4参选人须具有与本比选项目相应的法律服务能力，参选人需指派</w:t>
      </w:r>
      <w:r>
        <w:rPr>
          <w:rFonts w:hint="eastAsia" w:ascii="仿宋" w:hAnsi="仿宋" w:eastAsia="仿宋" w:cs="Times New Roman"/>
          <w:color w:val="auto"/>
          <w:kern w:val="0"/>
          <w:sz w:val="28"/>
          <w:szCs w:val="28"/>
          <w:highlight w:val="none"/>
          <w:lang w:val="en-US" w:eastAsia="zh-CN"/>
        </w:rPr>
        <w:t>至少</w:t>
      </w:r>
      <w:r>
        <w:rPr>
          <w:rFonts w:ascii="仿宋" w:hAnsi="仿宋" w:eastAsia="仿宋" w:cs="Times New Roman"/>
          <w:color w:val="auto"/>
          <w:kern w:val="0"/>
          <w:sz w:val="28"/>
          <w:szCs w:val="28"/>
          <w:highlight w:val="none"/>
        </w:rPr>
        <w:t>三名专职律师承办本案，</w:t>
      </w:r>
      <w:r>
        <w:rPr>
          <w:rFonts w:hint="eastAsia" w:ascii="仿宋" w:hAnsi="仿宋" w:eastAsia="仿宋" w:cs="Times New Roman"/>
          <w:color w:val="auto"/>
          <w:kern w:val="0"/>
          <w:sz w:val="28"/>
          <w:szCs w:val="28"/>
          <w:highlight w:val="none"/>
        </w:rPr>
        <w:t>其中项目负责人</w:t>
      </w:r>
      <w:r>
        <w:rPr>
          <w:rFonts w:hint="eastAsia" w:ascii="仿宋" w:hAnsi="仿宋" w:eastAsia="仿宋" w:cs="Times New Roman"/>
          <w:color w:val="auto"/>
          <w:kern w:val="0"/>
          <w:sz w:val="28"/>
          <w:szCs w:val="28"/>
          <w:highlight w:val="none"/>
          <w:lang w:val="en-US" w:eastAsia="zh-CN"/>
        </w:rPr>
        <w:t>的</w:t>
      </w:r>
      <w:r>
        <w:rPr>
          <w:rFonts w:hint="eastAsia" w:ascii="仿宋" w:hAnsi="仿宋" w:eastAsia="仿宋" w:cs="Times New Roman"/>
          <w:color w:val="auto"/>
          <w:kern w:val="0"/>
          <w:sz w:val="28"/>
          <w:szCs w:val="28"/>
          <w:highlight w:val="none"/>
        </w:rPr>
        <w:t>律师执业年限在5（含）以上，</w:t>
      </w:r>
      <w:r>
        <w:rPr>
          <w:rFonts w:hint="eastAsia" w:ascii="仿宋" w:hAnsi="仿宋" w:eastAsia="仿宋" w:cs="Times New Roman"/>
          <w:color w:val="auto"/>
          <w:kern w:val="0"/>
          <w:sz w:val="28"/>
          <w:szCs w:val="28"/>
          <w:highlight w:val="none"/>
          <w:lang w:val="en-US" w:eastAsia="zh-CN"/>
        </w:rPr>
        <w:t>主办</w:t>
      </w:r>
      <w:r>
        <w:rPr>
          <w:rFonts w:hint="eastAsia" w:ascii="仿宋" w:hAnsi="仿宋" w:eastAsia="仿宋" w:cs="Times New Roman"/>
          <w:color w:val="auto"/>
          <w:kern w:val="0"/>
          <w:sz w:val="28"/>
          <w:szCs w:val="28"/>
          <w:highlight w:val="none"/>
        </w:rPr>
        <w:t>律师</w:t>
      </w:r>
      <w:r>
        <w:rPr>
          <w:rFonts w:hint="eastAsia" w:ascii="仿宋" w:hAnsi="仿宋" w:eastAsia="仿宋" w:cs="Times New Roman"/>
          <w:color w:val="auto"/>
          <w:kern w:val="0"/>
          <w:sz w:val="28"/>
          <w:szCs w:val="28"/>
          <w:highlight w:val="none"/>
          <w:lang w:val="en-US" w:eastAsia="zh-CN"/>
        </w:rPr>
        <w:t>的</w:t>
      </w:r>
      <w:r>
        <w:rPr>
          <w:rFonts w:hint="eastAsia" w:ascii="仿宋" w:hAnsi="仿宋" w:eastAsia="仿宋" w:cs="Times New Roman"/>
          <w:color w:val="auto"/>
          <w:kern w:val="0"/>
          <w:sz w:val="28"/>
          <w:szCs w:val="28"/>
          <w:highlight w:val="none"/>
        </w:rPr>
        <w:t>律师执业年限在3年（含）以上</w:t>
      </w:r>
      <w:r>
        <w:rPr>
          <w:rFonts w:ascii="仿宋" w:hAnsi="仿宋" w:eastAsia="仿宋" w:cs="Times New Roman"/>
          <w:color w:val="auto"/>
          <w:kern w:val="0"/>
          <w:sz w:val="28"/>
          <w:szCs w:val="28"/>
          <w:highlight w:val="none"/>
        </w:rPr>
        <w:t>。</w:t>
      </w:r>
    </w:p>
    <w:p w14:paraId="7E56F576">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3.5本次比选不接受联合体参选。 </w:t>
      </w:r>
    </w:p>
    <w:p w14:paraId="19E7266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四、比选文件的获取 </w:t>
      </w:r>
    </w:p>
    <w:p w14:paraId="608F82A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14" w:name="_Toc118756"/>
      <w:bookmarkStart w:id="15" w:name="_Toc13658"/>
      <w:bookmarkStart w:id="16" w:name="_Toc15490"/>
      <w:bookmarkStart w:id="17" w:name="_Toc128141191"/>
      <w:r>
        <w:rPr>
          <w:rFonts w:ascii="仿宋" w:hAnsi="仿宋" w:eastAsia="仿宋" w:cs="Times New Roman"/>
          <w:color w:val="auto"/>
          <w:kern w:val="0"/>
          <w:sz w:val="28"/>
          <w:szCs w:val="28"/>
          <w:highlight w:val="none"/>
        </w:rPr>
        <w:t>1.获取比选文件时间：自202</w:t>
      </w:r>
      <w:r>
        <w:rPr>
          <w:rFonts w:hint="eastAsia" w:ascii="仿宋" w:hAnsi="仿宋" w:eastAsia="仿宋" w:cs="Times New Roman"/>
          <w:color w:val="auto"/>
          <w:kern w:val="0"/>
          <w:sz w:val="28"/>
          <w:szCs w:val="28"/>
          <w:highlight w:val="none"/>
          <w:lang w:val="en-US" w:eastAsia="zh-CN"/>
        </w:rPr>
        <w:t>6</w:t>
      </w:r>
      <w:r>
        <w:rPr>
          <w:rFonts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2</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5</w:t>
      </w:r>
      <w:r>
        <w:rPr>
          <w:rFonts w:ascii="仿宋" w:hAnsi="仿宋" w:eastAsia="仿宋" w:cs="Times New Roman"/>
          <w:color w:val="auto"/>
          <w:kern w:val="0"/>
          <w:sz w:val="28"/>
          <w:szCs w:val="28"/>
          <w:highlight w:val="none"/>
        </w:rPr>
        <w:t>日至202</w:t>
      </w:r>
      <w:r>
        <w:rPr>
          <w:rFonts w:hint="eastAsia" w:ascii="仿宋" w:hAnsi="仿宋" w:eastAsia="仿宋" w:cs="Times New Roman"/>
          <w:color w:val="auto"/>
          <w:kern w:val="0"/>
          <w:sz w:val="28"/>
          <w:szCs w:val="28"/>
          <w:highlight w:val="none"/>
          <w:lang w:val="en-US" w:eastAsia="zh-CN"/>
        </w:rPr>
        <w:t>6</w:t>
      </w:r>
      <w:r>
        <w:rPr>
          <w:rFonts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2</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11</w:t>
      </w:r>
      <w:r>
        <w:rPr>
          <w:rFonts w:ascii="仿宋" w:hAnsi="仿宋" w:eastAsia="仿宋" w:cs="Times New Roman"/>
          <w:color w:val="auto"/>
          <w:kern w:val="0"/>
          <w:sz w:val="28"/>
          <w:szCs w:val="28"/>
          <w:highlight w:val="none"/>
        </w:rPr>
        <w:t>日上午10:</w:t>
      </w:r>
      <w:r>
        <w:rPr>
          <w:rFonts w:hint="eastAsia" w:ascii="仿宋" w:hAnsi="仿宋" w:eastAsia="仿宋" w:cs="Times New Roman"/>
          <w:color w:val="auto"/>
          <w:kern w:val="0"/>
          <w:sz w:val="28"/>
          <w:szCs w:val="28"/>
          <w:highlight w:val="none"/>
          <w:lang w:val="en-US" w:eastAsia="zh-CN"/>
        </w:rPr>
        <w:t>0</w:t>
      </w:r>
      <w:r>
        <w:rPr>
          <w:rFonts w:ascii="仿宋" w:hAnsi="仿宋" w:eastAsia="仿宋" w:cs="Times New Roman"/>
          <w:color w:val="auto"/>
          <w:kern w:val="0"/>
          <w:sz w:val="28"/>
          <w:szCs w:val="28"/>
          <w:highlight w:val="none"/>
        </w:rPr>
        <w:t>0前。</w:t>
      </w:r>
    </w:p>
    <w:p w14:paraId="38AAFD4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2.比选文件获取方式：本次比选公告在四川蜀道物流集团有限公司网站（</w:t>
      </w:r>
      <w:r>
        <w:rPr>
          <w:rFonts w:hint="eastAsia" w:ascii="仿宋" w:hAnsi="仿宋" w:eastAsia="仿宋" w:cs="Times New Roman"/>
          <w:color w:val="auto"/>
          <w:kern w:val="0"/>
          <w:sz w:val="28"/>
          <w:szCs w:val="28"/>
          <w:highlight w:val="none"/>
        </w:rPr>
        <w:t>https://www.shudaowl.com/xxgk/gggs/index.shtml</w:t>
      </w:r>
      <w:r>
        <w:rPr>
          <w:rFonts w:ascii="仿宋" w:hAnsi="仿宋" w:eastAsia="仿宋" w:cs="Times New Roman"/>
          <w:color w:val="auto"/>
          <w:kern w:val="0"/>
          <w:sz w:val="28"/>
          <w:szCs w:val="28"/>
          <w:highlight w:val="none"/>
        </w:rPr>
        <w:t>）发布。参选人通过指定网站自行下载。</w:t>
      </w:r>
    </w:p>
    <w:p w14:paraId="339DE2DF">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18" w:name="_Toc6668"/>
      <w:bookmarkStart w:id="19" w:name="_Toc10949"/>
      <w:bookmarkStart w:id="20" w:name="_Toc17101"/>
      <w:r>
        <w:rPr>
          <w:rFonts w:ascii="仿宋" w:hAnsi="仿宋" w:eastAsia="仿宋" w:cs="Times New Roman"/>
          <w:color w:val="auto"/>
          <w:kern w:val="0"/>
          <w:sz w:val="28"/>
          <w:szCs w:val="28"/>
          <w:highlight w:val="none"/>
        </w:rPr>
        <w:t>五、比选</w:t>
      </w:r>
      <w:r>
        <w:rPr>
          <w:rFonts w:hint="eastAsia" w:ascii="仿宋" w:hAnsi="仿宋" w:eastAsia="仿宋" w:cs="Times New Roman"/>
          <w:color w:val="auto"/>
          <w:kern w:val="0"/>
          <w:sz w:val="28"/>
          <w:szCs w:val="28"/>
          <w:highlight w:val="none"/>
        </w:rPr>
        <w:t>响应文件</w:t>
      </w:r>
      <w:r>
        <w:rPr>
          <w:rFonts w:ascii="仿宋" w:hAnsi="仿宋" w:eastAsia="仿宋" w:cs="Times New Roman"/>
          <w:color w:val="auto"/>
          <w:kern w:val="0"/>
          <w:sz w:val="28"/>
          <w:szCs w:val="28"/>
          <w:highlight w:val="none"/>
        </w:rPr>
        <w:t>的递交</w:t>
      </w:r>
      <w:bookmarkEnd w:id="18"/>
      <w:bookmarkEnd w:id="19"/>
      <w:bookmarkEnd w:id="20"/>
    </w:p>
    <w:p w14:paraId="2535A38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5.1 比选响应文件递交的截止时间（比选截止时间，下同）为202</w:t>
      </w:r>
      <w:r>
        <w:rPr>
          <w:rFonts w:hint="eastAsia" w:ascii="仿宋" w:hAnsi="仿宋" w:eastAsia="仿宋" w:cs="Times New Roman"/>
          <w:color w:val="auto"/>
          <w:kern w:val="0"/>
          <w:sz w:val="28"/>
          <w:szCs w:val="28"/>
          <w:highlight w:val="none"/>
          <w:lang w:val="en-US" w:eastAsia="zh-CN"/>
        </w:rPr>
        <w:t>6</w:t>
      </w:r>
      <w:r>
        <w:rPr>
          <w:rFonts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2</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11</w:t>
      </w:r>
      <w:r>
        <w:rPr>
          <w:rFonts w:ascii="仿宋" w:hAnsi="仿宋" w:eastAsia="仿宋" w:cs="Times New Roman"/>
          <w:color w:val="auto"/>
          <w:kern w:val="0"/>
          <w:sz w:val="28"/>
          <w:szCs w:val="28"/>
          <w:highlight w:val="none"/>
        </w:rPr>
        <w:t>日上午10时</w:t>
      </w:r>
      <w:r>
        <w:rPr>
          <w:rFonts w:hint="eastAsia" w:ascii="仿宋" w:hAnsi="仿宋" w:eastAsia="仿宋" w:cs="Times New Roman"/>
          <w:color w:val="auto"/>
          <w:kern w:val="0"/>
          <w:sz w:val="28"/>
          <w:szCs w:val="28"/>
          <w:highlight w:val="none"/>
          <w:lang w:val="en-US" w:eastAsia="zh-CN"/>
        </w:rPr>
        <w:t>00</w:t>
      </w:r>
      <w:r>
        <w:rPr>
          <w:rFonts w:ascii="仿宋" w:hAnsi="仿宋" w:eastAsia="仿宋" w:cs="Times New Roman"/>
          <w:color w:val="auto"/>
          <w:kern w:val="0"/>
          <w:sz w:val="28"/>
          <w:szCs w:val="28"/>
          <w:highlight w:val="none"/>
        </w:rPr>
        <w:t xml:space="preserve">分，地点为成都市青羊区光华北五路266号青羊总部经济基地2栋A座11楼。 </w:t>
      </w:r>
    </w:p>
    <w:p w14:paraId="162DC19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5.2 逾期送达的、未送达指定地点的或者不按照比选文件要求密封的比选响应文件，比选人将予以拒收。 </w:t>
      </w:r>
      <w:bookmarkEnd w:id="14"/>
      <w:bookmarkEnd w:id="15"/>
      <w:bookmarkEnd w:id="16"/>
      <w:bookmarkEnd w:id="17"/>
    </w:p>
    <w:p w14:paraId="65143CE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21" w:name="_Toc11556"/>
      <w:bookmarkStart w:id="22" w:name="_Toc44"/>
      <w:bookmarkStart w:id="23" w:name="_Toc3060"/>
      <w:r>
        <w:rPr>
          <w:rFonts w:ascii="仿宋" w:hAnsi="仿宋" w:eastAsia="仿宋" w:cs="Times New Roman"/>
          <w:color w:val="auto"/>
          <w:kern w:val="0"/>
          <w:sz w:val="28"/>
          <w:szCs w:val="28"/>
          <w:highlight w:val="none"/>
        </w:rPr>
        <w:t>六、比选结果</w:t>
      </w:r>
      <w:bookmarkEnd w:id="21"/>
      <w:bookmarkEnd w:id="22"/>
      <w:bookmarkEnd w:id="23"/>
      <w:r>
        <w:rPr>
          <w:rFonts w:ascii="仿宋" w:hAnsi="仿宋" w:eastAsia="仿宋" w:cs="Times New Roman"/>
          <w:color w:val="auto"/>
          <w:kern w:val="0"/>
          <w:sz w:val="28"/>
          <w:szCs w:val="28"/>
          <w:highlight w:val="none"/>
        </w:rPr>
        <w:t>公示</w:t>
      </w:r>
    </w:p>
    <w:p w14:paraId="11065BE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比选人在收到评审报告之日起15日内，将比选结果在四川蜀道物流集团有限公司网站（</w:t>
      </w:r>
      <w:r>
        <w:rPr>
          <w:rFonts w:hint="eastAsia" w:ascii="仿宋" w:hAnsi="仿宋" w:eastAsia="仿宋" w:cs="Times New Roman"/>
          <w:color w:val="auto"/>
          <w:kern w:val="0"/>
          <w:sz w:val="28"/>
          <w:szCs w:val="28"/>
          <w:highlight w:val="none"/>
        </w:rPr>
        <w:t>https://www.shudaowl.com/xxgk/gggs/index.shtml</w:t>
      </w:r>
      <w:r>
        <w:rPr>
          <w:rFonts w:ascii="仿宋" w:hAnsi="仿宋" w:eastAsia="仿宋" w:cs="Times New Roman"/>
          <w:color w:val="auto"/>
          <w:kern w:val="0"/>
          <w:sz w:val="28"/>
          <w:szCs w:val="28"/>
          <w:highlight w:val="none"/>
        </w:rPr>
        <w:t>）上进行公示，以接受社会公开监督。</w:t>
      </w:r>
      <w:r>
        <w:rPr>
          <w:rFonts w:hint="eastAsia" w:ascii="仿宋" w:hAnsi="仿宋" w:eastAsia="仿宋" w:cs="Times New Roman"/>
          <w:color w:val="auto"/>
          <w:kern w:val="0"/>
          <w:sz w:val="28"/>
          <w:szCs w:val="28"/>
          <w:highlight w:val="none"/>
        </w:rPr>
        <w:t>参选</w:t>
      </w:r>
      <w:r>
        <w:rPr>
          <w:rFonts w:ascii="仿宋" w:hAnsi="仿宋" w:eastAsia="仿宋" w:cs="Times New Roman"/>
          <w:color w:val="auto"/>
          <w:kern w:val="0"/>
          <w:sz w:val="28"/>
          <w:szCs w:val="28"/>
          <w:highlight w:val="none"/>
        </w:rPr>
        <w:t>人或者其他利害关系人对评审结果有异议的，应当在公示期间提出。</w:t>
      </w:r>
    </w:p>
    <w:p w14:paraId="2583D09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七、联系方式 </w:t>
      </w:r>
    </w:p>
    <w:p w14:paraId="702C5C40">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比选人：四川蜀物兴川物流发展有限公司</w:t>
      </w:r>
    </w:p>
    <w:p w14:paraId="438E85A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val="en-US" w:eastAsia="zh-CN"/>
        </w:rPr>
      </w:pPr>
      <w:r>
        <w:rPr>
          <w:rFonts w:ascii="仿宋" w:hAnsi="仿宋" w:eastAsia="仿宋" w:cs="Times New Roman"/>
          <w:color w:val="auto"/>
          <w:kern w:val="0"/>
          <w:sz w:val="28"/>
          <w:szCs w:val="28"/>
          <w:highlight w:val="none"/>
        </w:rPr>
        <w:t>地</w:t>
      </w:r>
      <w:r>
        <w:rPr>
          <w:rFonts w:hint="eastAsia" w:ascii="仿宋" w:hAnsi="仿宋" w:eastAsia="仿宋" w:cs="Times New Roman"/>
          <w:color w:val="auto"/>
          <w:kern w:val="0"/>
          <w:sz w:val="28"/>
          <w:szCs w:val="28"/>
          <w:highlight w:val="none"/>
        </w:rPr>
        <w:t xml:space="preserve">  </w:t>
      </w:r>
      <w:r>
        <w:rPr>
          <w:rFonts w:ascii="仿宋" w:hAnsi="仿宋" w:eastAsia="仿宋" w:cs="Times New Roman"/>
          <w:color w:val="auto"/>
          <w:kern w:val="0"/>
          <w:sz w:val="28"/>
          <w:szCs w:val="28"/>
          <w:highlight w:val="none"/>
        </w:rPr>
        <w:t>址：成都市青羊区光华北五路266号青羊总部经济基地2栋A座11</w:t>
      </w:r>
      <w:r>
        <w:rPr>
          <w:rFonts w:hint="eastAsia" w:ascii="仿宋" w:hAnsi="仿宋" w:eastAsia="仿宋" w:cs="Times New Roman"/>
          <w:color w:val="auto"/>
          <w:kern w:val="0"/>
          <w:sz w:val="28"/>
          <w:szCs w:val="28"/>
          <w:highlight w:val="none"/>
          <w:lang w:val="en-US" w:eastAsia="zh-CN"/>
        </w:rPr>
        <w:t>楼</w:t>
      </w:r>
    </w:p>
    <w:p w14:paraId="2D2BDD6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联系人：高老师</w:t>
      </w:r>
    </w:p>
    <w:p w14:paraId="6010331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联系电话：18883114065</w:t>
      </w:r>
    </w:p>
    <w:bookmarkEnd w:id="5"/>
    <w:p w14:paraId="652CB1C6">
      <w:pPr>
        <w:pageBreakBefore w:val="0"/>
        <w:widowControl w:val="0"/>
        <w:kinsoku/>
        <w:wordWrap/>
        <w:overflowPunct/>
        <w:topLinePunct w:val="0"/>
        <w:autoSpaceDE/>
        <w:autoSpaceDN/>
        <w:bidi w:val="0"/>
        <w:adjustRightInd/>
        <w:snapToGrid/>
        <w:spacing w:after="0" w:line="520" w:lineRule="exact"/>
        <w:ind w:left="0" w:leftChars="0"/>
        <w:jc w:val="both"/>
        <w:textAlignment w:val="auto"/>
        <w:rPr>
          <w:rFonts w:ascii="仿宋" w:hAnsi="仿宋" w:eastAsia="仿宋" w:cs="Times New Roman"/>
          <w:color w:val="auto"/>
          <w:kern w:val="0"/>
          <w:sz w:val="28"/>
          <w:szCs w:val="28"/>
          <w:highlight w:val="none"/>
        </w:rPr>
      </w:pPr>
    </w:p>
    <w:p w14:paraId="5B7EEF8B">
      <w:pPr>
        <w:pStyle w:val="2"/>
        <w:pageBreakBefore w:val="0"/>
        <w:kinsoku/>
        <w:wordWrap/>
        <w:overflowPunct/>
        <w:topLinePunct w:val="0"/>
        <w:autoSpaceDE/>
        <w:autoSpaceDN/>
        <w:bidi w:val="0"/>
        <w:adjustRightInd/>
        <w:snapToGrid/>
        <w:spacing w:line="520" w:lineRule="exact"/>
        <w:ind w:left="0" w:leftChars="0" w:firstLine="560"/>
        <w:textAlignment w:val="auto"/>
        <w:rPr>
          <w:rFonts w:ascii="仿宋" w:hAnsi="仿宋" w:eastAsia="仿宋" w:cs="Times New Roman"/>
          <w:color w:val="auto"/>
          <w:kern w:val="0"/>
          <w:sz w:val="28"/>
          <w:szCs w:val="28"/>
          <w:highlight w:val="none"/>
        </w:rPr>
      </w:pPr>
    </w:p>
    <w:p w14:paraId="45828A9E">
      <w:pPr>
        <w:pageBreakBefore w:val="0"/>
        <w:kinsoku/>
        <w:wordWrap/>
        <w:overflowPunct/>
        <w:topLinePunct w:val="0"/>
        <w:autoSpaceDE/>
        <w:autoSpaceDN/>
        <w:bidi w:val="0"/>
        <w:adjustRightInd/>
        <w:snapToGrid/>
        <w:spacing w:line="520" w:lineRule="exact"/>
        <w:ind w:left="0" w:leftChars="0"/>
        <w:textAlignment w:val="auto"/>
        <w:rPr>
          <w:rFonts w:ascii="仿宋" w:hAnsi="仿宋" w:eastAsia="仿宋" w:cs="Times New Roman"/>
          <w:color w:val="auto"/>
          <w:kern w:val="0"/>
          <w:sz w:val="28"/>
          <w:szCs w:val="28"/>
          <w:highlight w:val="none"/>
        </w:rPr>
      </w:pPr>
    </w:p>
    <w:p w14:paraId="204EB4A5">
      <w:pPr>
        <w:pStyle w:val="2"/>
        <w:pageBreakBefore w:val="0"/>
        <w:kinsoku/>
        <w:wordWrap/>
        <w:overflowPunct/>
        <w:topLinePunct w:val="0"/>
        <w:autoSpaceDE/>
        <w:autoSpaceDN/>
        <w:bidi w:val="0"/>
        <w:adjustRightInd/>
        <w:snapToGrid/>
        <w:spacing w:line="520" w:lineRule="exact"/>
        <w:ind w:left="0" w:leftChars="0" w:firstLine="5880" w:firstLineChars="2100"/>
        <w:textAlignment w:val="auto"/>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202</w:t>
      </w:r>
      <w:r>
        <w:rPr>
          <w:rFonts w:hint="eastAsia" w:ascii="仿宋" w:hAnsi="仿宋" w:eastAsia="仿宋" w:cs="Times New Roman"/>
          <w:color w:val="auto"/>
          <w:kern w:val="0"/>
          <w:sz w:val="28"/>
          <w:szCs w:val="28"/>
          <w:highlight w:val="none"/>
          <w:lang w:val="en-US" w:eastAsia="zh-CN"/>
        </w:rPr>
        <w:t>6</w:t>
      </w:r>
      <w:r>
        <w:rPr>
          <w:rFonts w:hint="eastAsia"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2</w:t>
      </w:r>
      <w:r>
        <w:rPr>
          <w:rFonts w:hint="eastAsia"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5</w:t>
      </w:r>
      <w:r>
        <w:rPr>
          <w:rFonts w:hint="eastAsia" w:ascii="仿宋" w:hAnsi="仿宋" w:eastAsia="仿宋" w:cs="Times New Roman"/>
          <w:color w:val="auto"/>
          <w:kern w:val="0"/>
          <w:sz w:val="28"/>
          <w:szCs w:val="28"/>
          <w:highlight w:val="none"/>
        </w:rPr>
        <w:t>日</w:t>
      </w:r>
    </w:p>
    <w:p w14:paraId="67F65C6F">
      <w:pPr>
        <w:rPr>
          <w:rFonts w:ascii="仿宋" w:hAnsi="仿宋" w:eastAsia="仿宋" w:cs="Times New Roman"/>
          <w:color w:val="auto"/>
          <w:kern w:val="0"/>
          <w:sz w:val="28"/>
          <w:szCs w:val="28"/>
          <w:highlight w:val="none"/>
        </w:rPr>
      </w:pPr>
    </w:p>
    <w:p w14:paraId="7372870C">
      <w:pPr>
        <w:rPr>
          <w:rFonts w:ascii="仿宋" w:hAnsi="仿宋" w:eastAsia="仿宋"/>
          <w:highlight w:val="none"/>
        </w:rPr>
        <w:sectPr>
          <w:footerReference r:id="rId6" w:type="default"/>
          <w:pgSz w:w="12240" w:h="15840"/>
          <w:pgMar w:top="2098" w:right="1474" w:bottom="1984" w:left="1587" w:header="720" w:footer="720" w:gutter="0"/>
          <w:pgNumType w:start="1"/>
          <w:cols w:space="720" w:num="1"/>
        </w:sectPr>
      </w:pPr>
    </w:p>
    <w:p w14:paraId="5D403DD1">
      <w:pPr>
        <w:pStyle w:val="4"/>
        <w:spacing w:after="0" w:line="240" w:lineRule="auto"/>
        <w:ind w:left="0" w:right="0" w:firstLine="0"/>
        <w:rPr>
          <w:rFonts w:ascii="仿宋" w:hAnsi="仿宋" w:eastAsia="仿宋" w:cs="Times New Roman"/>
          <w:color w:val="auto"/>
          <w:szCs w:val="32"/>
          <w:highlight w:val="none"/>
        </w:rPr>
      </w:pPr>
      <w:bookmarkStart w:id="24" w:name="_Toc3979"/>
      <w:bookmarkStart w:id="25" w:name="_Toc8776"/>
      <w:r>
        <w:rPr>
          <w:rFonts w:ascii="仿宋" w:hAnsi="仿宋" w:eastAsia="仿宋" w:cs="Times New Roman"/>
          <w:color w:val="auto"/>
          <w:szCs w:val="32"/>
          <w:highlight w:val="none"/>
        </w:rPr>
        <w:t xml:space="preserve">第二章 </w:t>
      </w:r>
      <w:bookmarkEnd w:id="24"/>
      <w:bookmarkEnd w:id="25"/>
      <w:r>
        <w:rPr>
          <w:rFonts w:hint="eastAsia" w:ascii="仿宋" w:hAnsi="仿宋" w:eastAsia="仿宋" w:cs="Times New Roman"/>
          <w:color w:val="auto"/>
          <w:szCs w:val="32"/>
          <w:highlight w:val="none"/>
        </w:rPr>
        <w:t xml:space="preserve">  </w:t>
      </w:r>
      <w:r>
        <w:rPr>
          <w:rFonts w:ascii="仿宋" w:hAnsi="仿宋" w:eastAsia="仿宋" w:cs="Times New Roman"/>
          <w:color w:val="auto"/>
          <w:szCs w:val="32"/>
          <w:highlight w:val="none"/>
        </w:rPr>
        <w:t>参选人须知</w:t>
      </w:r>
    </w:p>
    <w:p w14:paraId="5CBBFA09">
      <w:pPr>
        <w:rPr>
          <w:rFonts w:ascii="仿宋" w:hAnsi="仿宋" w:eastAsia="仿宋" w:cs="Times New Roman"/>
          <w:highlight w:val="none"/>
        </w:rPr>
      </w:pPr>
    </w:p>
    <w:tbl>
      <w:tblPr>
        <w:tblStyle w:val="45"/>
        <w:tblW w:w="4855" w:type="pct"/>
        <w:jc w:val="center"/>
        <w:tblLayout w:type="autofit"/>
        <w:tblCellMar>
          <w:top w:w="0" w:type="dxa"/>
          <w:left w:w="108" w:type="dxa"/>
          <w:bottom w:w="22" w:type="dxa"/>
          <w:right w:w="115" w:type="dxa"/>
        </w:tblCellMar>
      </w:tblPr>
      <w:tblGrid>
        <w:gridCol w:w="1021"/>
        <w:gridCol w:w="2108"/>
        <w:gridCol w:w="6000"/>
      </w:tblGrid>
      <w:tr w14:paraId="06B89BDC">
        <w:tblPrEx>
          <w:tblCellMar>
            <w:top w:w="0" w:type="dxa"/>
            <w:left w:w="108" w:type="dxa"/>
            <w:bottom w:w="22" w:type="dxa"/>
            <w:right w:w="115" w:type="dxa"/>
          </w:tblCellMar>
        </w:tblPrEx>
        <w:trPr>
          <w:trHeight w:val="540" w:hRule="atLeast"/>
          <w:tblHeade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22A4D31">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序</w:t>
            </w:r>
            <w:r>
              <w:rPr>
                <w:rFonts w:hint="eastAsia" w:ascii="仿宋" w:hAnsi="仿宋" w:eastAsia="仿宋" w:cs="Times New Roman"/>
                <w:color w:val="auto"/>
                <w:kern w:val="0"/>
                <w:sz w:val="24"/>
                <w:szCs w:val="24"/>
                <w:highlight w:val="none"/>
              </w:rPr>
              <w:t xml:space="preserve">  </w:t>
            </w:r>
            <w:r>
              <w:rPr>
                <w:rFonts w:ascii="仿宋" w:hAnsi="仿宋" w:eastAsia="仿宋" w:cs="Times New Roman"/>
                <w:color w:val="auto"/>
                <w:kern w:val="0"/>
                <w:sz w:val="24"/>
                <w:szCs w:val="24"/>
                <w:highlight w:val="none"/>
              </w:rPr>
              <w:t>号</w:t>
            </w:r>
          </w:p>
        </w:tc>
        <w:tc>
          <w:tcPr>
            <w:tcW w:w="1154" w:type="pct"/>
            <w:tcBorders>
              <w:top w:val="single" w:color="000000" w:sz="4" w:space="0"/>
              <w:left w:val="single" w:color="000000" w:sz="4" w:space="0"/>
              <w:bottom w:val="single" w:color="000000" w:sz="4" w:space="0"/>
              <w:right w:val="single" w:color="000000" w:sz="4" w:space="0"/>
            </w:tcBorders>
            <w:vAlign w:val="center"/>
          </w:tcPr>
          <w:p w14:paraId="19B924D5">
            <w:pPr>
              <w:widowControl w:val="0"/>
              <w:tabs>
                <w:tab w:val="left" w:pos="1228"/>
                <w:tab w:val="center" w:pos="1807"/>
              </w:tabs>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条款名称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61B57EFC">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编列内容</w:t>
            </w:r>
          </w:p>
        </w:tc>
      </w:tr>
      <w:tr w14:paraId="7F83316E">
        <w:tblPrEx>
          <w:tblCellMar>
            <w:top w:w="0" w:type="dxa"/>
            <w:left w:w="108" w:type="dxa"/>
            <w:bottom w:w="22" w:type="dxa"/>
            <w:right w:w="115" w:type="dxa"/>
          </w:tblCellMar>
        </w:tblPrEx>
        <w:trPr>
          <w:trHeight w:val="1258"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1D154093">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w:t>
            </w:r>
          </w:p>
        </w:tc>
        <w:tc>
          <w:tcPr>
            <w:tcW w:w="1154" w:type="pct"/>
            <w:tcBorders>
              <w:top w:val="single" w:color="000000" w:sz="4" w:space="0"/>
              <w:left w:val="single" w:color="000000" w:sz="4" w:space="0"/>
              <w:bottom w:val="single" w:color="000000" w:sz="4" w:space="0"/>
              <w:right w:val="single" w:color="000000" w:sz="4" w:space="0"/>
            </w:tcBorders>
            <w:vAlign w:val="center"/>
          </w:tcPr>
          <w:p w14:paraId="5D982FB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比选人</w:t>
            </w:r>
          </w:p>
        </w:tc>
        <w:tc>
          <w:tcPr>
            <w:tcW w:w="3285" w:type="pct"/>
            <w:tcBorders>
              <w:top w:val="single" w:color="000000" w:sz="4" w:space="0"/>
              <w:left w:val="single" w:color="000000" w:sz="4" w:space="0"/>
              <w:bottom w:val="single" w:color="000000" w:sz="4" w:space="0"/>
              <w:right w:val="single" w:color="000000" w:sz="4" w:space="0"/>
            </w:tcBorders>
            <w:vAlign w:val="center"/>
          </w:tcPr>
          <w:p w14:paraId="0CAF77E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名称：四川蜀物兴川物流发展有限公司</w:t>
            </w:r>
          </w:p>
          <w:p w14:paraId="05C2956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地址：成都市青羊区光华北五路266号青羊总部经济基地2栋A座11楼</w:t>
            </w:r>
          </w:p>
          <w:p w14:paraId="33C6C62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联系人：高老师，电话：18883114065</w:t>
            </w:r>
          </w:p>
        </w:tc>
      </w:tr>
      <w:tr w14:paraId="688B618C">
        <w:tblPrEx>
          <w:tblCellMar>
            <w:top w:w="0" w:type="dxa"/>
            <w:left w:w="108" w:type="dxa"/>
            <w:bottom w:w="22" w:type="dxa"/>
            <w:right w:w="115" w:type="dxa"/>
          </w:tblCellMar>
        </w:tblPrEx>
        <w:trPr>
          <w:trHeight w:val="6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1BB845E">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p>
        </w:tc>
        <w:tc>
          <w:tcPr>
            <w:tcW w:w="1154" w:type="pct"/>
            <w:tcBorders>
              <w:top w:val="single" w:color="000000" w:sz="4" w:space="0"/>
              <w:left w:val="single" w:color="000000" w:sz="4" w:space="0"/>
              <w:bottom w:val="single" w:color="000000" w:sz="4" w:space="0"/>
              <w:right w:val="single" w:color="000000" w:sz="4" w:space="0"/>
            </w:tcBorders>
            <w:vAlign w:val="center"/>
          </w:tcPr>
          <w:p w14:paraId="1C7F78C6">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项目名称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17B433EF">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四川蜀物兴川物流发展有限公司关于与四川省某国有企业买卖合同纠纷法律服务项目</w:t>
            </w:r>
          </w:p>
        </w:tc>
      </w:tr>
      <w:tr w14:paraId="2A7C60FC">
        <w:tblPrEx>
          <w:tblCellMar>
            <w:top w:w="0" w:type="dxa"/>
            <w:left w:w="108" w:type="dxa"/>
            <w:bottom w:w="22" w:type="dxa"/>
            <w:right w:w="115" w:type="dxa"/>
          </w:tblCellMar>
        </w:tblPrEx>
        <w:trPr>
          <w:trHeight w:val="40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0D73E56">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3</w:t>
            </w:r>
          </w:p>
        </w:tc>
        <w:tc>
          <w:tcPr>
            <w:tcW w:w="1154" w:type="pct"/>
            <w:tcBorders>
              <w:top w:val="single" w:color="000000" w:sz="4" w:space="0"/>
              <w:left w:val="single" w:color="000000" w:sz="4" w:space="0"/>
              <w:bottom w:val="single" w:color="000000" w:sz="4" w:space="0"/>
              <w:right w:val="single" w:color="000000" w:sz="4" w:space="0"/>
            </w:tcBorders>
            <w:vAlign w:val="center"/>
          </w:tcPr>
          <w:p w14:paraId="1090F71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管辖地点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29E0859">
            <w:pPr>
              <w:widowControl w:val="0"/>
              <w:spacing w:after="0" w:line="360" w:lineRule="exact"/>
              <w:rPr>
                <w:rFonts w:hint="default" w:ascii="仿宋" w:hAnsi="仿宋" w:eastAsia="仿宋" w:cs="仿宋_GB2312"/>
                <w:sz w:val="24"/>
                <w:szCs w:val="24"/>
                <w:highlight w:val="none"/>
                <w:lang w:val="en-US" w:eastAsia="zh-CN"/>
              </w:rPr>
            </w:pPr>
            <w:r>
              <w:rPr>
                <w:rFonts w:hint="eastAsia" w:ascii="仿宋" w:hAnsi="仿宋" w:eastAsia="仿宋" w:cs="仿宋_GB2312"/>
                <w:sz w:val="24"/>
                <w:szCs w:val="24"/>
                <w:highlight w:val="none"/>
                <w:lang w:val="en-US" w:eastAsia="zh-CN"/>
              </w:rPr>
              <w:t>四川省成都</w:t>
            </w:r>
            <w:r>
              <w:rPr>
                <w:rFonts w:hint="default" w:ascii="仿宋" w:hAnsi="仿宋" w:eastAsia="仿宋" w:cs="仿宋_GB2312"/>
                <w:sz w:val="24"/>
                <w:szCs w:val="24"/>
                <w:highlight w:val="none"/>
                <w:lang w:val="en-US" w:eastAsia="zh-CN"/>
              </w:rPr>
              <w:t>市</w:t>
            </w:r>
            <w:r>
              <w:rPr>
                <w:rFonts w:hint="eastAsia" w:ascii="仿宋" w:hAnsi="仿宋" w:eastAsia="仿宋" w:cs="仿宋_GB2312"/>
                <w:sz w:val="24"/>
                <w:szCs w:val="24"/>
                <w:highlight w:val="none"/>
                <w:lang w:val="en-US" w:eastAsia="zh-CN"/>
              </w:rPr>
              <w:t>青羊区</w:t>
            </w:r>
          </w:p>
        </w:tc>
      </w:tr>
      <w:tr w14:paraId="63DC47E7">
        <w:tblPrEx>
          <w:tblCellMar>
            <w:top w:w="0" w:type="dxa"/>
            <w:left w:w="108" w:type="dxa"/>
            <w:bottom w:w="22" w:type="dxa"/>
            <w:right w:w="115" w:type="dxa"/>
          </w:tblCellMar>
        </w:tblPrEx>
        <w:trPr>
          <w:trHeight w:val="753"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4AC4613">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w:t>
            </w:r>
          </w:p>
        </w:tc>
        <w:tc>
          <w:tcPr>
            <w:tcW w:w="1154" w:type="pct"/>
            <w:tcBorders>
              <w:top w:val="single" w:color="000000" w:sz="4" w:space="0"/>
              <w:left w:val="single" w:color="000000" w:sz="4" w:space="0"/>
              <w:bottom w:val="single" w:color="000000" w:sz="4" w:space="0"/>
              <w:right w:val="single" w:color="000000" w:sz="4" w:space="0"/>
            </w:tcBorders>
            <w:vAlign w:val="center"/>
          </w:tcPr>
          <w:p w14:paraId="49FFBB5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项目概况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5F4379FF">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案由：买卖合同纠纷;</w:t>
            </w:r>
          </w:p>
          <w:p w14:paraId="474C3DF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被告：</w:t>
            </w:r>
            <w:r>
              <w:rPr>
                <w:rFonts w:hint="eastAsia" w:ascii="仿宋" w:hAnsi="仿宋" w:eastAsia="仿宋" w:cs="仿宋_GB2312"/>
                <w:color w:val="auto"/>
                <w:kern w:val="0"/>
                <w:sz w:val="24"/>
                <w:szCs w:val="24"/>
                <w:highlight w:val="none"/>
                <w:lang w:val="en-US" w:eastAsia="zh-CN"/>
              </w:rPr>
              <w:t>四川省某</w:t>
            </w:r>
            <w:r>
              <w:rPr>
                <w:rFonts w:hint="eastAsia" w:ascii="仿宋" w:hAnsi="仿宋" w:eastAsia="仿宋" w:cs="仿宋_GB2312"/>
                <w:color w:val="auto"/>
                <w:kern w:val="0"/>
                <w:sz w:val="24"/>
                <w:szCs w:val="24"/>
                <w:highlight w:val="none"/>
              </w:rPr>
              <w:t>国有企业;</w:t>
            </w:r>
          </w:p>
          <w:p w14:paraId="756A1BE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标的：合计约</w:t>
            </w:r>
            <w:r>
              <w:rPr>
                <w:rFonts w:hint="eastAsia" w:ascii="仿宋" w:hAnsi="仿宋" w:eastAsia="仿宋" w:cs="仿宋_GB2312"/>
                <w:color w:val="auto"/>
                <w:kern w:val="0"/>
                <w:sz w:val="24"/>
                <w:szCs w:val="24"/>
                <w:highlight w:val="none"/>
                <w:lang w:val="en-US" w:eastAsia="zh-CN"/>
              </w:rPr>
              <w:t>900</w:t>
            </w:r>
            <w:r>
              <w:rPr>
                <w:rFonts w:hint="eastAsia" w:ascii="仿宋" w:hAnsi="仿宋" w:eastAsia="仿宋" w:cs="仿宋_GB2312"/>
                <w:color w:val="auto"/>
                <w:kern w:val="0"/>
                <w:sz w:val="24"/>
                <w:szCs w:val="24"/>
                <w:highlight w:val="none"/>
              </w:rPr>
              <w:t>万元（涉诉金额可能变化，以实际为准）</w:t>
            </w:r>
          </w:p>
        </w:tc>
      </w:tr>
      <w:tr w14:paraId="5C9FE18D">
        <w:tblPrEx>
          <w:tblCellMar>
            <w:top w:w="0" w:type="dxa"/>
            <w:left w:w="108" w:type="dxa"/>
            <w:bottom w:w="22" w:type="dxa"/>
            <w:right w:w="115" w:type="dxa"/>
          </w:tblCellMar>
        </w:tblPrEx>
        <w:trPr>
          <w:trHeight w:val="351"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15A37B2F">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5</w:t>
            </w:r>
          </w:p>
        </w:tc>
        <w:tc>
          <w:tcPr>
            <w:tcW w:w="1154" w:type="pct"/>
            <w:tcBorders>
              <w:top w:val="single" w:color="000000" w:sz="4" w:space="0"/>
              <w:left w:val="single" w:color="000000" w:sz="4" w:space="0"/>
              <w:bottom w:val="single" w:color="000000" w:sz="4" w:space="0"/>
              <w:right w:val="single" w:color="000000" w:sz="4" w:space="0"/>
            </w:tcBorders>
            <w:vAlign w:val="center"/>
          </w:tcPr>
          <w:p w14:paraId="5939782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资金来源及比例</w:t>
            </w:r>
          </w:p>
        </w:tc>
        <w:tc>
          <w:tcPr>
            <w:tcW w:w="3285" w:type="pct"/>
            <w:tcBorders>
              <w:top w:val="single" w:color="000000" w:sz="4" w:space="0"/>
              <w:left w:val="single" w:color="000000" w:sz="4" w:space="0"/>
              <w:bottom w:val="single" w:color="000000" w:sz="4" w:space="0"/>
              <w:right w:val="single" w:color="000000" w:sz="4" w:space="0"/>
            </w:tcBorders>
            <w:vAlign w:val="center"/>
          </w:tcPr>
          <w:p w14:paraId="6E25F06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业主自筹100%</w:t>
            </w:r>
          </w:p>
        </w:tc>
      </w:tr>
      <w:tr w14:paraId="48860729">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628684E">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6</w:t>
            </w:r>
          </w:p>
        </w:tc>
        <w:tc>
          <w:tcPr>
            <w:tcW w:w="1154" w:type="pct"/>
            <w:tcBorders>
              <w:top w:val="single" w:color="000000" w:sz="4" w:space="0"/>
              <w:left w:val="single" w:color="000000" w:sz="4" w:space="0"/>
              <w:bottom w:val="single" w:color="000000" w:sz="4" w:space="0"/>
              <w:right w:val="single" w:color="000000" w:sz="4" w:space="0"/>
            </w:tcBorders>
            <w:vAlign w:val="center"/>
          </w:tcPr>
          <w:p w14:paraId="22734B9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资金落实情况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3E4C11AD">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已落实</w:t>
            </w:r>
          </w:p>
        </w:tc>
      </w:tr>
      <w:tr w14:paraId="39A7D389">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BB5CC28">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7</w:t>
            </w:r>
          </w:p>
        </w:tc>
        <w:tc>
          <w:tcPr>
            <w:tcW w:w="1154" w:type="pct"/>
            <w:tcBorders>
              <w:top w:val="single" w:color="000000" w:sz="4" w:space="0"/>
              <w:left w:val="single" w:color="000000" w:sz="4" w:space="0"/>
              <w:bottom w:val="single" w:color="000000" w:sz="4" w:space="0"/>
              <w:right w:val="single" w:color="000000" w:sz="4" w:space="0"/>
            </w:tcBorders>
            <w:vAlign w:val="center"/>
          </w:tcPr>
          <w:p w14:paraId="57DBFD67">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服务内容</w:t>
            </w:r>
          </w:p>
        </w:tc>
        <w:tc>
          <w:tcPr>
            <w:tcW w:w="3285" w:type="pct"/>
            <w:tcBorders>
              <w:top w:val="single" w:color="000000" w:sz="4" w:space="0"/>
              <w:left w:val="single" w:color="000000" w:sz="4" w:space="0"/>
              <w:bottom w:val="single" w:color="000000" w:sz="4" w:space="0"/>
              <w:right w:val="single" w:color="000000" w:sz="4" w:space="0"/>
            </w:tcBorders>
            <w:vAlign w:val="center"/>
          </w:tcPr>
          <w:p w14:paraId="3E81B0C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详见比选公告</w:t>
            </w:r>
          </w:p>
        </w:tc>
      </w:tr>
      <w:tr w14:paraId="68DF2526">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1B9C850">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8</w:t>
            </w:r>
          </w:p>
        </w:tc>
        <w:tc>
          <w:tcPr>
            <w:tcW w:w="1154" w:type="pct"/>
            <w:tcBorders>
              <w:top w:val="single" w:color="000000" w:sz="4" w:space="0"/>
              <w:left w:val="single" w:color="000000" w:sz="4" w:space="0"/>
              <w:bottom w:val="single" w:color="000000" w:sz="4" w:space="0"/>
              <w:right w:val="single" w:color="000000" w:sz="4" w:space="0"/>
            </w:tcBorders>
            <w:vAlign w:val="center"/>
          </w:tcPr>
          <w:p w14:paraId="569ED2D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服务期限</w:t>
            </w:r>
          </w:p>
        </w:tc>
        <w:tc>
          <w:tcPr>
            <w:tcW w:w="3285" w:type="pct"/>
            <w:tcBorders>
              <w:top w:val="single" w:color="000000" w:sz="4" w:space="0"/>
              <w:left w:val="single" w:color="000000" w:sz="4" w:space="0"/>
              <w:bottom w:val="single" w:color="000000" w:sz="4" w:space="0"/>
              <w:right w:val="single" w:color="000000" w:sz="4" w:space="0"/>
            </w:tcBorders>
            <w:vAlign w:val="center"/>
          </w:tcPr>
          <w:p w14:paraId="62DCDF6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自代理合同签订之日起至甲方债权全部实现为止。</w:t>
            </w:r>
          </w:p>
        </w:tc>
      </w:tr>
      <w:tr w14:paraId="387AC43C">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6CE7A9B">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9</w:t>
            </w:r>
          </w:p>
        </w:tc>
        <w:tc>
          <w:tcPr>
            <w:tcW w:w="1154" w:type="pct"/>
            <w:tcBorders>
              <w:top w:val="single" w:color="000000" w:sz="4" w:space="0"/>
              <w:left w:val="single" w:color="000000" w:sz="4" w:space="0"/>
              <w:bottom w:val="single" w:color="000000" w:sz="4" w:space="0"/>
              <w:right w:val="single" w:color="000000" w:sz="4" w:space="0"/>
            </w:tcBorders>
            <w:vAlign w:val="center"/>
          </w:tcPr>
          <w:p w14:paraId="56BE4C37">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质量标准</w:t>
            </w:r>
          </w:p>
        </w:tc>
        <w:tc>
          <w:tcPr>
            <w:tcW w:w="3285" w:type="pct"/>
            <w:tcBorders>
              <w:top w:val="single" w:color="000000" w:sz="4" w:space="0"/>
              <w:left w:val="single" w:color="000000" w:sz="4" w:space="0"/>
              <w:bottom w:val="single" w:color="000000" w:sz="4" w:space="0"/>
              <w:right w:val="single" w:color="000000" w:sz="4" w:space="0"/>
            </w:tcBorders>
            <w:vAlign w:val="center"/>
          </w:tcPr>
          <w:p w14:paraId="4DAFFF3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满足行业标准及比选人要求</w:t>
            </w:r>
          </w:p>
        </w:tc>
      </w:tr>
      <w:tr w14:paraId="5C08B2A2">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E044E89">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10</w:t>
            </w:r>
          </w:p>
        </w:tc>
        <w:tc>
          <w:tcPr>
            <w:tcW w:w="1154" w:type="pct"/>
            <w:tcBorders>
              <w:top w:val="single" w:color="000000" w:sz="4" w:space="0"/>
              <w:left w:val="single" w:color="000000" w:sz="4" w:space="0"/>
              <w:bottom w:val="single" w:color="000000" w:sz="4" w:space="0"/>
              <w:right w:val="single" w:color="000000" w:sz="4" w:space="0"/>
            </w:tcBorders>
            <w:vAlign w:val="center"/>
          </w:tcPr>
          <w:p w14:paraId="707AD82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参选人资格要求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4BBA721D">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（1）具有司法行政主管部门颁发的《律师事务所执业许可证》，合法存续且年度年检合格。</w:t>
            </w:r>
          </w:p>
          <w:p w14:paraId="655290A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（2）参选人须具有良好的商业信誉，在“信用中国”网站上查询无</w:t>
            </w:r>
            <w:r>
              <w:rPr>
                <w:rFonts w:hint="eastAsia" w:ascii="仿宋" w:hAnsi="仿宋" w:eastAsia="仿宋" w:cs="仿宋_GB2312"/>
                <w:color w:val="auto"/>
                <w:kern w:val="0"/>
                <w:sz w:val="24"/>
                <w:szCs w:val="24"/>
                <w:highlight w:val="none"/>
                <w:lang w:val="en-US" w:eastAsia="zh-CN"/>
              </w:rPr>
              <w:t>严重失信</w:t>
            </w:r>
            <w:r>
              <w:rPr>
                <w:rFonts w:hint="eastAsia" w:ascii="仿宋" w:hAnsi="仿宋" w:eastAsia="仿宋" w:cs="仿宋_GB2312"/>
                <w:color w:val="auto"/>
                <w:kern w:val="0"/>
                <w:sz w:val="24"/>
                <w:szCs w:val="24"/>
                <w:highlight w:val="none"/>
              </w:rPr>
              <w:t>、经营</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lang w:val="en-US" w:eastAsia="zh-CN"/>
              </w:rPr>
              <w:t>活动</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rPr>
              <w:t>异常</w:t>
            </w:r>
            <w:r>
              <w:rPr>
                <w:rFonts w:hint="eastAsia" w:ascii="仿宋" w:hAnsi="仿宋" w:eastAsia="仿宋" w:cs="仿宋_GB2312"/>
                <w:color w:val="auto"/>
                <w:kern w:val="0"/>
                <w:sz w:val="24"/>
                <w:szCs w:val="24"/>
                <w:highlight w:val="none"/>
                <w:lang w:eastAsia="zh-CN"/>
              </w:rPr>
              <w:t>、失信被执行人、</w:t>
            </w:r>
            <w:r>
              <w:rPr>
                <w:rFonts w:hint="eastAsia" w:ascii="仿宋" w:hAnsi="仿宋" w:eastAsia="仿宋" w:cs="仿宋_GB2312"/>
                <w:color w:val="auto"/>
                <w:kern w:val="0"/>
                <w:sz w:val="24"/>
                <w:szCs w:val="24"/>
                <w:highlight w:val="none"/>
                <w:lang w:val="en-US" w:eastAsia="zh-CN"/>
              </w:rPr>
              <w:t>重大税收违法失信</w:t>
            </w:r>
            <w:r>
              <w:rPr>
                <w:rFonts w:hint="eastAsia" w:ascii="仿宋" w:hAnsi="仿宋" w:eastAsia="仿宋" w:cs="仿宋_GB2312"/>
                <w:color w:val="auto"/>
                <w:kern w:val="0"/>
                <w:sz w:val="24"/>
                <w:szCs w:val="24"/>
                <w:highlight w:val="none"/>
              </w:rPr>
              <w:t>。</w:t>
            </w:r>
          </w:p>
          <w:p w14:paraId="2D564F61">
            <w:pPr>
              <w:widowControl w:val="0"/>
              <w:spacing w:after="0" w:line="360" w:lineRule="exact"/>
              <w:rPr>
                <w:rFonts w:hint="eastAsia" w:ascii="仿宋" w:hAnsi="仿宋" w:eastAsia="仿宋" w:cs="仿宋_GB2312"/>
                <w:color w:val="auto"/>
                <w:kern w:val="0"/>
                <w:sz w:val="24"/>
                <w:szCs w:val="24"/>
                <w:highlight w:val="none"/>
                <w:lang w:eastAsia="zh-CN"/>
              </w:rPr>
            </w:pPr>
            <w:r>
              <w:rPr>
                <w:rFonts w:hint="eastAsia" w:ascii="仿宋" w:hAnsi="仿宋" w:eastAsia="仿宋" w:cs="仿宋_GB2312"/>
                <w:color w:val="auto"/>
                <w:kern w:val="0"/>
                <w:sz w:val="24"/>
                <w:szCs w:val="24"/>
                <w:highlight w:val="none"/>
              </w:rPr>
              <w:t>（3）</w:t>
            </w:r>
            <w:r>
              <w:rPr>
                <w:rFonts w:hint="eastAsia" w:ascii="仿宋" w:hAnsi="仿宋" w:eastAsia="仿宋" w:cs="仿宋_GB2312"/>
                <w:color w:val="auto"/>
                <w:kern w:val="0"/>
                <w:sz w:val="24"/>
                <w:szCs w:val="24"/>
                <w:highlight w:val="none"/>
                <w:lang w:val="en-US" w:eastAsia="zh-CN"/>
              </w:rPr>
              <w:t>参选人</w:t>
            </w:r>
            <w:r>
              <w:rPr>
                <w:rFonts w:hint="eastAsia" w:ascii="仿宋" w:hAnsi="仿宋" w:eastAsia="仿宋" w:cs="仿宋_GB2312"/>
                <w:color w:val="auto"/>
                <w:kern w:val="0"/>
                <w:sz w:val="24"/>
                <w:szCs w:val="24"/>
                <w:highlight w:val="none"/>
              </w:rPr>
              <w:t>没有处于参选禁入期内，参加本次比选活动前三年内，在经营活动中没有重大违法记录</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rPr>
              <w:t>律所及团队成员无刑事犯罪记录，近3年内未受过纪律处分、行政处罚或行业处分</w:t>
            </w:r>
            <w:r>
              <w:rPr>
                <w:rFonts w:hint="eastAsia" w:ascii="仿宋" w:hAnsi="仿宋" w:eastAsia="仿宋" w:cs="仿宋_GB2312"/>
                <w:color w:val="auto"/>
                <w:kern w:val="0"/>
                <w:sz w:val="24"/>
                <w:szCs w:val="24"/>
                <w:highlight w:val="none"/>
                <w:lang w:eastAsia="zh-CN"/>
              </w:rPr>
              <w:t>。</w:t>
            </w:r>
          </w:p>
          <w:p w14:paraId="53CE173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（4）参选人须具有与本比选项目相应的法律服务能力，参选人</w:t>
            </w:r>
            <w:r>
              <w:rPr>
                <w:rFonts w:hint="eastAsia" w:ascii="仿宋" w:hAnsi="仿宋" w:eastAsia="仿宋" w:cs="仿宋_GB2312"/>
                <w:color w:val="auto"/>
                <w:kern w:val="0"/>
                <w:sz w:val="24"/>
                <w:szCs w:val="24"/>
                <w:highlight w:val="none"/>
                <w:lang w:val="en-US" w:eastAsia="zh-CN"/>
              </w:rPr>
              <w:t>必须</w:t>
            </w:r>
            <w:r>
              <w:rPr>
                <w:rFonts w:hint="eastAsia" w:ascii="仿宋" w:hAnsi="仿宋" w:eastAsia="仿宋" w:cs="仿宋_GB2312"/>
                <w:color w:val="auto"/>
                <w:kern w:val="0"/>
                <w:sz w:val="24"/>
                <w:szCs w:val="24"/>
                <w:highlight w:val="none"/>
              </w:rPr>
              <w:t>指派</w:t>
            </w:r>
            <w:r>
              <w:rPr>
                <w:rFonts w:hint="eastAsia" w:ascii="仿宋" w:hAnsi="仿宋" w:eastAsia="仿宋" w:cs="仿宋_GB2312"/>
                <w:color w:val="auto"/>
                <w:kern w:val="0"/>
                <w:sz w:val="24"/>
                <w:szCs w:val="24"/>
                <w:highlight w:val="none"/>
                <w:lang w:val="en-US" w:eastAsia="zh-CN"/>
              </w:rPr>
              <w:t>至少</w:t>
            </w:r>
            <w:r>
              <w:rPr>
                <w:rFonts w:hint="eastAsia" w:ascii="仿宋" w:hAnsi="仿宋" w:eastAsia="仿宋" w:cs="仿宋_GB2312"/>
                <w:color w:val="auto"/>
                <w:kern w:val="0"/>
                <w:sz w:val="24"/>
                <w:szCs w:val="24"/>
                <w:highlight w:val="none"/>
              </w:rPr>
              <w:t>三名熟悉买卖合同纠纷案件的专职律师承办本案，其中项目负责人律师执业年限在</w:t>
            </w:r>
            <w:r>
              <w:rPr>
                <w:rFonts w:hint="eastAsia" w:ascii="仿宋" w:hAnsi="仿宋" w:eastAsia="仿宋" w:cs="仿宋_GB2312"/>
                <w:color w:val="auto"/>
                <w:kern w:val="0"/>
                <w:sz w:val="24"/>
                <w:szCs w:val="24"/>
                <w:highlight w:val="none"/>
                <w:lang w:val="en-US" w:eastAsia="zh-CN"/>
              </w:rPr>
              <w:t>5</w:t>
            </w:r>
            <w:r>
              <w:rPr>
                <w:rFonts w:hint="eastAsia" w:ascii="仿宋" w:hAnsi="仿宋" w:eastAsia="仿宋" w:cs="仿宋_GB2312"/>
                <w:color w:val="auto"/>
                <w:kern w:val="0"/>
                <w:sz w:val="24"/>
                <w:szCs w:val="24"/>
                <w:highlight w:val="none"/>
              </w:rPr>
              <w:t>（含）以上</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lang w:val="en-US" w:eastAsia="zh-CN"/>
              </w:rPr>
              <w:t>主办律师</w:t>
            </w:r>
            <w:r>
              <w:rPr>
                <w:rFonts w:hint="eastAsia" w:ascii="仿宋" w:hAnsi="仿宋" w:eastAsia="仿宋" w:cs="仿宋_GB2312"/>
                <w:color w:val="auto"/>
                <w:kern w:val="0"/>
                <w:sz w:val="24"/>
                <w:szCs w:val="24"/>
                <w:highlight w:val="none"/>
              </w:rPr>
              <w:t>律师执业年限在</w:t>
            </w:r>
            <w:r>
              <w:rPr>
                <w:rFonts w:hint="eastAsia" w:ascii="仿宋" w:hAnsi="仿宋" w:eastAsia="仿宋" w:cs="仿宋_GB2312"/>
                <w:color w:val="auto"/>
                <w:kern w:val="0"/>
                <w:sz w:val="24"/>
                <w:szCs w:val="24"/>
                <w:highlight w:val="none"/>
                <w:lang w:val="en-US" w:eastAsia="zh-CN"/>
              </w:rPr>
              <w:t>3年</w:t>
            </w:r>
            <w:r>
              <w:rPr>
                <w:rFonts w:hint="eastAsia" w:ascii="仿宋" w:hAnsi="仿宋" w:eastAsia="仿宋" w:cs="仿宋_GB2312"/>
                <w:color w:val="auto"/>
                <w:kern w:val="0"/>
                <w:sz w:val="24"/>
                <w:szCs w:val="24"/>
                <w:highlight w:val="none"/>
              </w:rPr>
              <w:t>（含）以上</w:t>
            </w:r>
            <w:r>
              <w:rPr>
                <w:rFonts w:hint="eastAsia" w:ascii="仿宋" w:hAnsi="仿宋" w:eastAsia="仿宋" w:cs="仿宋_GB2312"/>
                <w:color w:val="auto"/>
                <w:kern w:val="0"/>
                <w:sz w:val="24"/>
                <w:szCs w:val="24"/>
                <w:highlight w:val="none"/>
                <w:lang w:eastAsia="zh-CN"/>
              </w:rPr>
              <w:t>。</w:t>
            </w:r>
          </w:p>
          <w:p w14:paraId="0D75A33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 xml:space="preserve">（5）本次比选不接受联合体参选。 </w:t>
            </w:r>
          </w:p>
        </w:tc>
      </w:tr>
      <w:tr w14:paraId="77E7B315">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2034E38">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11</w:t>
            </w:r>
          </w:p>
        </w:tc>
        <w:tc>
          <w:tcPr>
            <w:tcW w:w="1154" w:type="pct"/>
            <w:tcBorders>
              <w:top w:val="single" w:color="000000" w:sz="4" w:space="0"/>
              <w:left w:val="single" w:color="000000" w:sz="4" w:space="0"/>
              <w:bottom w:val="single" w:color="000000" w:sz="4" w:space="0"/>
              <w:right w:val="single" w:color="000000" w:sz="4" w:space="0"/>
            </w:tcBorders>
            <w:vAlign w:val="center"/>
          </w:tcPr>
          <w:p w14:paraId="3655A93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联合体参选</w:t>
            </w:r>
          </w:p>
        </w:tc>
        <w:tc>
          <w:tcPr>
            <w:tcW w:w="3285" w:type="pct"/>
            <w:tcBorders>
              <w:top w:val="single" w:color="000000" w:sz="4" w:space="0"/>
              <w:left w:val="single" w:color="000000" w:sz="4" w:space="0"/>
              <w:bottom w:val="single" w:color="000000" w:sz="4" w:space="0"/>
              <w:right w:val="single" w:color="000000" w:sz="4" w:space="0"/>
            </w:tcBorders>
            <w:vAlign w:val="center"/>
          </w:tcPr>
          <w:p w14:paraId="6126EB7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不接受</w:t>
            </w:r>
          </w:p>
        </w:tc>
      </w:tr>
      <w:tr w14:paraId="0C9E7A4F">
        <w:tblPrEx>
          <w:tblCellMar>
            <w:top w:w="141" w:type="dxa"/>
            <w:left w:w="108" w:type="dxa"/>
            <w:bottom w:w="44" w:type="dxa"/>
            <w:right w:w="118" w:type="dxa"/>
          </w:tblCellMar>
        </w:tblPrEx>
        <w:trPr>
          <w:trHeight w:val="44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01E1954">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12</w:t>
            </w:r>
          </w:p>
        </w:tc>
        <w:tc>
          <w:tcPr>
            <w:tcW w:w="1154" w:type="pct"/>
            <w:tcBorders>
              <w:top w:val="single" w:color="000000" w:sz="4" w:space="0"/>
              <w:left w:val="single" w:color="000000" w:sz="4" w:space="0"/>
              <w:bottom w:val="single" w:color="000000" w:sz="4" w:space="0"/>
              <w:right w:val="single" w:color="000000" w:sz="4" w:space="0"/>
            </w:tcBorders>
            <w:vAlign w:val="center"/>
          </w:tcPr>
          <w:p w14:paraId="60D9D15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参选报价的要求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4C49E2B9">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参选报价不得超过最高限价。</w:t>
            </w:r>
          </w:p>
        </w:tc>
      </w:tr>
      <w:tr w14:paraId="458777C0">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4B7B731">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13</w:t>
            </w:r>
          </w:p>
        </w:tc>
        <w:tc>
          <w:tcPr>
            <w:tcW w:w="1154" w:type="pct"/>
            <w:tcBorders>
              <w:top w:val="single" w:color="000000" w:sz="4" w:space="0"/>
              <w:left w:val="single" w:color="000000" w:sz="4" w:space="0"/>
              <w:bottom w:val="single" w:color="000000" w:sz="4" w:space="0"/>
              <w:right w:val="single" w:color="000000" w:sz="4" w:space="0"/>
            </w:tcBorders>
            <w:vAlign w:val="center"/>
          </w:tcPr>
          <w:p w14:paraId="0DB6141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最高参选限价</w:t>
            </w:r>
          </w:p>
        </w:tc>
        <w:tc>
          <w:tcPr>
            <w:tcW w:w="3285" w:type="pct"/>
            <w:tcBorders>
              <w:top w:val="single" w:color="000000" w:sz="4" w:space="0"/>
              <w:left w:val="single" w:color="000000" w:sz="4" w:space="0"/>
              <w:bottom w:val="single" w:color="000000" w:sz="4" w:space="0"/>
              <w:right w:val="single" w:color="000000" w:sz="4" w:space="0"/>
            </w:tcBorders>
            <w:vAlign w:val="center"/>
          </w:tcPr>
          <w:p w14:paraId="0BEF577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最高参选限价：</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lang w:val="en-US" w:eastAsia="zh-CN"/>
              </w:rPr>
              <w:t>8.00</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rPr>
              <w:t>万元</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lang w:val="en-US" w:eastAsia="zh-CN"/>
              </w:rPr>
              <w:t>其中</w:t>
            </w:r>
            <w:r>
              <w:rPr>
                <w:rFonts w:hint="eastAsia" w:ascii="仿宋" w:hAnsi="仿宋" w:eastAsia="仿宋" w:cs="仿宋_GB2312"/>
                <w:color w:val="auto"/>
                <w:kern w:val="0"/>
                <w:sz w:val="24"/>
                <w:szCs w:val="24"/>
                <w:highlight w:val="none"/>
                <w:lang w:eastAsia="zh-CN"/>
              </w:rPr>
              <w:t>基础代理费不超过【</w:t>
            </w:r>
            <w:r>
              <w:rPr>
                <w:rFonts w:hint="eastAsia" w:ascii="仿宋" w:hAnsi="仿宋" w:eastAsia="仿宋" w:cs="仿宋_GB2312"/>
                <w:color w:val="auto"/>
                <w:kern w:val="0"/>
                <w:sz w:val="24"/>
                <w:szCs w:val="24"/>
                <w:highlight w:val="none"/>
                <w:lang w:val="en-US" w:eastAsia="zh-CN"/>
              </w:rPr>
              <w:t>1.20</w:t>
            </w:r>
            <w:r>
              <w:rPr>
                <w:rFonts w:hint="eastAsia" w:ascii="仿宋" w:hAnsi="仿宋" w:eastAsia="仿宋" w:cs="仿宋_GB2312"/>
                <w:color w:val="auto"/>
                <w:kern w:val="0"/>
                <w:sz w:val="24"/>
                <w:szCs w:val="24"/>
                <w:highlight w:val="none"/>
                <w:lang w:eastAsia="zh-CN"/>
              </w:rPr>
              <w:t>】万元；风险代理费不超过【</w:t>
            </w:r>
            <w:r>
              <w:rPr>
                <w:rFonts w:hint="eastAsia" w:ascii="仿宋" w:hAnsi="仿宋" w:eastAsia="仿宋" w:cs="仿宋_GB2312"/>
                <w:color w:val="auto"/>
                <w:kern w:val="0"/>
                <w:sz w:val="24"/>
                <w:szCs w:val="24"/>
                <w:highlight w:val="none"/>
                <w:lang w:val="en-US" w:eastAsia="zh-CN"/>
              </w:rPr>
              <w:t>6.80</w:t>
            </w:r>
            <w:r>
              <w:rPr>
                <w:rFonts w:hint="eastAsia" w:ascii="仿宋" w:hAnsi="仿宋" w:eastAsia="仿宋" w:cs="仿宋_GB2312"/>
                <w:color w:val="auto"/>
                <w:kern w:val="0"/>
                <w:sz w:val="24"/>
                <w:szCs w:val="24"/>
                <w:highlight w:val="none"/>
                <w:lang w:eastAsia="zh-CN"/>
              </w:rPr>
              <w:t>】万元。</w:t>
            </w:r>
          </w:p>
        </w:tc>
      </w:tr>
      <w:tr w14:paraId="4A3B617D">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A199F30">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14</w:t>
            </w:r>
          </w:p>
        </w:tc>
        <w:tc>
          <w:tcPr>
            <w:tcW w:w="1154" w:type="pct"/>
            <w:tcBorders>
              <w:top w:val="single" w:color="000000" w:sz="4" w:space="0"/>
              <w:left w:val="single" w:color="000000" w:sz="4" w:space="0"/>
              <w:bottom w:val="single" w:color="000000" w:sz="4" w:space="0"/>
              <w:right w:val="single" w:color="000000" w:sz="4" w:space="0"/>
            </w:tcBorders>
            <w:vAlign w:val="center"/>
          </w:tcPr>
          <w:p w14:paraId="1F151DD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参选有效期</w:t>
            </w:r>
          </w:p>
        </w:tc>
        <w:tc>
          <w:tcPr>
            <w:tcW w:w="3285" w:type="pct"/>
            <w:tcBorders>
              <w:top w:val="single" w:color="000000" w:sz="4" w:space="0"/>
              <w:left w:val="single" w:color="000000" w:sz="4" w:space="0"/>
              <w:bottom w:val="single" w:color="000000" w:sz="4" w:space="0"/>
              <w:right w:val="single" w:color="000000" w:sz="4" w:space="0"/>
            </w:tcBorders>
            <w:vAlign w:val="center"/>
          </w:tcPr>
          <w:p w14:paraId="0107922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报价截止之日起90天。</w:t>
            </w:r>
          </w:p>
        </w:tc>
      </w:tr>
      <w:tr w14:paraId="3EAC77E4">
        <w:tblPrEx>
          <w:tblCellMar>
            <w:top w:w="141" w:type="dxa"/>
            <w:left w:w="108" w:type="dxa"/>
            <w:bottom w:w="44" w:type="dxa"/>
            <w:right w:w="118" w:type="dxa"/>
          </w:tblCellMar>
        </w:tblPrEx>
        <w:trPr>
          <w:trHeight w:val="90"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75CBB34F">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15</w:t>
            </w:r>
          </w:p>
        </w:tc>
        <w:tc>
          <w:tcPr>
            <w:tcW w:w="1154" w:type="pct"/>
            <w:tcBorders>
              <w:top w:val="single" w:color="000000" w:sz="4" w:space="0"/>
              <w:left w:val="single" w:color="000000" w:sz="4" w:space="0"/>
              <w:bottom w:val="single" w:color="000000" w:sz="4" w:space="0"/>
              <w:right w:val="single" w:color="000000" w:sz="4" w:space="0"/>
            </w:tcBorders>
            <w:vAlign w:val="center"/>
          </w:tcPr>
          <w:p w14:paraId="4DE93BF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1C87FE8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不要求</w:t>
            </w:r>
          </w:p>
        </w:tc>
      </w:tr>
      <w:tr w14:paraId="54B39511">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03A1A5A">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16</w:t>
            </w:r>
          </w:p>
        </w:tc>
        <w:tc>
          <w:tcPr>
            <w:tcW w:w="1154" w:type="pct"/>
            <w:tcBorders>
              <w:top w:val="single" w:color="000000" w:sz="4" w:space="0"/>
              <w:left w:val="single" w:color="000000" w:sz="4" w:space="0"/>
              <w:bottom w:val="single" w:color="000000" w:sz="4" w:space="0"/>
              <w:right w:val="single" w:color="000000" w:sz="4" w:space="0"/>
            </w:tcBorders>
            <w:vAlign w:val="center"/>
          </w:tcPr>
          <w:p w14:paraId="1C75257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w:t>
            </w:r>
          </w:p>
          <w:p w14:paraId="0E5AFB3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密封要求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6BA0FF5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比选响应文件包装应在其封套的封口处加贴封条，并在封套的封口处加盖参选人单位章（鲜章）。</w:t>
            </w:r>
          </w:p>
        </w:tc>
      </w:tr>
      <w:tr w14:paraId="3B0B2E6D">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B937920">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17</w:t>
            </w:r>
          </w:p>
        </w:tc>
        <w:tc>
          <w:tcPr>
            <w:tcW w:w="1154" w:type="pct"/>
            <w:tcBorders>
              <w:top w:val="single" w:color="000000" w:sz="4" w:space="0"/>
              <w:left w:val="single" w:color="000000" w:sz="4" w:space="0"/>
              <w:bottom w:val="single" w:color="000000" w:sz="4" w:space="0"/>
              <w:right w:val="single" w:color="000000" w:sz="4" w:space="0"/>
            </w:tcBorders>
            <w:vAlign w:val="center"/>
          </w:tcPr>
          <w:p w14:paraId="2B57028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封套上应载明的</w:t>
            </w:r>
          </w:p>
          <w:p w14:paraId="7F8073A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信息</w:t>
            </w:r>
          </w:p>
        </w:tc>
        <w:tc>
          <w:tcPr>
            <w:tcW w:w="3285" w:type="pct"/>
            <w:tcBorders>
              <w:top w:val="single" w:color="000000" w:sz="4" w:space="0"/>
              <w:left w:val="single" w:color="000000" w:sz="4" w:space="0"/>
              <w:bottom w:val="single" w:color="000000" w:sz="4" w:space="0"/>
              <w:right w:val="single" w:color="000000" w:sz="4" w:space="0"/>
            </w:tcBorders>
            <w:vAlign w:val="center"/>
          </w:tcPr>
          <w:p w14:paraId="23271D9F">
            <w:pPr>
              <w:widowControl w:val="0"/>
              <w:spacing w:after="0" w:line="360" w:lineRule="exact"/>
              <w:rPr>
                <w:rFonts w:hint="eastAsia" w:ascii="仿宋" w:hAnsi="仿宋" w:eastAsia="仿宋" w:cs="仿宋_GB2312"/>
                <w:color w:val="auto"/>
                <w:sz w:val="24"/>
                <w:szCs w:val="24"/>
                <w:highlight w:val="none"/>
                <w:lang w:eastAsia="zh-CN"/>
              </w:rPr>
            </w:pPr>
            <w:r>
              <w:rPr>
                <w:rFonts w:hint="eastAsia" w:ascii="仿宋" w:hAnsi="仿宋" w:eastAsia="仿宋" w:cs="仿宋_GB2312"/>
                <w:color w:val="auto"/>
                <w:kern w:val="0"/>
                <w:sz w:val="24"/>
                <w:szCs w:val="24"/>
                <w:highlight w:val="none"/>
              </w:rPr>
              <w:t>项目名称</w:t>
            </w:r>
            <w:r>
              <w:rPr>
                <w:rFonts w:hint="eastAsia" w:ascii="仿宋" w:hAnsi="仿宋" w:eastAsia="仿宋" w:cs="仿宋_GB2312"/>
                <w:color w:val="auto"/>
                <w:kern w:val="0"/>
                <w:sz w:val="24"/>
                <w:szCs w:val="24"/>
                <w:highlight w:val="none"/>
                <w:lang w:eastAsia="zh-CN"/>
              </w:rPr>
              <w:t>：四川蜀物兴川物流发展有限公司关于与四川省某国有企业买卖合同纠纷法律服务项目</w:t>
            </w:r>
          </w:p>
          <w:p w14:paraId="0F56390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 xml:space="preserve">比选响应文件 </w:t>
            </w:r>
          </w:p>
          <w:p w14:paraId="7E220ED9">
            <w:pPr>
              <w:widowControl w:val="0"/>
              <w:spacing w:after="0" w:line="360" w:lineRule="exact"/>
              <w:rPr>
                <w:rFonts w:hint="eastAsia"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参选人名称：</w:t>
            </w:r>
          </w:p>
          <w:p w14:paraId="6DD1D818">
            <w:pPr>
              <w:pStyle w:val="14"/>
              <w:ind w:left="0" w:leftChars="0" w:firstLine="0" w:firstLineChars="0"/>
              <w:rPr>
                <w:rFonts w:hint="eastAsia"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lang w:val="en-US" w:eastAsia="zh-CN"/>
              </w:rPr>
              <w:t>单位负责人或其委托代理人（签字）：</w:t>
            </w:r>
            <w:bookmarkStart w:id="61" w:name="_GoBack"/>
            <w:bookmarkEnd w:id="61"/>
          </w:p>
          <w:p w14:paraId="2BEF65A5">
            <w:pPr>
              <w:pStyle w:val="14"/>
              <w:ind w:left="0" w:leftChars="0" w:firstLine="0" w:firstLineChars="0"/>
              <w:rPr>
                <w:rFonts w:hint="eastAsia" w:eastAsia="仿宋"/>
                <w:highlight w:val="none"/>
                <w:lang w:val="en-US" w:eastAsia="zh-CN"/>
              </w:rPr>
            </w:pPr>
            <w:r>
              <w:rPr>
                <w:rFonts w:hint="eastAsia" w:ascii="仿宋" w:hAnsi="仿宋" w:eastAsia="仿宋" w:cs="仿宋_GB2312"/>
                <w:color w:val="auto"/>
                <w:kern w:val="0"/>
                <w:sz w:val="24"/>
                <w:szCs w:val="24"/>
                <w:highlight w:val="none"/>
                <w:lang w:val="en-US" w:eastAsia="zh-CN"/>
              </w:rPr>
              <w:t>日期：</w:t>
            </w:r>
          </w:p>
        </w:tc>
      </w:tr>
      <w:tr w14:paraId="70C62D98">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BADF6C3">
            <w:pPr>
              <w:widowControl w:val="0"/>
              <w:spacing w:after="0" w:line="560" w:lineRule="exact"/>
              <w:jc w:val="center"/>
              <w:rPr>
                <w:rFonts w:ascii="仿宋" w:hAnsi="仿宋" w:eastAsia="仿宋"/>
                <w:highlight w:val="none"/>
              </w:rPr>
            </w:pPr>
            <w:r>
              <w:rPr>
                <w:rFonts w:hint="eastAsia" w:ascii="仿宋" w:hAnsi="仿宋" w:eastAsia="仿宋" w:cs="Times New Roman"/>
                <w:color w:val="auto"/>
                <w:kern w:val="0"/>
                <w:sz w:val="24"/>
                <w:szCs w:val="24"/>
                <w:highlight w:val="none"/>
              </w:rPr>
              <w:t>18</w:t>
            </w:r>
          </w:p>
        </w:tc>
        <w:tc>
          <w:tcPr>
            <w:tcW w:w="1154" w:type="pct"/>
            <w:tcBorders>
              <w:top w:val="single" w:color="000000" w:sz="4" w:space="0"/>
              <w:left w:val="single" w:color="000000" w:sz="4" w:space="0"/>
              <w:bottom w:val="single" w:color="000000" w:sz="4" w:space="0"/>
              <w:right w:val="single" w:color="000000" w:sz="4" w:space="0"/>
            </w:tcBorders>
            <w:vAlign w:val="center"/>
          </w:tcPr>
          <w:p w14:paraId="75A7C30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比选响应文件份数及其他要求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376448D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参选文件份数：一正一副</w:t>
            </w:r>
          </w:p>
          <w:p w14:paraId="07FC2F95">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是否要求提交电子版文件：否</w:t>
            </w:r>
          </w:p>
          <w:p w14:paraId="0184D1B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其他要求：比选响应文件的正本和副本一律用A4复印纸装订。比选响应文件的正本和副本应采用胶装方式左侧装订成册，页码连续，不得采用活页夹等可随时拆换的方式装订，不得有零散页。比选响应文件应编制目录。</w:t>
            </w:r>
          </w:p>
        </w:tc>
      </w:tr>
      <w:tr w14:paraId="6EF9CC61">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2B3EDCA">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19</w:t>
            </w:r>
          </w:p>
        </w:tc>
        <w:tc>
          <w:tcPr>
            <w:tcW w:w="1154" w:type="pct"/>
            <w:tcBorders>
              <w:top w:val="single" w:color="000000" w:sz="4" w:space="0"/>
              <w:left w:val="single" w:color="000000" w:sz="4" w:space="0"/>
              <w:bottom w:val="single" w:color="000000" w:sz="4" w:space="0"/>
              <w:right w:val="single" w:color="000000" w:sz="4" w:space="0"/>
            </w:tcBorders>
            <w:vAlign w:val="center"/>
          </w:tcPr>
          <w:p w14:paraId="1B71053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比选截止时间</w:t>
            </w:r>
          </w:p>
        </w:tc>
        <w:tc>
          <w:tcPr>
            <w:tcW w:w="3285" w:type="pct"/>
            <w:tcBorders>
              <w:top w:val="single" w:color="000000" w:sz="4" w:space="0"/>
              <w:left w:val="single" w:color="000000" w:sz="4" w:space="0"/>
              <w:bottom w:val="single" w:color="000000" w:sz="4" w:space="0"/>
              <w:right w:val="single" w:color="000000" w:sz="4" w:space="0"/>
            </w:tcBorders>
            <w:vAlign w:val="center"/>
          </w:tcPr>
          <w:p w14:paraId="38A6770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见比选公告</w:t>
            </w:r>
          </w:p>
        </w:tc>
      </w:tr>
      <w:tr w14:paraId="402E6ECD">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D846BBE">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20</w:t>
            </w:r>
          </w:p>
        </w:tc>
        <w:tc>
          <w:tcPr>
            <w:tcW w:w="1154" w:type="pct"/>
            <w:tcBorders>
              <w:top w:val="single" w:color="000000" w:sz="4" w:space="0"/>
              <w:left w:val="single" w:color="000000" w:sz="4" w:space="0"/>
              <w:bottom w:val="single" w:color="000000" w:sz="4" w:space="0"/>
              <w:right w:val="single" w:color="000000" w:sz="4" w:space="0"/>
            </w:tcBorders>
            <w:vAlign w:val="center"/>
          </w:tcPr>
          <w:p w14:paraId="0B22D04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递交比选响应文件地点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305371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成都市青羊区光华北五路266号青羊总部经济基地2栋A座11楼</w:t>
            </w:r>
          </w:p>
        </w:tc>
      </w:tr>
      <w:tr w14:paraId="67EE82B0">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8F76F22">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21</w:t>
            </w:r>
          </w:p>
        </w:tc>
        <w:tc>
          <w:tcPr>
            <w:tcW w:w="1154" w:type="pct"/>
            <w:tcBorders>
              <w:top w:val="single" w:color="000000" w:sz="4" w:space="0"/>
              <w:left w:val="single" w:color="000000" w:sz="4" w:space="0"/>
              <w:bottom w:val="single" w:color="000000" w:sz="4" w:space="0"/>
              <w:right w:val="single" w:color="000000" w:sz="4" w:space="0"/>
            </w:tcBorders>
            <w:vAlign w:val="center"/>
          </w:tcPr>
          <w:p w14:paraId="45A16B07">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比选响应文件是否退还</w:t>
            </w:r>
          </w:p>
        </w:tc>
        <w:tc>
          <w:tcPr>
            <w:tcW w:w="3285" w:type="pct"/>
            <w:tcBorders>
              <w:top w:val="single" w:color="000000" w:sz="4" w:space="0"/>
              <w:left w:val="single" w:color="000000" w:sz="4" w:space="0"/>
              <w:bottom w:val="single" w:color="000000" w:sz="4" w:space="0"/>
              <w:right w:val="single" w:color="000000" w:sz="4" w:space="0"/>
            </w:tcBorders>
            <w:vAlign w:val="center"/>
          </w:tcPr>
          <w:p w14:paraId="78C1B4D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否</w:t>
            </w:r>
          </w:p>
        </w:tc>
      </w:tr>
      <w:tr w14:paraId="5A7A8337">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8E1AA3D">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22</w:t>
            </w:r>
          </w:p>
        </w:tc>
        <w:tc>
          <w:tcPr>
            <w:tcW w:w="1154" w:type="pct"/>
            <w:tcBorders>
              <w:top w:val="single" w:color="000000" w:sz="4" w:space="0"/>
              <w:left w:val="single" w:color="000000" w:sz="4" w:space="0"/>
              <w:bottom w:val="single" w:color="000000" w:sz="4" w:space="0"/>
              <w:right w:val="single" w:color="000000" w:sz="4" w:space="0"/>
            </w:tcBorders>
            <w:vAlign w:val="center"/>
          </w:tcPr>
          <w:p w14:paraId="37CE4926">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评选时间和地点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22C420B">
            <w:pPr>
              <w:widowControl w:val="0"/>
              <w:spacing w:after="0" w:line="360" w:lineRule="exact"/>
              <w:rPr>
                <w:rFonts w:hint="default"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rPr>
              <w:t>评选时间：</w:t>
            </w:r>
            <w:r>
              <w:rPr>
                <w:rFonts w:hint="eastAsia" w:ascii="仿宋" w:hAnsi="仿宋" w:eastAsia="仿宋" w:cs="仿宋_GB2312"/>
                <w:color w:val="auto"/>
                <w:kern w:val="0"/>
                <w:sz w:val="24"/>
                <w:szCs w:val="24"/>
                <w:highlight w:val="none"/>
                <w:lang w:val="en-US" w:eastAsia="zh-CN"/>
              </w:rPr>
              <w:t>2026年2月11日</w:t>
            </w:r>
          </w:p>
          <w:p w14:paraId="290C8095">
            <w:pPr>
              <w:widowControl w:val="0"/>
              <w:spacing w:after="0" w:line="360" w:lineRule="exact"/>
              <w:rPr>
                <w:rFonts w:hint="eastAsia"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rPr>
              <w:t>开标地点：成都市青羊区光华北五路266号青羊总部经济基地2栋A座11楼</w:t>
            </w:r>
            <w:r>
              <w:rPr>
                <w:rFonts w:hint="eastAsia" w:ascii="仿宋" w:hAnsi="仿宋" w:eastAsia="仿宋" w:cs="仿宋_GB2312"/>
                <w:color w:val="auto"/>
                <w:kern w:val="0"/>
                <w:sz w:val="24"/>
                <w:szCs w:val="24"/>
                <w:highlight w:val="none"/>
                <w:lang w:val="en-US" w:eastAsia="zh-CN"/>
              </w:rPr>
              <w:t>会议室</w:t>
            </w:r>
          </w:p>
        </w:tc>
      </w:tr>
      <w:tr w14:paraId="3F8B56AE">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3471B8D">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23</w:t>
            </w:r>
          </w:p>
        </w:tc>
        <w:tc>
          <w:tcPr>
            <w:tcW w:w="1154" w:type="pct"/>
            <w:tcBorders>
              <w:top w:val="single" w:color="000000" w:sz="4" w:space="0"/>
              <w:left w:val="single" w:color="000000" w:sz="4" w:space="0"/>
              <w:bottom w:val="single" w:color="000000" w:sz="4" w:space="0"/>
              <w:right w:val="single" w:color="000000" w:sz="4" w:space="0"/>
            </w:tcBorders>
            <w:vAlign w:val="center"/>
          </w:tcPr>
          <w:p w14:paraId="0CD5040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履约保证金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3D6B4DD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不要求</w:t>
            </w:r>
          </w:p>
        </w:tc>
      </w:tr>
    </w:tbl>
    <w:p w14:paraId="33674106">
      <w:pPr>
        <w:rPr>
          <w:rFonts w:ascii="仿宋" w:hAnsi="仿宋" w:eastAsia="仿宋" w:cs="Times New Roman"/>
          <w:color w:val="auto"/>
          <w:sz w:val="32"/>
          <w:szCs w:val="32"/>
          <w:highlight w:val="none"/>
        </w:rPr>
      </w:pPr>
      <w:bookmarkStart w:id="26" w:name="_Toc10701"/>
      <w:bookmarkStart w:id="27" w:name="_Toc32563"/>
    </w:p>
    <w:p w14:paraId="67E47F18">
      <w:pPr>
        <w:rPr>
          <w:rFonts w:ascii="仿宋" w:hAnsi="仿宋" w:eastAsia="仿宋" w:cs="Times New Roman"/>
          <w:color w:val="auto"/>
          <w:sz w:val="32"/>
          <w:szCs w:val="32"/>
          <w:highlight w:val="none"/>
        </w:rPr>
        <w:sectPr>
          <w:footerReference r:id="rId7" w:type="default"/>
          <w:pgSz w:w="12240" w:h="15840"/>
          <w:pgMar w:top="2098" w:right="1474" w:bottom="1984" w:left="1587" w:header="720" w:footer="720" w:gutter="0"/>
          <w:cols w:space="720" w:num="1"/>
        </w:sectPr>
      </w:pPr>
    </w:p>
    <w:p w14:paraId="42477CED">
      <w:pPr>
        <w:jc w:val="center"/>
        <w:rPr>
          <w:rFonts w:ascii="仿宋" w:hAnsi="仿宋" w:eastAsia="仿宋" w:cs="Times New Roman"/>
          <w:color w:val="auto"/>
          <w:sz w:val="40"/>
          <w:szCs w:val="21"/>
          <w:highlight w:val="none"/>
        </w:rPr>
      </w:pPr>
      <w:r>
        <w:rPr>
          <w:rFonts w:hint="eastAsia" w:ascii="仿宋" w:hAnsi="仿宋" w:eastAsia="仿宋" w:cs="Times New Roman"/>
          <w:color w:val="auto"/>
          <w:sz w:val="32"/>
          <w:szCs w:val="32"/>
          <w:highlight w:val="none"/>
        </w:rPr>
        <w:t xml:space="preserve">第三章  </w:t>
      </w:r>
      <w:r>
        <w:rPr>
          <w:rFonts w:ascii="仿宋" w:hAnsi="仿宋" w:eastAsia="仿宋" w:cs="Times New Roman"/>
          <w:color w:val="auto"/>
          <w:sz w:val="32"/>
          <w:szCs w:val="32"/>
          <w:highlight w:val="none"/>
        </w:rPr>
        <w:t>评审办法（综合评分法）</w:t>
      </w:r>
      <w:bookmarkEnd w:id="26"/>
      <w:bookmarkEnd w:id="27"/>
    </w:p>
    <w:p w14:paraId="10B85E53">
      <w:pPr>
        <w:rPr>
          <w:rFonts w:ascii="仿宋" w:hAnsi="仿宋" w:eastAsia="仿宋" w:cs="Times New Roman"/>
          <w:highlight w:val="none"/>
        </w:rPr>
      </w:pPr>
    </w:p>
    <w:p w14:paraId="643AA864">
      <w:pPr>
        <w:spacing w:after="0" w:line="360" w:lineRule="auto"/>
        <w:ind w:firstLine="560" w:firstLineChars="200"/>
        <w:rPr>
          <w:rFonts w:ascii="仿宋" w:hAnsi="仿宋" w:eastAsia="仿宋" w:cs="Times New Roman"/>
          <w:bCs/>
          <w:color w:val="auto"/>
          <w:sz w:val="28"/>
          <w:szCs w:val="21"/>
          <w:highlight w:val="none"/>
        </w:rPr>
      </w:pPr>
      <w:r>
        <w:rPr>
          <w:rFonts w:ascii="仿宋" w:hAnsi="仿宋" w:eastAsia="仿宋" w:cs="Times New Roman"/>
          <w:bCs/>
          <w:color w:val="auto"/>
          <w:sz w:val="28"/>
          <w:szCs w:val="21"/>
          <w:highlight w:val="none"/>
        </w:rPr>
        <w:t>1.</w:t>
      </w:r>
      <w:r>
        <w:rPr>
          <w:rFonts w:ascii="仿宋" w:hAnsi="仿宋" w:eastAsia="仿宋" w:cs="Times New Roman"/>
          <w:bCs/>
          <w:color w:val="auto"/>
          <w:sz w:val="28"/>
          <w:szCs w:val="21"/>
          <w:highlight w:val="none"/>
          <w:lang w:val="zh-CN"/>
        </w:rPr>
        <w:t>评审</w:t>
      </w:r>
      <w:r>
        <w:rPr>
          <w:rFonts w:ascii="仿宋" w:hAnsi="仿宋" w:eastAsia="仿宋" w:cs="Times New Roman"/>
          <w:bCs/>
          <w:color w:val="auto"/>
          <w:sz w:val="28"/>
          <w:szCs w:val="21"/>
          <w:highlight w:val="none"/>
        </w:rPr>
        <w:t>小组</w:t>
      </w:r>
    </w:p>
    <w:p w14:paraId="0601A00E">
      <w:pPr>
        <w:spacing w:after="0" w:line="360" w:lineRule="auto"/>
        <w:ind w:firstLine="480" w:firstLineChars="200"/>
        <w:rPr>
          <w:rFonts w:ascii="仿宋" w:hAnsi="仿宋" w:eastAsia="仿宋" w:cs="Times New Roman"/>
          <w:color w:val="auto"/>
          <w:sz w:val="24"/>
          <w:szCs w:val="24"/>
          <w:highlight w:val="none"/>
          <w:lang w:val="zh-CN"/>
        </w:rPr>
      </w:pPr>
      <w:r>
        <w:rPr>
          <w:rFonts w:ascii="仿宋" w:hAnsi="仿宋" w:eastAsia="仿宋" w:cs="Times New Roman"/>
          <w:color w:val="auto"/>
          <w:sz w:val="24"/>
          <w:szCs w:val="24"/>
          <w:highlight w:val="none"/>
          <w:lang w:val="zh-CN"/>
        </w:rPr>
        <w:t>1.</w:t>
      </w:r>
      <w:r>
        <w:rPr>
          <w:rFonts w:ascii="仿宋" w:hAnsi="仿宋" w:eastAsia="仿宋" w:cs="Times New Roman"/>
          <w:color w:val="auto"/>
          <w:sz w:val="24"/>
          <w:szCs w:val="24"/>
          <w:highlight w:val="none"/>
        </w:rPr>
        <w:t>1</w:t>
      </w:r>
      <w:r>
        <w:rPr>
          <w:rFonts w:ascii="仿宋" w:hAnsi="仿宋" w:eastAsia="仿宋" w:cs="Times New Roman"/>
          <w:color w:val="auto"/>
          <w:sz w:val="24"/>
          <w:szCs w:val="24"/>
          <w:highlight w:val="none"/>
          <w:lang w:val="zh-CN"/>
        </w:rPr>
        <w:t>评审工作由比选人相关成员组建的评审</w:t>
      </w:r>
      <w:r>
        <w:rPr>
          <w:rFonts w:ascii="仿宋" w:hAnsi="仿宋" w:eastAsia="仿宋" w:cs="Times New Roman"/>
          <w:color w:val="auto"/>
          <w:sz w:val="24"/>
          <w:szCs w:val="24"/>
          <w:highlight w:val="none"/>
        </w:rPr>
        <w:t>小组</w:t>
      </w:r>
      <w:r>
        <w:rPr>
          <w:rFonts w:ascii="仿宋" w:hAnsi="仿宋" w:eastAsia="仿宋" w:cs="Times New Roman"/>
          <w:color w:val="auto"/>
          <w:sz w:val="24"/>
          <w:szCs w:val="24"/>
          <w:highlight w:val="none"/>
          <w:lang w:val="zh-CN"/>
        </w:rPr>
        <w:t>负责。</w:t>
      </w:r>
    </w:p>
    <w:p w14:paraId="68A15AC1">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1.2</w:t>
      </w:r>
      <w:r>
        <w:rPr>
          <w:rFonts w:ascii="仿宋" w:hAnsi="仿宋" w:eastAsia="仿宋" w:cs="Times New Roman"/>
          <w:color w:val="auto"/>
          <w:sz w:val="24"/>
          <w:szCs w:val="28"/>
          <w:highlight w:val="none"/>
          <w:lang w:val="zh-CN"/>
        </w:rPr>
        <w:t>与本次</w:t>
      </w:r>
      <w:r>
        <w:rPr>
          <w:rFonts w:ascii="仿宋" w:hAnsi="仿宋" w:eastAsia="仿宋" w:cs="Times New Roman"/>
          <w:color w:val="auto"/>
          <w:sz w:val="24"/>
          <w:szCs w:val="28"/>
          <w:highlight w:val="none"/>
        </w:rPr>
        <w:t>参选人</w:t>
      </w:r>
      <w:r>
        <w:rPr>
          <w:rFonts w:ascii="仿宋" w:hAnsi="仿宋" w:eastAsia="仿宋" w:cs="Times New Roman"/>
          <w:color w:val="auto"/>
          <w:sz w:val="24"/>
          <w:szCs w:val="28"/>
          <w:highlight w:val="none"/>
          <w:lang w:val="zh-CN"/>
        </w:rPr>
        <w:t>存在经济利益或亲属关系的成员应当自行回避。</w:t>
      </w:r>
    </w:p>
    <w:p w14:paraId="54150E9D">
      <w:pPr>
        <w:spacing w:after="0" w:line="360" w:lineRule="auto"/>
        <w:ind w:firstLine="560" w:firstLineChars="200"/>
        <w:rPr>
          <w:rFonts w:ascii="仿宋" w:hAnsi="仿宋" w:eastAsia="仿宋" w:cs="Times New Roman"/>
          <w:bCs/>
          <w:color w:val="auto"/>
          <w:sz w:val="28"/>
          <w:szCs w:val="21"/>
          <w:highlight w:val="none"/>
          <w:lang w:val="zh-CN"/>
        </w:rPr>
      </w:pPr>
      <w:r>
        <w:rPr>
          <w:rFonts w:ascii="仿宋" w:hAnsi="仿宋" w:eastAsia="仿宋" w:cs="Times New Roman"/>
          <w:bCs/>
          <w:color w:val="auto"/>
          <w:sz w:val="28"/>
          <w:szCs w:val="21"/>
          <w:highlight w:val="none"/>
        </w:rPr>
        <w:t>2.</w:t>
      </w:r>
      <w:r>
        <w:rPr>
          <w:rFonts w:ascii="仿宋" w:hAnsi="仿宋" w:eastAsia="仿宋" w:cs="Times New Roman"/>
          <w:bCs/>
          <w:color w:val="auto"/>
          <w:sz w:val="28"/>
          <w:szCs w:val="21"/>
          <w:highlight w:val="none"/>
          <w:lang w:val="zh-CN"/>
        </w:rPr>
        <w:t>评审程序</w:t>
      </w:r>
    </w:p>
    <w:p w14:paraId="1170973D">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w:t>
      </w:r>
      <w:r>
        <w:rPr>
          <w:rFonts w:ascii="仿宋" w:hAnsi="仿宋" w:eastAsia="仿宋" w:cs="Times New Roman"/>
          <w:color w:val="auto"/>
          <w:sz w:val="24"/>
          <w:szCs w:val="28"/>
          <w:highlight w:val="none"/>
          <w:lang w:val="zh-CN"/>
        </w:rPr>
        <w:t>根据各</w:t>
      </w:r>
      <w:r>
        <w:rPr>
          <w:rFonts w:ascii="仿宋" w:hAnsi="仿宋" w:eastAsia="仿宋" w:cs="Times New Roman"/>
          <w:color w:val="auto"/>
          <w:sz w:val="24"/>
          <w:szCs w:val="28"/>
          <w:highlight w:val="none"/>
        </w:rPr>
        <w:t>参选人</w:t>
      </w:r>
      <w:r>
        <w:rPr>
          <w:rFonts w:ascii="仿宋" w:hAnsi="仿宋" w:eastAsia="仿宋" w:cs="Times New Roman"/>
          <w:color w:val="auto"/>
          <w:sz w:val="24"/>
          <w:szCs w:val="28"/>
          <w:highlight w:val="none"/>
          <w:lang w:val="zh-CN"/>
        </w:rPr>
        <w:t>递交的比选</w:t>
      </w:r>
      <w:r>
        <w:rPr>
          <w:rFonts w:ascii="仿宋" w:hAnsi="仿宋" w:eastAsia="仿宋" w:cs="Times New Roman"/>
          <w:color w:val="auto"/>
          <w:sz w:val="24"/>
          <w:szCs w:val="28"/>
          <w:highlight w:val="none"/>
        </w:rPr>
        <w:t>响应文件</w:t>
      </w:r>
      <w:r>
        <w:rPr>
          <w:rFonts w:ascii="仿宋" w:hAnsi="仿宋" w:eastAsia="仿宋" w:cs="Times New Roman"/>
          <w:color w:val="auto"/>
          <w:sz w:val="24"/>
          <w:szCs w:val="28"/>
          <w:highlight w:val="none"/>
          <w:lang w:val="zh-CN"/>
        </w:rPr>
        <w:t>按照以下程序进行评审工作：</w:t>
      </w:r>
    </w:p>
    <w:p w14:paraId="234F576D">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2.1.1</w:t>
      </w:r>
      <w:r>
        <w:rPr>
          <w:rFonts w:ascii="仿宋" w:hAnsi="仿宋" w:eastAsia="仿宋" w:cs="Times New Roman"/>
          <w:color w:val="auto"/>
          <w:sz w:val="24"/>
          <w:szCs w:val="28"/>
          <w:highlight w:val="none"/>
          <w:lang w:val="zh-CN"/>
        </w:rPr>
        <w:t>对比选</w:t>
      </w:r>
      <w:r>
        <w:rPr>
          <w:rFonts w:ascii="仿宋" w:hAnsi="仿宋" w:eastAsia="仿宋" w:cs="Times New Roman"/>
          <w:color w:val="auto"/>
          <w:sz w:val="24"/>
          <w:szCs w:val="28"/>
          <w:highlight w:val="none"/>
        </w:rPr>
        <w:t>响应</w:t>
      </w:r>
      <w:r>
        <w:rPr>
          <w:rFonts w:ascii="仿宋" w:hAnsi="仿宋" w:eastAsia="仿宋" w:cs="Times New Roman"/>
          <w:color w:val="auto"/>
          <w:sz w:val="24"/>
          <w:szCs w:val="28"/>
          <w:highlight w:val="none"/>
          <w:lang w:val="zh-CN"/>
        </w:rPr>
        <w:t>文件进行初审（包括</w:t>
      </w:r>
      <w:r>
        <w:rPr>
          <w:rFonts w:ascii="仿宋" w:hAnsi="仿宋" w:eastAsia="仿宋" w:cs="Times New Roman"/>
          <w:color w:val="auto"/>
          <w:sz w:val="24"/>
          <w:szCs w:val="28"/>
          <w:highlight w:val="none"/>
        </w:rPr>
        <w:t>形式评审、资格评审、响应性评审</w:t>
      </w:r>
      <w:r>
        <w:rPr>
          <w:rFonts w:ascii="仿宋" w:hAnsi="仿宋" w:eastAsia="仿宋" w:cs="Times New Roman"/>
          <w:color w:val="auto"/>
          <w:sz w:val="24"/>
          <w:szCs w:val="28"/>
          <w:highlight w:val="none"/>
          <w:lang w:val="zh-CN"/>
        </w:rPr>
        <w:t>，剔除无效比选</w:t>
      </w:r>
      <w:r>
        <w:rPr>
          <w:rFonts w:ascii="仿宋" w:hAnsi="仿宋" w:eastAsia="仿宋" w:cs="Times New Roman"/>
          <w:color w:val="auto"/>
          <w:sz w:val="24"/>
          <w:szCs w:val="28"/>
          <w:highlight w:val="none"/>
        </w:rPr>
        <w:t>响应文件</w:t>
      </w:r>
      <w:r>
        <w:rPr>
          <w:rFonts w:ascii="仿宋" w:hAnsi="仿宋" w:eastAsia="仿宋" w:cs="Times New Roman"/>
          <w:color w:val="auto"/>
          <w:sz w:val="24"/>
          <w:szCs w:val="28"/>
          <w:highlight w:val="none"/>
          <w:lang w:val="zh-CN"/>
        </w:rPr>
        <w:t>）；</w:t>
      </w:r>
    </w:p>
    <w:p w14:paraId="5B446062">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2.1.2</w:t>
      </w:r>
      <w:r>
        <w:rPr>
          <w:rFonts w:ascii="仿宋" w:hAnsi="仿宋" w:eastAsia="仿宋" w:cs="Times New Roman"/>
          <w:color w:val="auto"/>
          <w:sz w:val="24"/>
          <w:szCs w:val="28"/>
          <w:highlight w:val="none"/>
          <w:lang w:val="zh-CN"/>
        </w:rPr>
        <w:t>按照比选人制定的《评审标准》对通过初审的</w:t>
      </w:r>
      <w:r>
        <w:rPr>
          <w:rFonts w:ascii="仿宋" w:hAnsi="仿宋" w:eastAsia="仿宋" w:cs="Times New Roman"/>
          <w:color w:val="auto"/>
          <w:sz w:val="24"/>
          <w:szCs w:val="28"/>
          <w:highlight w:val="none"/>
        </w:rPr>
        <w:t>响应</w:t>
      </w:r>
      <w:r>
        <w:rPr>
          <w:rFonts w:ascii="仿宋" w:hAnsi="仿宋" w:eastAsia="仿宋" w:cs="Times New Roman"/>
          <w:color w:val="auto"/>
          <w:sz w:val="24"/>
          <w:szCs w:val="28"/>
          <w:highlight w:val="none"/>
          <w:lang w:val="zh-CN"/>
        </w:rPr>
        <w:t>文件逐项打分；</w:t>
      </w:r>
    </w:p>
    <w:p w14:paraId="375D2A8A">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2.1.3评审小组对所有参选人的综合得分从高到低进行排序，根据评分排名推荐1-3名作为中选人。</w:t>
      </w:r>
    </w:p>
    <w:p w14:paraId="6D3833F8">
      <w:pPr>
        <w:spacing w:after="0" w:line="360" w:lineRule="auto"/>
        <w:ind w:firstLine="560" w:firstLineChars="200"/>
        <w:rPr>
          <w:rFonts w:ascii="仿宋" w:hAnsi="仿宋" w:eastAsia="仿宋" w:cs="Times New Roman"/>
          <w:b/>
          <w:bCs/>
          <w:color w:val="auto"/>
          <w:sz w:val="24"/>
          <w:szCs w:val="24"/>
          <w:highlight w:val="none"/>
        </w:rPr>
      </w:pPr>
      <w:r>
        <w:rPr>
          <w:rFonts w:hint="eastAsia" w:ascii="仿宋" w:hAnsi="仿宋" w:eastAsia="仿宋" w:cs="Times New Roman"/>
          <w:bCs/>
          <w:color w:val="auto"/>
          <w:sz w:val="28"/>
          <w:szCs w:val="21"/>
          <w:highlight w:val="none"/>
        </w:rPr>
        <w:t>3.</w:t>
      </w:r>
      <w:r>
        <w:rPr>
          <w:rFonts w:ascii="仿宋" w:hAnsi="仿宋" w:eastAsia="仿宋" w:cs="Times New Roman"/>
          <w:bCs/>
          <w:color w:val="auto"/>
          <w:sz w:val="28"/>
          <w:szCs w:val="21"/>
          <w:highlight w:val="none"/>
        </w:rPr>
        <w:t>评审标准</w:t>
      </w:r>
    </w:p>
    <w:p w14:paraId="4213FFBA">
      <w:pPr>
        <w:spacing w:after="0" w:line="360" w:lineRule="auto"/>
        <w:jc w:val="center"/>
        <w:rPr>
          <w:rFonts w:ascii="仿宋" w:hAnsi="仿宋" w:eastAsia="仿宋" w:cs="仿宋_GB2312"/>
          <w:b/>
          <w:bCs/>
          <w:color w:val="auto"/>
          <w:sz w:val="28"/>
          <w:szCs w:val="28"/>
          <w:highlight w:val="none"/>
        </w:rPr>
      </w:pPr>
      <w:r>
        <w:rPr>
          <w:rFonts w:hint="eastAsia" w:ascii="仿宋" w:hAnsi="仿宋" w:eastAsia="仿宋" w:cs="仿宋_GB2312"/>
          <w:b/>
          <w:bCs/>
          <w:color w:val="auto"/>
          <w:sz w:val="28"/>
          <w:szCs w:val="28"/>
          <w:highlight w:val="none"/>
        </w:rPr>
        <w:t>（一）初步评审表</w:t>
      </w:r>
    </w:p>
    <w:tbl>
      <w:tblPr>
        <w:tblStyle w:val="45"/>
        <w:tblW w:w="4805" w:type="pct"/>
        <w:jc w:val="center"/>
        <w:tblLayout w:type="autofit"/>
        <w:tblCellMar>
          <w:top w:w="0" w:type="dxa"/>
          <w:left w:w="108" w:type="dxa"/>
          <w:bottom w:w="46" w:type="dxa"/>
          <w:right w:w="89" w:type="dxa"/>
        </w:tblCellMar>
      </w:tblPr>
      <w:tblGrid>
        <w:gridCol w:w="529"/>
        <w:gridCol w:w="1105"/>
        <w:gridCol w:w="1936"/>
        <w:gridCol w:w="5440"/>
      </w:tblGrid>
      <w:tr w14:paraId="5E357132">
        <w:tblPrEx>
          <w:tblCellMar>
            <w:top w:w="0" w:type="dxa"/>
            <w:left w:w="108" w:type="dxa"/>
            <w:bottom w:w="46" w:type="dxa"/>
            <w:right w:w="89" w:type="dxa"/>
          </w:tblCellMar>
        </w:tblPrEx>
        <w:trPr>
          <w:trHeight w:val="482" w:hRule="atLeast"/>
          <w:jc w:val="center"/>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2B37054D">
            <w:pPr>
              <w:spacing w:after="0" w:line="300" w:lineRule="exact"/>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条款号</w:t>
            </w:r>
          </w:p>
        </w:tc>
        <w:tc>
          <w:tcPr>
            <w:tcW w:w="1074" w:type="pct"/>
            <w:tcBorders>
              <w:top w:val="single" w:color="000000" w:sz="4" w:space="0"/>
              <w:left w:val="single" w:color="000000" w:sz="4" w:space="0"/>
              <w:bottom w:val="single" w:color="000000" w:sz="4" w:space="0"/>
              <w:right w:val="single" w:color="000000" w:sz="4" w:space="0"/>
            </w:tcBorders>
            <w:vAlign w:val="center"/>
          </w:tcPr>
          <w:p w14:paraId="43CA901D">
            <w:pPr>
              <w:spacing w:after="0" w:line="300" w:lineRule="exact"/>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评审因素</w:t>
            </w:r>
          </w:p>
        </w:tc>
        <w:tc>
          <w:tcPr>
            <w:tcW w:w="3018" w:type="pct"/>
            <w:tcBorders>
              <w:top w:val="single" w:color="000000" w:sz="4" w:space="0"/>
              <w:left w:val="single" w:color="000000" w:sz="4" w:space="0"/>
              <w:bottom w:val="single" w:color="000000" w:sz="4" w:space="0"/>
              <w:right w:val="single" w:color="000000" w:sz="4" w:space="0"/>
            </w:tcBorders>
            <w:vAlign w:val="center"/>
          </w:tcPr>
          <w:p w14:paraId="7757C1DF">
            <w:pPr>
              <w:spacing w:after="0" w:line="300" w:lineRule="exact"/>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评审标准</w:t>
            </w:r>
          </w:p>
        </w:tc>
      </w:tr>
      <w:tr w14:paraId="6F3A3BCF">
        <w:tblPrEx>
          <w:tblCellMar>
            <w:top w:w="0" w:type="dxa"/>
            <w:left w:w="108" w:type="dxa"/>
            <w:bottom w:w="46" w:type="dxa"/>
            <w:right w:w="89" w:type="dxa"/>
          </w:tblCellMar>
        </w:tblPrEx>
        <w:trPr>
          <w:trHeight w:val="90" w:hRule="atLeast"/>
          <w:jc w:val="center"/>
        </w:trPr>
        <w:tc>
          <w:tcPr>
            <w:tcW w:w="294" w:type="pct"/>
            <w:vMerge w:val="restart"/>
            <w:tcBorders>
              <w:top w:val="single" w:color="000000" w:sz="4" w:space="0"/>
              <w:left w:val="single" w:color="000000" w:sz="4" w:space="0"/>
              <w:right w:val="single" w:color="000000" w:sz="4" w:space="0"/>
            </w:tcBorders>
            <w:vAlign w:val="center"/>
          </w:tcPr>
          <w:p w14:paraId="5F09A844">
            <w:pPr>
              <w:spacing w:after="0" w:line="300" w:lineRule="exact"/>
              <w:jc w:val="center"/>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1</w:t>
            </w:r>
          </w:p>
        </w:tc>
        <w:tc>
          <w:tcPr>
            <w:tcW w:w="613" w:type="pct"/>
            <w:vMerge w:val="restart"/>
            <w:tcBorders>
              <w:top w:val="single" w:color="000000" w:sz="4" w:space="0"/>
              <w:left w:val="single" w:color="000000" w:sz="4" w:space="0"/>
              <w:right w:val="single" w:color="000000" w:sz="4" w:space="0"/>
            </w:tcBorders>
            <w:vAlign w:val="center"/>
          </w:tcPr>
          <w:p w14:paraId="1CCAE930">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形式评审</w:t>
            </w:r>
          </w:p>
          <w:p w14:paraId="1B514149">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标准 </w:t>
            </w:r>
          </w:p>
        </w:tc>
        <w:tc>
          <w:tcPr>
            <w:tcW w:w="1074" w:type="pct"/>
            <w:tcBorders>
              <w:top w:val="single" w:color="000000" w:sz="4" w:space="0"/>
              <w:left w:val="single" w:color="000000" w:sz="4" w:space="0"/>
              <w:bottom w:val="single" w:color="000000" w:sz="4" w:space="0"/>
              <w:right w:val="single" w:color="000000" w:sz="4" w:space="0"/>
            </w:tcBorders>
            <w:vAlign w:val="center"/>
          </w:tcPr>
          <w:p w14:paraId="3005533E">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参选人名称</w:t>
            </w:r>
          </w:p>
        </w:tc>
        <w:tc>
          <w:tcPr>
            <w:tcW w:w="3018" w:type="pct"/>
            <w:tcBorders>
              <w:top w:val="single" w:color="000000" w:sz="4" w:space="0"/>
              <w:left w:val="single" w:color="000000" w:sz="4" w:space="0"/>
              <w:bottom w:val="single" w:color="000000" w:sz="4" w:space="0"/>
              <w:right w:val="single" w:color="000000" w:sz="4" w:space="0"/>
            </w:tcBorders>
            <w:vAlign w:val="center"/>
          </w:tcPr>
          <w:p w14:paraId="496CF8EC">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与律师事务所执业许可证一致</w:t>
            </w:r>
          </w:p>
        </w:tc>
      </w:tr>
      <w:tr w14:paraId="49D7A87D">
        <w:tblPrEx>
          <w:tblCellMar>
            <w:top w:w="0" w:type="dxa"/>
            <w:left w:w="108" w:type="dxa"/>
            <w:bottom w:w="46" w:type="dxa"/>
            <w:right w:w="89" w:type="dxa"/>
          </w:tblCellMar>
        </w:tblPrEx>
        <w:trPr>
          <w:trHeight w:val="1515" w:hRule="atLeast"/>
          <w:jc w:val="center"/>
        </w:trPr>
        <w:tc>
          <w:tcPr>
            <w:tcW w:w="294" w:type="pct"/>
            <w:vMerge w:val="continue"/>
            <w:tcBorders>
              <w:left w:val="single" w:color="000000" w:sz="4" w:space="0"/>
              <w:right w:val="single" w:color="000000" w:sz="4" w:space="0"/>
            </w:tcBorders>
            <w:vAlign w:val="center"/>
          </w:tcPr>
          <w:p w14:paraId="218CD6BC">
            <w:pPr>
              <w:spacing w:after="0" w:line="300" w:lineRule="exact"/>
              <w:rPr>
                <w:rFonts w:ascii="仿宋" w:hAnsi="仿宋" w:eastAsia="仿宋" w:cs="仿宋_GB2312"/>
                <w:color w:val="auto"/>
                <w:sz w:val="24"/>
                <w:szCs w:val="24"/>
                <w:highlight w:val="none"/>
              </w:rPr>
            </w:pPr>
          </w:p>
        </w:tc>
        <w:tc>
          <w:tcPr>
            <w:tcW w:w="613" w:type="pct"/>
            <w:vMerge w:val="continue"/>
            <w:tcBorders>
              <w:left w:val="single" w:color="000000" w:sz="4" w:space="0"/>
              <w:right w:val="single" w:color="000000" w:sz="4" w:space="0"/>
            </w:tcBorders>
            <w:vAlign w:val="center"/>
          </w:tcPr>
          <w:p w14:paraId="06B394D6">
            <w:pPr>
              <w:spacing w:after="0" w:line="300" w:lineRule="exact"/>
              <w:rPr>
                <w:rFonts w:ascii="仿宋" w:hAnsi="仿宋" w:eastAsia="仿宋" w:cs="仿宋_GB2312"/>
                <w:color w:val="auto"/>
                <w:sz w:val="21"/>
                <w:szCs w:val="21"/>
                <w:highlight w:val="none"/>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66621CE3">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比选响应文件及比选申请函附录签字盖章</w:t>
            </w:r>
          </w:p>
        </w:tc>
        <w:tc>
          <w:tcPr>
            <w:tcW w:w="3018" w:type="pct"/>
            <w:tcBorders>
              <w:top w:val="single" w:color="000000" w:sz="4" w:space="0"/>
              <w:left w:val="single" w:color="000000" w:sz="4" w:space="0"/>
              <w:bottom w:val="single" w:color="000000" w:sz="4" w:space="0"/>
              <w:right w:val="single" w:color="000000" w:sz="4" w:space="0"/>
            </w:tcBorders>
            <w:vAlign w:val="center"/>
          </w:tcPr>
          <w:p w14:paraId="096DFFCB">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（1）按照比选文件的规定和要求签字、盖章。</w:t>
            </w:r>
          </w:p>
          <w:p w14:paraId="4525D9A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（2）由单位负责人（或其委托代理人）签字并加盖单位公章。</w:t>
            </w:r>
          </w:p>
          <w:p w14:paraId="59985C71">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（3）由单位负责人签字的，应附单位负责人身份证明，由代理人签字的，应附授权委托书，身份证明或授权委托书应符合第五章“比选响应文件格式”的规定。</w:t>
            </w:r>
          </w:p>
        </w:tc>
      </w:tr>
      <w:tr w14:paraId="669AF7AA">
        <w:tblPrEx>
          <w:tblCellMar>
            <w:top w:w="0" w:type="dxa"/>
            <w:left w:w="108" w:type="dxa"/>
            <w:bottom w:w="46" w:type="dxa"/>
            <w:right w:w="89" w:type="dxa"/>
          </w:tblCellMar>
        </w:tblPrEx>
        <w:trPr>
          <w:trHeight w:val="397" w:hRule="atLeast"/>
          <w:jc w:val="center"/>
        </w:trPr>
        <w:tc>
          <w:tcPr>
            <w:tcW w:w="294" w:type="pct"/>
            <w:vMerge w:val="continue"/>
            <w:tcBorders>
              <w:left w:val="single" w:color="000000" w:sz="4" w:space="0"/>
              <w:right w:val="single" w:color="000000" w:sz="4" w:space="0"/>
            </w:tcBorders>
            <w:vAlign w:val="center"/>
          </w:tcPr>
          <w:p w14:paraId="7FA94350">
            <w:pPr>
              <w:spacing w:after="0" w:line="300" w:lineRule="exact"/>
              <w:rPr>
                <w:rFonts w:ascii="仿宋" w:hAnsi="仿宋" w:eastAsia="仿宋" w:cs="仿宋_GB2312"/>
                <w:color w:val="auto"/>
                <w:sz w:val="24"/>
                <w:szCs w:val="24"/>
                <w:highlight w:val="none"/>
              </w:rPr>
            </w:pPr>
          </w:p>
        </w:tc>
        <w:tc>
          <w:tcPr>
            <w:tcW w:w="613" w:type="pct"/>
            <w:vMerge w:val="continue"/>
            <w:tcBorders>
              <w:left w:val="single" w:color="000000" w:sz="4" w:space="0"/>
              <w:right w:val="single" w:color="000000" w:sz="4" w:space="0"/>
            </w:tcBorders>
            <w:vAlign w:val="center"/>
          </w:tcPr>
          <w:p w14:paraId="4761791D">
            <w:pPr>
              <w:spacing w:after="0" w:line="300" w:lineRule="exact"/>
              <w:rPr>
                <w:rFonts w:ascii="仿宋" w:hAnsi="仿宋" w:eastAsia="仿宋" w:cs="仿宋_GB2312"/>
                <w:color w:val="auto"/>
                <w:sz w:val="21"/>
                <w:szCs w:val="21"/>
                <w:highlight w:val="none"/>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7147107A">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比选响应文件格式</w:t>
            </w:r>
          </w:p>
        </w:tc>
        <w:tc>
          <w:tcPr>
            <w:tcW w:w="3018" w:type="pct"/>
            <w:tcBorders>
              <w:top w:val="single" w:color="000000" w:sz="4" w:space="0"/>
              <w:left w:val="single" w:color="000000" w:sz="4" w:space="0"/>
              <w:bottom w:val="single" w:color="000000" w:sz="4" w:space="0"/>
              <w:right w:val="single" w:color="000000" w:sz="4" w:space="0"/>
            </w:tcBorders>
            <w:vAlign w:val="center"/>
          </w:tcPr>
          <w:p w14:paraId="4E3525A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符合第五章“比选响应文件格式”的规定</w:t>
            </w:r>
          </w:p>
        </w:tc>
      </w:tr>
      <w:tr w14:paraId="73163D19">
        <w:tblPrEx>
          <w:tblCellMar>
            <w:top w:w="0" w:type="dxa"/>
            <w:left w:w="108" w:type="dxa"/>
            <w:bottom w:w="46" w:type="dxa"/>
            <w:right w:w="89" w:type="dxa"/>
          </w:tblCellMar>
        </w:tblPrEx>
        <w:trPr>
          <w:trHeight w:val="376" w:hRule="atLeast"/>
          <w:jc w:val="center"/>
        </w:trPr>
        <w:tc>
          <w:tcPr>
            <w:tcW w:w="294" w:type="pct"/>
            <w:vMerge w:val="continue"/>
            <w:tcBorders>
              <w:left w:val="single" w:color="000000" w:sz="4" w:space="0"/>
              <w:bottom w:val="nil"/>
              <w:right w:val="single" w:color="000000" w:sz="4" w:space="0"/>
            </w:tcBorders>
            <w:vAlign w:val="center"/>
          </w:tcPr>
          <w:p w14:paraId="5DAF5D55">
            <w:pPr>
              <w:spacing w:after="0" w:line="300" w:lineRule="exact"/>
              <w:rPr>
                <w:rFonts w:ascii="仿宋" w:hAnsi="仿宋" w:eastAsia="仿宋" w:cs="仿宋_GB2312"/>
                <w:color w:val="auto"/>
                <w:sz w:val="24"/>
                <w:szCs w:val="24"/>
                <w:highlight w:val="none"/>
              </w:rPr>
            </w:pPr>
          </w:p>
        </w:tc>
        <w:tc>
          <w:tcPr>
            <w:tcW w:w="613" w:type="pct"/>
            <w:vMerge w:val="continue"/>
            <w:tcBorders>
              <w:left w:val="single" w:color="000000" w:sz="4" w:space="0"/>
              <w:bottom w:val="nil"/>
              <w:right w:val="single" w:color="000000" w:sz="4" w:space="0"/>
            </w:tcBorders>
            <w:vAlign w:val="center"/>
          </w:tcPr>
          <w:p w14:paraId="405D0CC6">
            <w:pPr>
              <w:spacing w:after="0" w:line="300" w:lineRule="exact"/>
              <w:rPr>
                <w:rFonts w:ascii="仿宋" w:hAnsi="仿宋" w:eastAsia="仿宋" w:cs="仿宋_GB2312"/>
                <w:color w:val="auto"/>
                <w:sz w:val="21"/>
                <w:szCs w:val="21"/>
                <w:highlight w:val="none"/>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2C9B355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结论</w:t>
            </w:r>
          </w:p>
        </w:tc>
        <w:tc>
          <w:tcPr>
            <w:tcW w:w="3018" w:type="pct"/>
            <w:tcBorders>
              <w:top w:val="single" w:color="000000" w:sz="4" w:space="0"/>
              <w:left w:val="single" w:color="000000" w:sz="4" w:space="0"/>
              <w:bottom w:val="single" w:color="000000" w:sz="4" w:space="0"/>
              <w:right w:val="single" w:color="000000" w:sz="4" w:space="0"/>
            </w:tcBorders>
            <w:vAlign w:val="center"/>
          </w:tcPr>
          <w:p w14:paraId="4CE3CFA5">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“通过”或“不通过”</w:t>
            </w:r>
          </w:p>
        </w:tc>
      </w:tr>
      <w:tr w14:paraId="1EE9C550">
        <w:tblPrEx>
          <w:tblCellMar>
            <w:top w:w="0" w:type="dxa"/>
            <w:left w:w="108" w:type="dxa"/>
            <w:bottom w:w="46" w:type="dxa"/>
            <w:right w:w="89" w:type="dxa"/>
          </w:tblCellMar>
        </w:tblPrEx>
        <w:trPr>
          <w:trHeight w:val="563"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1E9678F5">
            <w:pPr>
              <w:spacing w:after="0" w:line="300" w:lineRule="exact"/>
              <w:jc w:val="center"/>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2</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14:paraId="513BD9A9">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资格评审</w:t>
            </w:r>
          </w:p>
          <w:p w14:paraId="1B234BFC">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标准 </w:t>
            </w:r>
          </w:p>
        </w:tc>
        <w:tc>
          <w:tcPr>
            <w:tcW w:w="1074" w:type="pct"/>
            <w:tcBorders>
              <w:top w:val="single" w:color="auto" w:sz="4" w:space="0"/>
              <w:left w:val="single" w:color="auto" w:sz="4" w:space="0"/>
              <w:bottom w:val="single" w:color="auto" w:sz="4" w:space="0"/>
              <w:right w:val="single" w:color="auto" w:sz="4" w:space="0"/>
            </w:tcBorders>
            <w:vAlign w:val="center"/>
          </w:tcPr>
          <w:p w14:paraId="104F065A">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执业许可证</w:t>
            </w:r>
          </w:p>
        </w:tc>
        <w:tc>
          <w:tcPr>
            <w:tcW w:w="3018" w:type="pct"/>
            <w:tcBorders>
              <w:top w:val="single" w:color="auto" w:sz="4" w:space="0"/>
              <w:left w:val="single" w:color="auto" w:sz="4" w:space="0"/>
              <w:bottom w:val="single" w:color="auto" w:sz="4" w:space="0"/>
              <w:right w:val="single" w:color="auto" w:sz="4" w:space="0"/>
            </w:tcBorders>
            <w:vAlign w:val="center"/>
          </w:tcPr>
          <w:p w14:paraId="23B356D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提供律师事务所执业许可证</w:t>
            </w:r>
          </w:p>
        </w:tc>
      </w:tr>
      <w:tr w14:paraId="738DCD33">
        <w:tblPrEx>
          <w:tblCellMar>
            <w:top w:w="0" w:type="dxa"/>
            <w:left w:w="108" w:type="dxa"/>
            <w:bottom w:w="46" w:type="dxa"/>
            <w:right w:w="89" w:type="dxa"/>
          </w:tblCellMar>
        </w:tblPrEx>
        <w:trPr>
          <w:trHeight w:val="49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23CE7553">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0F3B776F">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70D2815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信誉要求</w:t>
            </w:r>
          </w:p>
        </w:tc>
        <w:tc>
          <w:tcPr>
            <w:tcW w:w="3018" w:type="pct"/>
            <w:tcBorders>
              <w:top w:val="single" w:color="auto" w:sz="4" w:space="0"/>
              <w:left w:val="single" w:color="auto" w:sz="4" w:space="0"/>
              <w:bottom w:val="single" w:color="auto" w:sz="4" w:space="0"/>
              <w:right w:val="single" w:color="auto" w:sz="4" w:space="0"/>
            </w:tcBorders>
            <w:vAlign w:val="center"/>
          </w:tcPr>
          <w:p w14:paraId="7E31E40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提供“信用中国网站”严重失信主体名单、经营</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lang w:val="en-US" w:eastAsia="zh-CN"/>
              </w:rPr>
              <w:t>活动</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rPr>
              <w:t>异常名录、失信被执行人、重大税收违法失信主体</w:t>
            </w:r>
            <w:r>
              <w:rPr>
                <w:rFonts w:hint="eastAsia" w:ascii="仿宋" w:hAnsi="仿宋" w:eastAsia="仿宋" w:cs="仿宋_GB2312"/>
                <w:color w:val="auto"/>
                <w:sz w:val="21"/>
                <w:szCs w:val="21"/>
                <w:highlight w:val="none"/>
                <w:lang w:val="en-US" w:eastAsia="zh-CN"/>
              </w:rPr>
              <w:t>的</w:t>
            </w:r>
            <w:r>
              <w:rPr>
                <w:rFonts w:hint="eastAsia" w:ascii="仿宋" w:hAnsi="仿宋" w:eastAsia="仿宋" w:cs="仿宋_GB2312"/>
                <w:color w:val="auto"/>
                <w:sz w:val="21"/>
                <w:szCs w:val="21"/>
                <w:highlight w:val="none"/>
              </w:rPr>
              <w:t>查询截图</w:t>
            </w:r>
          </w:p>
        </w:tc>
      </w:tr>
      <w:tr w14:paraId="7D24D915">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2F02FDE5">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57921780">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0AED46CD">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参选人及服务成员要求</w:t>
            </w:r>
          </w:p>
        </w:tc>
        <w:tc>
          <w:tcPr>
            <w:tcW w:w="3018" w:type="pct"/>
            <w:tcBorders>
              <w:top w:val="single" w:color="auto" w:sz="4" w:space="0"/>
              <w:left w:val="single" w:color="auto" w:sz="4" w:space="0"/>
              <w:bottom w:val="single" w:color="auto" w:sz="4" w:space="0"/>
              <w:right w:val="single" w:color="auto" w:sz="4" w:space="0"/>
            </w:tcBorders>
            <w:vAlign w:val="center"/>
          </w:tcPr>
          <w:p w14:paraId="175088BE">
            <w:pPr>
              <w:spacing w:after="0" w:line="320" w:lineRule="exact"/>
              <w:rPr>
                <w:rFonts w:hint="eastAsia"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提供承诺函：</w:t>
            </w:r>
          </w:p>
          <w:p w14:paraId="0E6676BD">
            <w:pPr>
              <w:numPr>
                <w:ilvl w:val="-1"/>
                <w:numId w:val="0"/>
              </w:numPr>
              <w:spacing w:after="0" w:line="320" w:lineRule="exact"/>
              <w:rPr>
                <w:rFonts w:hint="eastAsia" w:ascii="仿宋" w:hAnsi="仿宋" w:eastAsia="仿宋" w:cs="仿宋_GB2312"/>
                <w:color w:val="auto"/>
                <w:sz w:val="21"/>
                <w:szCs w:val="21"/>
                <w:highlight w:val="none"/>
                <w:lang w:eastAsia="zh-CN"/>
              </w:rPr>
            </w:pPr>
            <w:r>
              <w:rPr>
                <w:rFonts w:hint="eastAsia" w:ascii="仿宋" w:hAnsi="仿宋" w:eastAsia="仿宋" w:cs="仿宋_GB2312"/>
                <w:color w:val="auto"/>
                <w:sz w:val="21"/>
                <w:szCs w:val="21"/>
                <w:highlight w:val="none"/>
                <w:lang w:val="en-US" w:eastAsia="zh-CN"/>
              </w:rPr>
              <w:t>1.</w:t>
            </w:r>
            <w:r>
              <w:rPr>
                <w:rFonts w:hint="eastAsia" w:ascii="仿宋" w:hAnsi="仿宋" w:eastAsia="仿宋" w:cs="仿宋_GB2312"/>
                <w:color w:val="auto"/>
                <w:sz w:val="21"/>
                <w:szCs w:val="21"/>
                <w:highlight w:val="none"/>
              </w:rPr>
              <w:t>参选人需承诺没有处于参选禁入期内，参加本次比选活动前三年内，在经营活动中没有重大违法记录</w:t>
            </w:r>
            <w:r>
              <w:rPr>
                <w:rFonts w:hint="eastAsia" w:ascii="仿宋" w:hAnsi="仿宋" w:eastAsia="仿宋" w:cs="仿宋_GB2312"/>
                <w:color w:val="auto"/>
                <w:sz w:val="21"/>
                <w:szCs w:val="21"/>
                <w:highlight w:val="none"/>
                <w:lang w:eastAsia="zh-CN"/>
              </w:rPr>
              <w:t>；</w:t>
            </w:r>
          </w:p>
          <w:p w14:paraId="1FACF97D">
            <w:pPr>
              <w:numPr>
                <w:ilvl w:val="-1"/>
                <w:numId w:val="0"/>
              </w:numPr>
              <w:spacing w:after="0" w:line="320" w:lineRule="exact"/>
              <w:rPr>
                <w:rFonts w:hint="eastAsia"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2.</w:t>
            </w:r>
            <w:r>
              <w:rPr>
                <w:rFonts w:hint="eastAsia" w:ascii="仿宋" w:hAnsi="仿宋" w:eastAsia="仿宋" w:cs="仿宋_GB2312"/>
                <w:color w:val="auto"/>
                <w:sz w:val="21"/>
                <w:szCs w:val="21"/>
                <w:highlight w:val="none"/>
              </w:rPr>
              <w:t>律所及团队成员无刑事犯罪记录，近3年内未受过纪律处分、行政处罚或行业处分；</w:t>
            </w:r>
          </w:p>
          <w:p w14:paraId="6C6A899D">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3.</w:t>
            </w:r>
            <w:r>
              <w:rPr>
                <w:rFonts w:hint="eastAsia" w:ascii="仿宋" w:hAnsi="仿宋" w:eastAsia="仿宋" w:cs="仿宋_GB2312"/>
                <w:color w:val="auto"/>
                <w:sz w:val="21"/>
                <w:szCs w:val="21"/>
                <w:highlight w:val="none"/>
              </w:rPr>
              <w:t>参选人</w:t>
            </w:r>
            <w:r>
              <w:rPr>
                <w:rFonts w:hint="eastAsia" w:ascii="仿宋" w:hAnsi="仿宋" w:eastAsia="仿宋" w:cs="仿宋_GB2312"/>
                <w:color w:val="auto"/>
                <w:sz w:val="21"/>
                <w:szCs w:val="21"/>
                <w:highlight w:val="none"/>
                <w:lang w:val="en-US" w:eastAsia="zh-CN"/>
              </w:rPr>
              <w:t>需</w:t>
            </w:r>
            <w:r>
              <w:rPr>
                <w:rFonts w:hint="eastAsia" w:ascii="仿宋" w:hAnsi="仿宋" w:eastAsia="仿宋" w:cs="仿宋_GB2312"/>
                <w:color w:val="auto"/>
                <w:sz w:val="21"/>
                <w:szCs w:val="21"/>
                <w:highlight w:val="none"/>
              </w:rPr>
              <w:t>承诺具有与本比选项目相应的法律服务能力，并指派</w:t>
            </w:r>
            <w:r>
              <w:rPr>
                <w:rFonts w:hint="eastAsia" w:ascii="仿宋" w:hAnsi="仿宋" w:eastAsia="仿宋" w:cs="仿宋_GB2312"/>
                <w:color w:val="auto"/>
                <w:sz w:val="21"/>
                <w:szCs w:val="21"/>
                <w:highlight w:val="none"/>
                <w:lang w:val="en-US" w:eastAsia="zh-CN"/>
              </w:rPr>
              <w:t>至少</w:t>
            </w:r>
            <w:r>
              <w:rPr>
                <w:rFonts w:hint="eastAsia" w:ascii="仿宋" w:hAnsi="仿宋" w:eastAsia="仿宋" w:cs="仿宋_GB2312"/>
                <w:color w:val="auto"/>
                <w:sz w:val="21"/>
                <w:szCs w:val="21"/>
                <w:highlight w:val="none"/>
              </w:rPr>
              <w:t>3名符合项目需求的专职执业律师承办本案。</w:t>
            </w:r>
          </w:p>
        </w:tc>
      </w:tr>
      <w:tr w14:paraId="0079199A">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66FC0F4A">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7463F5B7">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58A6CF2E">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联合体要求</w:t>
            </w:r>
          </w:p>
        </w:tc>
        <w:tc>
          <w:tcPr>
            <w:tcW w:w="3018" w:type="pct"/>
            <w:tcBorders>
              <w:top w:val="single" w:color="auto" w:sz="4" w:space="0"/>
              <w:left w:val="single" w:color="auto" w:sz="4" w:space="0"/>
              <w:bottom w:val="single" w:color="auto" w:sz="4" w:space="0"/>
              <w:right w:val="single" w:color="auto" w:sz="4" w:space="0"/>
            </w:tcBorders>
            <w:vAlign w:val="center"/>
          </w:tcPr>
          <w:p w14:paraId="485E62FA">
            <w:pPr>
              <w:spacing w:after="0" w:line="320" w:lineRule="exact"/>
              <w:rPr>
                <w:rFonts w:hint="eastAsia" w:ascii="仿宋" w:hAnsi="仿宋" w:eastAsia="仿宋" w:cs="仿宋_GB2312"/>
                <w:color w:val="auto"/>
                <w:sz w:val="21"/>
                <w:szCs w:val="21"/>
                <w:highlight w:val="none"/>
                <w:lang w:eastAsia="zh-CN"/>
              </w:rPr>
            </w:pPr>
            <w:r>
              <w:rPr>
                <w:rFonts w:hint="eastAsia" w:ascii="仿宋" w:hAnsi="仿宋" w:eastAsia="仿宋" w:cs="仿宋_GB2312"/>
                <w:color w:val="auto"/>
                <w:sz w:val="21"/>
                <w:szCs w:val="21"/>
                <w:highlight w:val="none"/>
              </w:rPr>
              <w:t>提供承诺函：参选人需承诺为非联合体</w:t>
            </w:r>
            <w:r>
              <w:rPr>
                <w:rFonts w:hint="eastAsia" w:ascii="仿宋" w:hAnsi="仿宋" w:eastAsia="仿宋" w:cs="仿宋_GB2312"/>
                <w:color w:val="auto"/>
                <w:sz w:val="21"/>
                <w:szCs w:val="21"/>
                <w:highlight w:val="none"/>
                <w:lang w:eastAsia="zh-CN"/>
              </w:rPr>
              <w:t>。</w:t>
            </w:r>
          </w:p>
        </w:tc>
      </w:tr>
      <w:tr w14:paraId="19E28ECD">
        <w:tblPrEx>
          <w:tblCellMar>
            <w:top w:w="0" w:type="dxa"/>
            <w:left w:w="108" w:type="dxa"/>
            <w:bottom w:w="46" w:type="dxa"/>
            <w:right w:w="89" w:type="dxa"/>
          </w:tblCellMar>
        </w:tblPrEx>
        <w:trPr>
          <w:trHeight w:val="569"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23ED5ACE">
            <w:pPr>
              <w:spacing w:after="0" w:line="300" w:lineRule="exact"/>
              <w:rPr>
                <w:rFonts w:ascii="仿宋" w:hAnsi="仿宋" w:eastAsia="仿宋" w:cs="Times New Roman"/>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14:paraId="487E46B9">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7B38D347">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48F72A87">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“通过”或“不通过”</w:t>
            </w:r>
          </w:p>
        </w:tc>
      </w:tr>
      <w:tr w14:paraId="1B45F704">
        <w:tblPrEx>
          <w:tblCellMar>
            <w:top w:w="0" w:type="dxa"/>
            <w:left w:w="108" w:type="dxa"/>
            <w:bottom w:w="46" w:type="dxa"/>
            <w:right w:w="89" w:type="dxa"/>
          </w:tblCellMar>
        </w:tblPrEx>
        <w:trPr>
          <w:trHeight w:val="619"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15B8B7DC">
            <w:pPr>
              <w:spacing w:after="0" w:line="300" w:lineRule="exact"/>
              <w:jc w:val="center"/>
              <w:rPr>
                <w:rFonts w:ascii="仿宋" w:hAnsi="仿宋" w:eastAsia="仿宋" w:cs="Times New Roman"/>
                <w:color w:val="auto"/>
                <w:highlight w:val="none"/>
              </w:rPr>
            </w:pPr>
            <w:r>
              <w:rPr>
                <w:rFonts w:ascii="仿宋" w:hAnsi="仿宋" w:eastAsia="仿宋" w:cs="Times New Roman"/>
                <w:color w:val="auto"/>
                <w:highlight w:val="none"/>
              </w:rPr>
              <w:t>3</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14:paraId="1D657189">
            <w:pPr>
              <w:spacing w:after="0" w:line="320" w:lineRule="exact"/>
              <w:jc w:val="center"/>
              <w:rPr>
                <w:rFonts w:ascii="仿宋" w:hAnsi="仿宋" w:eastAsia="仿宋" w:cs="Times New Roman"/>
                <w:color w:val="auto"/>
                <w:highlight w:val="none"/>
              </w:rPr>
            </w:pPr>
            <w:r>
              <w:rPr>
                <w:rFonts w:ascii="仿宋" w:hAnsi="仿宋" w:eastAsia="仿宋" w:cs="Times New Roman"/>
                <w:color w:val="auto"/>
                <w:sz w:val="21"/>
                <w:szCs w:val="21"/>
                <w:highlight w:val="none"/>
              </w:rPr>
              <w:t xml:space="preserve">响应性评审标准 </w:t>
            </w:r>
          </w:p>
        </w:tc>
        <w:tc>
          <w:tcPr>
            <w:tcW w:w="1074" w:type="pct"/>
            <w:tcBorders>
              <w:top w:val="single" w:color="auto" w:sz="4" w:space="0"/>
              <w:left w:val="single" w:color="auto" w:sz="4" w:space="0"/>
              <w:bottom w:val="single" w:color="auto" w:sz="4" w:space="0"/>
              <w:right w:val="single" w:color="auto" w:sz="4" w:space="0"/>
            </w:tcBorders>
            <w:vAlign w:val="center"/>
          </w:tcPr>
          <w:p w14:paraId="7756509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报价在最高限价范围内</w:t>
            </w:r>
          </w:p>
        </w:tc>
        <w:tc>
          <w:tcPr>
            <w:tcW w:w="3018" w:type="pct"/>
            <w:tcBorders>
              <w:top w:val="single" w:color="auto" w:sz="4" w:space="0"/>
              <w:left w:val="single" w:color="auto" w:sz="4" w:space="0"/>
              <w:bottom w:val="single" w:color="auto" w:sz="4" w:space="0"/>
              <w:right w:val="single" w:color="auto" w:sz="4" w:space="0"/>
            </w:tcBorders>
            <w:vAlign w:val="center"/>
          </w:tcPr>
          <w:p w14:paraId="2E5B80C4">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符合比选人限价要求</w:t>
            </w:r>
          </w:p>
        </w:tc>
      </w:tr>
      <w:tr w14:paraId="6CC353D1">
        <w:tblPrEx>
          <w:tblCellMar>
            <w:top w:w="0" w:type="dxa"/>
            <w:left w:w="108" w:type="dxa"/>
            <w:bottom w:w="46" w:type="dxa"/>
            <w:right w:w="89" w:type="dxa"/>
          </w:tblCellMar>
        </w:tblPrEx>
        <w:trPr>
          <w:trHeight w:val="490"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4DF06083">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69EB9C01">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66DD3C01">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服务期限</w:t>
            </w:r>
          </w:p>
        </w:tc>
        <w:tc>
          <w:tcPr>
            <w:tcW w:w="3018" w:type="pct"/>
            <w:tcBorders>
              <w:top w:val="single" w:color="auto" w:sz="4" w:space="0"/>
              <w:left w:val="single" w:color="auto" w:sz="4" w:space="0"/>
              <w:bottom w:val="single" w:color="auto" w:sz="4" w:space="0"/>
              <w:right w:val="single" w:color="auto" w:sz="4" w:space="0"/>
            </w:tcBorders>
            <w:vAlign w:val="center"/>
          </w:tcPr>
          <w:p w14:paraId="4EC976FC">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自代理合同签订之日起至甲方债权全部实现为止</w:t>
            </w:r>
          </w:p>
        </w:tc>
      </w:tr>
      <w:tr w14:paraId="5F050CE6">
        <w:tblPrEx>
          <w:tblCellMar>
            <w:top w:w="0" w:type="dxa"/>
            <w:left w:w="108" w:type="dxa"/>
            <w:bottom w:w="46" w:type="dxa"/>
            <w:right w:w="89" w:type="dxa"/>
          </w:tblCellMar>
        </w:tblPrEx>
        <w:trPr>
          <w:trHeight w:val="46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47CDB0B6">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6AD9E8B5">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6289602F">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参选有效期</w:t>
            </w:r>
          </w:p>
        </w:tc>
        <w:tc>
          <w:tcPr>
            <w:tcW w:w="3018" w:type="pct"/>
            <w:tcBorders>
              <w:top w:val="single" w:color="auto" w:sz="4" w:space="0"/>
              <w:left w:val="single" w:color="auto" w:sz="4" w:space="0"/>
              <w:bottom w:val="single" w:color="auto" w:sz="4" w:space="0"/>
              <w:right w:val="single" w:color="auto" w:sz="4" w:space="0"/>
            </w:tcBorders>
            <w:vAlign w:val="center"/>
          </w:tcPr>
          <w:p w14:paraId="7DA5D9B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报价截止之日起90天</w:t>
            </w:r>
          </w:p>
        </w:tc>
      </w:tr>
      <w:tr w14:paraId="70617AB6">
        <w:tblPrEx>
          <w:tblCellMar>
            <w:top w:w="0" w:type="dxa"/>
            <w:left w:w="108" w:type="dxa"/>
            <w:bottom w:w="46" w:type="dxa"/>
            <w:right w:w="89" w:type="dxa"/>
          </w:tblCellMar>
        </w:tblPrEx>
        <w:trPr>
          <w:trHeight w:val="466"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1E2E1AB7">
            <w:pPr>
              <w:spacing w:after="0" w:line="300" w:lineRule="exact"/>
              <w:rPr>
                <w:rFonts w:ascii="仿宋" w:hAnsi="仿宋" w:eastAsia="仿宋" w:cs="Times New Roman"/>
                <w:color w:val="auto"/>
                <w:highlight w:val="none"/>
              </w:rPr>
            </w:pPr>
            <w:bookmarkStart w:id="28" w:name="_Toc17543"/>
            <w:bookmarkStart w:id="29" w:name="_Toc128141260"/>
            <w:bookmarkStart w:id="30" w:name="_Toc12754"/>
          </w:p>
        </w:tc>
        <w:tc>
          <w:tcPr>
            <w:tcW w:w="613" w:type="pct"/>
            <w:tcBorders>
              <w:top w:val="single" w:color="auto" w:sz="4" w:space="0"/>
              <w:left w:val="single" w:color="auto" w:sz="4" w:space="0"/>
              <w:bottom w:val="single" w:color="auto" w:sz="4" w:space="0"/>
              <w:right w:val="single" w:color="auto" w:sz="4" w:space="0"/>
            </w:tcBorders>
            <w:vAlign w:val="center"/>
          </w:tcPr>
          <w:p w14:paraId="4331F521">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6E648D01">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23C618E8">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“通过”或“不通过”</w:t>
            </w:r>
          </w:p>
        </w:tc>
      </w:tr>
    </w:tbl>
    <w:p w14:paraId="7C7E62F7">
      <w:pPr>
        <w:spacing w:after="0" w:line="400" w:lineRule="exact"/>
        <w:jc w:val="center"/>
        <w:rPr>
          <w:rFonts w:ascii="仿宋" w:hAnsi="仿宋" w:eastAsia="仿宋" w:cs="仿宋_GB2312"/>
          <w:b/>
          <w:bCs/>
          <w:color w:val="auto"/>
          <w:sz w:val="28"/>
          <w:szCs w:val="28"/>
          <w:highlight w:val="none"/>
        </w:rPr>
      </w:pPr>
    </w:p>
    <w:p w14:paraId="41E72932">
      <w:pPr>
        <w:spacing w:after="0" w:line="400" w:lineRule="exact"/>
        <w:jc w:val="center"/>
        <w:rPr>
          <w:rFonts w:ascii="仿宋" w:hAnsi="仿宋" w:eastAsia="仿宋" w:cs="仿宋_GB2312"/>
          <w:b/>
          <w:bCs/>
          <w:color w:val="auto"/>
          <w:sz w:val="28"/>
          <w:szCs w:val="28"/>
          <w:highlight w:val="none"/>
        </w:rPr>
      </w:pPr>
      <w:r>
        <w:rPr>
          <w:rFonts w:hint="eastAsia" w:ascii="仿宋" w:hAnsi="仿宋" w:eastAsia="仿宋" w:cs="仿宋_GB2312"/>
          <w:b/>
          <w:bCs/>
          <w:color w:val="auto"/>
          <w:sz w:val="28"/>
          <w:szCs w:val="28"/>
          <w:highlight w:val="none"/>
        </w:rPr>
        <w:t>（二）</w:t>
      </w:r>
      <w:r>
        <w:rPr>
          <w:rFonts w:ascii="仿宋" w:hAnsi="仿宋" w:eastAsia="仿宋" w:cs="仿宋_GB2312"/>
          <w:b/>
          <w:bCs/>
          <w:color w:val="auto"/>
          <w:sz w:val="28"/>
          <w:szCs w:val="28"/>
          <w:highlight w:val="none"/>
        </w:rPr>
        <w:t>详细评审表</w:t>
      </w:r>
    </w:p>
    <w:tbl>
      <w:tblPr>
        <w:tblStyle w:val="30"/>
        <w:tblW w:w="48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284"/>
        <w:gridCol w:w="743"/>
        <w:gridCol w:w="6176"/>
      </w:tblGrid>
      <w:tr w14:paraId="5BD8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1" w:type="pct"/>
            <w:vAlign w:val="center"/>
          </w:tcPr>
          <w:p w14:paraId="1955C4F5">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序号</w:t>
            </w:r>
          </w:p>
        </w:tc>
        <w:tc>
          <w:tcPr>
            <w:tcW w:w="707" w:type="pct"/>
            <w:vAlign w:val="center"/>
          </w:tcPr>
          <w:p w14:paraId="49B41AA0">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评分因素</w:t>
            </w:r>
          </w:p>
          <w:p w14:paraId="5AC9E8E9">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及权重</w:t>
            </w:r>
          </w:p>
        </w:tc>
        <w:tc>
          <w:tcPr>
            <w:tcW w:w="409" w:type="pct"/>
            <w:vAlign w:val="center"/>
          </w:tcPr>
          <w:p w14:paraId="46F6E9CA">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分值</w:t>
            </w:r>
          </w:p>
        </w:tc>
        <w:tc>
          <w:tcPr>
            <w:tcW w:w="3401" w:type="pct"/>
            <w:vAlign w:val="center"/>
          </w:tcPr>
          <w:p w14:paraId="1A36E52A">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评分标准</w:t>
            </w:r>
          </w:p>
        </w:tc>
      </w:tr>
      <w:tr w14:paraId="72D3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481" w:type="pct"/>
            <w:vAlign w:val="center"/>
          </w:tcPr>
          <w:p w14:paraId="33026819">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w:t>
            </w:r>
          </w:p>
        </w:tc>
        <w:tc>
          <w:tcPr>
            <w:tcW w:w="1284" w:type="dxa"/>
            <w:vAlign w:val="center"/>
          </w:tcPr>
          <w:p w14:paraId="4A6B203E">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报价</w:t>
            </w:r>
            <w:r>
              <w:rPr>
                <w:rFonts w:hint="eastAsia" w:ascii="仿宋" w:hAnsi="仿宋" w:eastAsia="仿宋" w:cs="仿宋_GB2312"/>
                <w:color w:val="auto"/>
                <w:sz w:val="21"/>
                <w:szCs w:val="21"/>
                <w:highlight w:val="none"/>
                <w:lang w:val="en-US" w:eastAsia="zh-CN"/>
              </w:rPr>
              <w:t>6</w:t>
            </w:r>
            <w:r>
              <w:rPr>
                <w:rFonts w:ascii="仿宋" w:hAnsi="仿宋" w:eastAsia="仿宋" w:cs="仿宋_GB2312"/>
                <w:color w:val="auto"/>
                <w:sz w:val="21"/>
                <w:szCs w:val="21"/>
                <w:highlight w:val="none"/>
              </w:rPr>
              <w:t>0%</w:t>
            </w:r>
          </w:p>
        </w:tc>
        <w:tc>
          <w:tcPr>
            <w:tcW w:w="743" w:type="dxa"/>
            <w:vAlign w:val="center"/>
          </w:tcPr>
          <w:p w14:paraId="61649726">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6</w:t>
            </w:r>
            <w:r>
              <w:rPr>
                <w:rFonts w:ascii="仿宋" w:hAnsi="仿宋" w:eastAsia="仿宋" w:cs="仿宋_GB2312"/>
                <w:color w:val="auto"/>
                <w:sz w:val="21"/>
                <w:szCs w:val="21"/>
                <w:highlight w:val="none"/>
              </w:rPr>
              <w:t>0分</w:t>
            </w:r>
          </w:p>
        </w:tc>
        <w:tc>
          <w:tcPr>
            <w:tcW w:w="6176" w:type="dxa"/>
            <w:vAlign w:val="center"/>
          </w:tcPr>
          <w:p w14:paraId="57424CE7">
            <w:pPr>
              <w:spacing w:after="0" w:line="320" w:lineRule="exact"/>
              <w:rPr>
                <w:rFonts w:hint="eastAsia" w:ascii="仿宋" w:hAnsi="仿宋" w:eastAsia="仿宋" w:cs="仿宋_GB2312"/>
                <w:color w:val="auto"/>
                <w:sz w:val="21"/>
                <w:szCs w:val="21"/>
                <w:highlight w:val="none"/>
                <w:lang w:eastAsia="zh-CN"/>
              </w:rPr>
            </w:pPr>
            <w:r>
              <w:rPr>
                <w:rFonts w:hint="eastAsia" w:ascii="仿宋" w:hAnsi="仿宋" w:eastAsia="仿宋" w:cs="仿宋_GB2312"/>
                <w:color w:val="auto"/>
                <w:sz w:val="21"/>
                <w:szCs w:val="21"/>
                <w:highlight w:val="none"/>
                <w:lang w:val="en-US" w:eastAsia="zh-CN"/>
              </w:rPr>
              <w:t>根据</w:t>
            </w:r>
            <w:r>
              <w:rPr>
                <w:rFonts w:hint="eastAsia" w:ascii="仿宋" w:hAnsi="仿宋" w:eastAsia="仿宋" w:cs="仿宋_GB2312"/>
                <w:color w:val="auto"/>
                <w:sz w:val="21"/>
                <w:szCs w:val="21"/>
                <w:highlight w:val="none"/>
                <w:lang w:eastAsia="zh-CN"/>
              </w:rPr>
              <w:t>有效报价的</w:t>
            </w:r>
            <w:r>
              <w:rPr>
                <w:rFonts w:hint="eastAsia" w:ascii="仿宋" w:hAnsi="仿宋" w:eastAsia="仿宋" w:cs="仿宋_GB2312"/>
                <w:color w:val="auto"/>
                <w:sz w:val="21"/>
                <w:szCs w:val="21"/>
                <w:highlight w:val="none"/>
                <w:lang w:val="en-US" w:eastAsia="zh-CN"/>
              </w:rPr>
              <w:t>最低</w:t>
            </w:r>
            <w:r>
              <w:rPr>
                <w:rFonts w:hint="eastAsia" w:ascii="仿宋" w:hAnsi="仿宋" w:eastAsia="仿宋" w:cs="仿宋_GB2312"/>
                <w:color w:val="auto"/>
                <w:sz w:val="21"/>
                <w:szCs w:val="21"/>
                <w:highlight w:val="none"/>
                <w:lang w:eastAsia="zh-CN"/>
              </w:rPr>
              <w:t>价格为基准价，基准价得分为</w:t>
            </w:r>
            <w:r>
              <w:rPr>
                <w:rFonts w:hint="eastAsia" w:ascii="仿宋" w:hAnsi="仿宋" w:eastAsia="仿宋" w:cs="仿宋_GB2312"/>
                <w:color w:val="auto"/>
                <w:sz w:val="21"/>
                <w:szCs w:val="21"/>
                <w:highlight w:val="none"/>
                <w:lang w:val="en-US" w:eastAsia="zh-CN"/>
              </w:rPr>
              <w:t>6</w:t>
            </w:r>
            <w:r>
              <w:rPr>
                <w:rFonts w:hint="eastAsia" w:ascii="仿宋" w:hAnsi="仿宋" w:eastAsia="仿宋" w:cs="仿宋_GB2312"/>
                <w:color w:val="auto"/>
                <w:sz w:val="21"/>
                <w:szCs w:val="21"/>
                <w:highlight w:val="none"/>
                <w:lang w:eastAsia="zh-CN"/>
              </w:rPr>
              <w:t>0分，比选申请人报价高于基准价，报价每增加</w:t>
            </w:r>
            <w:r>
              <w:rPr>
                <w:rFonts w:hint="eastAsia" w:ascii="仿宋" w:hAnsi="仿宋" w:eastAsia="仿宋" w:cs="仿宋_GB2312"/>
                <w:color w:val="auto"/>
                <w:sz w:val="21"/>
                <w:szCs w:val="21"/>
                <w:highlight w:val="none"/>
                <w:lang w:val="en-US" w:eastAsia="zh-CN"/>
              </w:rPr>
              <w:t>10</w:t>
            </w:r>
            <w:r>
              <w:rPr>
                <w:rFonts w:hint="eastAsia" w:ascii="仿宋" w:hAnsi="仿宋" w:eastAsia="仿宋" w:cs="仿宋_GB2312"/>
                <w:color w:val="auto"/>
                <w:sz w:val="21"/>
                <w:szCs w:val="21"/>
                <w:highlight w:val="none"/>
                <w:lang w:eastAsia="zh-CN"/>
              </w:rPr>
              <w:t>000元，减</w:t>
            </w:r>
            <w:r>
              <w:rPr>
                <w:rFonts w:hint="eastAsia" w:ascii="仿宋" w:hAnsi="仿宋" w:eastAsia="仿宋" w:cs="仿宋_GB2312"/>
                <w:color w:val="auto"/>
                <w:sz w:val="21"/>
                <w:szCs w:val="21"/>
                <w:highlight w:val="none"/>
                <w:lang w:val="en-US" w:eastAsia="zh-CN"/>
              </w:rPr>
              <w:t>1</w:t>
            </w:r>
            <w:r>
              <w:rPr>
                <w:rFonts w:hint="eastAsia" w:ascii="仿宋" w:hAnsi="仿宋" w:eastAsia="仿宋" w:cs="仿宋_GB2312"/>
                <w:color w:val="auto"/>
                <w:sz w:val="21"/>
                <w:szCs w:val="21"/>
                <w:highlight w:val="none"/>
                <w:lang w:eastAsia="zh-CN"/>
              </w:rPr>
              <w:t>分（不足</w:t>
            </w:r>
            <w:r>
              <w:rPr>
                <w:rFonts w:hint="eastAsia" w:ascii="仿宋" w:hAnsi="仿宋" w:eastAsia="仿宋" w:cs="仿宋_GB2312"/>
                <w:color w:val="auto"/>
                <w:sz w:val="21"/>
                <w:szCs w:val="21"/>
                <w:highlight w:val="none"/>
                <w:lang w:val="en-US" w:eastAsia="zh-CN"/>
              </w:rPr>
              <w:t>10</w:t>
            </w:r>
            <w:r>
              <w:rPr>
                <w:rFonts w:hint="eastAsia" w:ascii="仿宋" w:hAnsi="仿宋" w:eastAsia="仿宋" w:cs="仿宋_GB2312"/>
                <w:color w:val="auto"/>
                <w:sz w:val="21"/>
                <w:szCs w:val="21"/>
                <w:highlight w:val="none"/>
                <w:lang w:eastAsia="zh-CN"/>
              </w:rPr>
              <w:t>000元，按</w:t>
            </w:r>
            <w:r>
              <w:rPr>
                <w:rFonts w:hint="eastAsia" w:ascii="仿宋" w:hAnsi="仿宋" w:eastAsia="仿宋" w:cs="仿宋_GB2312"/>
                <w:color w:val="auto"/>
                <w:sz w:val="21"/>
                <w:szCs w:val="21"/>
                <w:highlight w:val="none"/>
                <w:lang w:val="en-US" w:eastAsia="zh-CN"/>
              </w:rPr>
              <w:t>10</w:t>
            </w:r>
            <w:r>
              <w:rPr>
                <w:rFonts w:hint="eastAsia" w:ascii="仿宋" w:hAnsi="仿宋" w:eastAsia="仿宋" w:cs="仿宋_GB2312"/>
                <w:color w:val="auto"/>
                <w:sz w:val="21"/>
                <w:szCs w:val="21"/>
                <w:highlight w:val="none"/>
                <w:lang w:eastAsia="zh-CN"/>
              </w:rPr>
              <w:t>000元计算）。</w:t>
            </w:r>
          </w:p>
        </w:tc>
      </w:tr>
      <w:tr w14:paraId="7B46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481" w:type="pct"/>
            <w:vAlign w:val="center"/>
          </w:tcPr>
          <w:p w14:paraId="5B68CF65">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w:t>
            </w:r>
          </w:p>
        </w:tc>
        <w:tc>
          <w:tcPr>
            <w:tcW w:w="1284" w:type="dxa"/>
            <w:vAlign w:val="center"/>
          </w:tcPr>
          <w:p w14:paraId="6D9DC30E">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综合实力</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w:t>
            </w:r>
          </w:p>
        </w:tc>
        <w:tc>
          <w:tcPr>
            <w:tcW w:w="743" w:type="dxa"/>
            <w:vAlign w:val="center"/>
          </w:tcPr>
          <w:p w14:paraId="45E09EB0">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p>
        </w:tc>
        <w:tc>
          <w:tcPr>
            <w:tcW w:w="6176" w:type="dxa"/>
            <w:vAlign w:val="center"/>
          </w:tcPr>
          <w:p w14:paraId="57795636">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根据事务所成立年限进行评比打分。</w:t>
            </w:r>
          </w:p>
          <w:p w14:paraId="7080BC64">
            <w:pPr>
              <w:spacing w:after="0" w:line="320" w:lineRule="exact"/>
              <w:rPr>
                <w:rFonts w:hint="eastAsia" w:ascii="仿宋" w:hAnsi="仿宋" w:eastAsia="仿宋" w:cs="仿宋_GB2312"/>
                <w:color w:val="auto"/>
                <w:sz w:val="21"/>
                <w:szCs w:val="21"/>
                <w:highlight w:val="none"/>
                <w:lang w:eastAsia="zh-CN"/>
              </w:rPr>
            </w:pPr>
            <w:r>
              <w:rPr>
                <w:rFonts w:ascii="仿宋" w:hAnsi="仿宋" w:eastAsia="仿宋" w:cs="仿宋_GB2312"/>
                <w:color w:val="auto"/>
                <w:sz w:val="21"/>
                <w:szCs w:val="21"/>
                <w:highlight w:val="none"/>
              </w:rPr>
              <w:t>事务所成立</w:t>
            </w:r>
            <w:r>
              <w:rPr>
                <w:rFonts w:hint="eastAsia" w:ascii="仿宋" w:hAnsi="仿宋" w:eastAsia="仿宋" w:cs="仿宋_GB2312"/>
                <w:color w:val="auto"/>
                <w:sz w:val="21"/>
                <w:szCs w:val="21"/>
                <w:highlight w:val="none"/>
                <w:lang w:val="en-US" w:eastAsia="zh-CN"/>
              </w:rPr>
              <w:t>年限在</w:t>
            </w:r>
            <w:r>
              <w:rPr>
                <w:rFonts w:ascii="仿宋" w:hAnsi="仿宋" w:eastAsia="仿宋" w:cs="仿宋_GB2312"/>
                <w:color w:val="auto"/>
                <w:sz w:val="21"/>
                <w:szCs w:val="21"/>
                <w:highlight w:val="none"/>
              </w:rPr>
              <w:t>3年</w:t>
            </w:r>
            <w:r>
              <w:rPr>
                <w:rFonts w:hint="eastAsia" w:ascii="仿宋" w:hAnsi="仿宋" w:eastAsia="仿宋" w:cs="仿宋_GB2312"/>
                <w:color w:val="auto"/>
                <w:sz w:val="21"/>
                <w:szCs w:val="21"/>
                <w:highlight w:val="none"/>
                <w:lang w:val="en-US" w:eastAsia="zh-CN"/>
              </w:rPr>
              <w:t>内（含）</w:t>
            </w:r>
            <w:r>
              <w:rPr>
                <w:rFonts w:ascii="仿宋" w:hAnsi="仿宋" w:eastAsia="仿宋" w:cs="仿宋_GB2312"/>
                <w:color w:val="auto"/>
                <w:sz w:val="21"/>
                <w:szCs w:val="21"/>
                <w:highlight w:val="none"/>
              </w:rPr>
              <w:t>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分，每增加1年加</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分，总分不超过</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lang w:val="en-US" w:eastAsia="zh-CN"/>
              </w:rPr>
              <w:t>未满整年不计分</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rPr>
              <w:t>。</w:t>
            </w:r>
          </w:p>
        </w:tc>
      </w:tr>
      <w:tr w14:paraId="6BB0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481" w:type="pct"/>
            <w:vAlign w:val="center"/>
          </w:tcPr>
          <w:p w14:paraId="5C3D8FA8">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w:t>
            </w:r>
          </w:p>
        </w:tc>
        <w:tc>
          <w:tcPr>
            <w:tcW w:w="1284" w:type="dxa"/>
            <w:vAlign w:val="center"/>
          </w:tcPr>
          <w:p w14:paraId="2FF590C2">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人员配置</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w:t>
            </w:r>
          </w:p>
        </w:tc>
        <w:tc>
          <w:tcPr>
            <w:tcW w:w="743" w:type="dxa"/>
            <w:vAlign w:val="center"/>
          </w:tcPr>
          <w:p w14:paraId="41FBAD50">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p>
        </w:tc>
        <w:tc>
          <w:tcPr>
            <w:tcW w:w="6176" w:type="dxa"/>
            <w:vAlign w:val="center"/>
          </w:tcPr>
          <w:p w14:paraId="591696A4">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1.为本项目配备的项目负责人执业5年得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分，每增加1年得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分，该项总分不超过</w:t>
            </w:r>
            <w:r>
              <w:rPr>
                <w:rFonts w:hint="eastAsia" w:ascii="仿宋" w:hAnsi="仿宋" w:eastAsia="仿宋" w:cs="仿宋_GB2312"/>
                <w:color w:val="auto"/>
                <w:sz w:val="21"/>
                <w:szCs w:val="21"/>
                <w:highlight w:val="none"/>
                <w:lang w:val="en-US" w:eastAsia="zh-CN"/>
              </w:rPr>
              <w:t>4</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lang w:val="en-US" w:eastAsia="zh-CN"/>
              </w:rPr>
              <w:t>未满整年不计分</w:t>
            </w:r>
            <w:r>
              <w:rPr>
                <w:rFonts w:hint="eastAsia" w:ascii="仿宋" w:hAnsi="仿宋" w:eastAsia="仿宋" w:cs="仿宋_GB2312"/>
                <w:color w:val="auto"/>
                <w:sz w:val="21"/>
                <w:szCs w:val="21"/>
                <w:highlight w:val="none"/>
                <w:lang w:eastAsia="zh-CN"/>
              </w:rPr>
              <w:t>）</w:t>
            </w:r>
          </w:p>
          <w:p w14:paraId="24331AE1">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2.</w:t>
            </w:r>
            <w:r>
              <w:rPr>
                <w:rFonts w:hint="eastAsia" w:ascii="仿宋" w:hAnsi="仿宋" w:eastAsia="仿宋" w:cs="仿宋_GB2312"/>
                <w:color w:val="auto"/>
                <w:sz w:val="21"/>
                <w:szCs w:val="21"/>
                <w:highlight w:val="none"/>
                <w:lang w:val="en-US" w:eastAsia="zh-CN"/>
              </w:rPr>
              <w:t>在满足本比选文件资格要求（1名项目负责人、2名主办律师）基础上，主办</w:t>
            </w:r>
            <w:r>
              <w:rPr>
                <w:rFonts w:ascii="仿宋" w:hAnsi="仿宋" w:eastAsia="仿宋" w:cs="仿宋_GB2312"/>
                <w:color w:val="auto"/>
                <w:sz w:val="21"/>
                <w:szCs w:val="21"/>
                <w:highlight w:val="none"/>
              </w:rPr>
              <w:t>律师每</w:t>
            </w:r>
            <w:r>
              <w:rPr>
                <w:rFonts w:hint="eastAsia" w:ascii="仿宋" w:hAnsi="仿宋" w:eastAsia="仿宋" w:cs="仿宋_GB2312"/>
                <w:color w:val="auto"/>
                <w:sz w:val="21"/>
                <w:szCs w:val="21"/>
                <w:highlight w:val="none"/>
                <w:lang w:val="en-US" w:eastAsia="zh-CN"/>
              </w:rPr>
              <w:t>增加</w:t>
            </w:r>
            <w:r>
              <w:rPr>
                <w:rFonts w:ascii="仿宋" w:hAnsi="仿宋" w:eastAsia="仿宋" w:cs="仿宋_GB2312"/>
                <w:color w:val="auto"/>
                <w:sz w:val="21"/>
                <w:szCs w:val="21"/>
                <w:highlight w:val="none"/>
              </w:rPr>
              <w:t>1名增加</w:t>
            </w:r>
            <w:r>
              <w:rPr>
                <w:rFonts w:hint="eastAsia" w:ascii="仿宋" w:hAnsi="仿宋" w:eastAsia="仿宋" w:cs="仿宋_GB2312"/>
                <w:color w:val="auto"/>
                <w:sz w:val="21"/>
                <w:szCs w:val="21"/>
                <w:highlight w:val="none"/>
                <w:lang w:val="en-US" w:eastAsia="zh-CN"/>
              </w:rPr>
              <w:t>0.5</w:t>
            </w:r>
            <w:r>
              <w:rPr>
                <w:rFonts w:ascii="仿宋" w:hAnsi="仿宋" w:eastAsia="仿宋" w:cs="仿宋_GB2312"/>
                <w:color w:val="auto"/>
                <w:sz w:val="21"/>
                <w:szCs w:val="21"/>
                <w:highlight w:val="none"/>
              </w:rPr>
              <w:t>分，该项总分不超过</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val="en-US" w:eastAsia="zh-CN"/>
              </w:rPr>
              <w:t>项目负责人、主办律师</w:t>
            </w:r>
            <w:r>
              <w:rPr>
                <w:rFonts w:ascii="仿宋" w:hAnsi="仿宋" w:eastAsia="仿宋" w:cs="仿宋_GB2312"/>
                <w:color w:val="auto"/>
                <w:sz w:val="21"/>
                <w:szCs w:val="21"/>
                <w:highlight w:val="none"/>
              </w:rPr>
              <w:t>均应取得律师</w:t>
            </w:r>
            <w:r>
              <w:rPr>
                <w:rFonts w:hint="eastAsia" w:ascii="仿宋" w:hAnsi="仿宋" w:eastAsia="仿宋" w:cs="仿宋_GB2312"/>
                <w:color w:val="auto"/>
                <w:sz w:val="21"/>
                <w:szCs w:val="21"/>
                <w:highlight w:val="none"/>
              </w:rPr>
              <w:t>职</w:t>
            </w:r>
            <w:r>
              <w:rPr>
                <w:rFonts w:ascii="仿宋" w:hAnsi="仿宋" w:eastAsia="仿宋" w:cs="仿宋_GB2312"/>
                <w:color w:val="auto"/>
                <w:sz w:val="21"/>
                <w:szCs w:val="21"/>
                <w:highlight w:val="none"/>
              </w:rPr>
              <w:t>业资格证</w:t>
            </w:r>
            <w:r>
              <w:rPr>
                <w:rFonts w:hint="eastAsia" w:ascii="仿宋" w:hAnsi="仿宋" w:eastAsia="仿宋" w:cs="仿宋_GB2312"/>
                <w:color w:val="auto"/>
                <w:sz w:val="21"/>
                <w:szCs w:val="21"/>
                <w:highlight w:val="none"/>
              </w:rPr>
              <w:t>、律师执业证</w:t>
            </w:r>
            <w:r>
              <w:rPr>
                <w:rFonts w:ascii="仿宋" w:hAnsi="仿宋" w:eastAsia="仿宋" w:cs="仿宋_GB2312"/>
                <w:color w:val="auto"/>
                <w:sz w:val="21"/>
                <w:szCs w:val="21"/>
                <w:highlight w:val="none"/>
              </w:rPr>
              <w:t>且年检合格）。</w:t>
            </w:r>
          </w:p>
        </w:tc>
      </w:tr>
      <w:tr w14:paraId="4856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0F4A94D6">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w:t>
            </w:r>
          </w:p>
        </w:tc>
        <w:tc>
          <w:tcPr>
            <w:tcW w:w="1284" w:type="dxa"/>
            <w:tcBorders>
              <w:top w:val="single" w:color="auto" w:sz="4" w:space="0"/>
              <w:left w:val="single" w:color="auto" w:sz="4" w:space="0"/>
              <w:bottom w:val="single" w:color="auto" w:sz="4" w:space="0"/>
              <w:right w:val="single" w:color="auto" w:sz="4" w:space="0"/>
            </w:tcBorders>
            <w:vAlign w:val="center"/>
          </w:tcPr>
          <w:p w14:paraId="6DBA98B6">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服务方案</w:t>
            </w:r>
            <w:r>
              <w:rPr>
                <w:rFonts w:hint="eastAsia" w:ascii="仿宋" w:hAnsi="仿宋" w:eastAsia="仿宋" w:cs="仿宋_GB2312"/>
                <w:color w:val="auto"/>
                <w:sz w:val="21"/>
                <w:szCs w:val="21"/>
                <w:highlight w:val="none"/>
                <w:lang w:val="en-US" w:eastAsia="zh-CN"/>
              </w:rPr>
              <w:t>25</w:t>
            </w:r>
            <w:r>
              <w:rPr>
                <w:rFonts w:ascii="仿宋" w:hAnsi="仿宋" w:eastAsia="仿宋" w:cs="仿宋_GB2312"/>
                <w:color w:val="auto"/>
                <w:sz w:val="21"/>
                <w:szCs w:val="21"/>
                <w:highlight w:val="none"/>
              </w:rPr>
              <w:t>%</w:t>
            </w:r>
          </w:p>
        </w:tc>
        <w:tc>
          <w:tcPr>
            <w:tcW w:w="743" w:type="dxa"/>
            <w:tcBorders>
              <w:top w:val="single" w:color="auto" w:sz="4" w:space="0"/>
              <w:left w:val="single" w:color="auto" w:sz="4" w:space="0"/>
              <w:bottom w:val="single" w:color="auto" w:sz="4" w:space="0"/>
              <w:right w:val="single" w:color="auto" w:sz="4" w:space="0"/>
            </w:tcBorders>
            <w:vAlign w:val="center"/>
          </w:tcPr>
          <w:p w14:paraId="0DC591E8">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25</w:t>
            </w:r>
            <w:r>
              <w:rPr>
                <w:rFonts w:ascii="仿宋" w:hAnsi="仿宋" w:eastAsia="仿宋" w:cs="仿宋_GB2312"/>
                <w:color w:val="auto"/>
                <w:sz w:val="21"/>
                <w:szCs w:val="21"/>
                <w:highlight w:val="none"/>
              </w:rPr>
              <w:t>分</w:t>
            </w:r>
          </w:p>
        </w:tc>
        <w:tc>
          <w:tcPr>
            <w:tcW w:w="6176" w:type="dxa"/>
            <w:tcBorders>
              <w:top w:val="single" w:color="auto" w:sz="4" w:space="0"/>
              <w:left w:val="single" w:color="auto" w:sz="4" w:space="0"/>
              <w:bottom w:val="single" w:color="auto" w:sz="4" w:space="0"/>
              <w:right w:val="single" w:color="auto" w:sz="4" w:space="0"/>
            </w:tcBorders>
            <w:vAlign w:val="center"/>
          </w:tcPr>
          <w:p w14:paraId="61E6890D">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提出针对本项目买卖纠纷类案件的诉讼方案，至少包含以下方面：</w:t>
            </w:r>
          </w:p>
          <w:p w14:paraId="30E0C481">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1.此类案件重点、难点阐述；</w:t>
            </w:r>
          </w:p>
          <w:p w14:paraId="6BA4E8C5">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2.此类案件的关键法律风险点分析；</w:t>
            </w:r>
          </w:p>
          <w:p w14:paraId="417C07B3">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3.此类案件中可能涉及的相关诉讼焦点、关键证据及关键因素，分析诉讼的突破口。</w:t>
            </w:r>
          </w:p>
          <w:p w14:paraId="34739F3B">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优：</w:t>
            </w:r>
            <w:r>
              <w:rPr>
                <w:rFonts w:hint="eastAsia" w:ascii="仿宋" w:hAnsi="仿宋" w:eastAsia="仿宋" w:cs="仿宋_GB2312"/>
                <w:color w:val="auto"/>
                <w:sz w:val="21"/>
                <w:szCs w:val="21"/>
                <w:highlight w:val="none"/>
                <w:lang w:val="en-US" w:eastAsia="zh-CN"/>
              </w:rPr>
              <w:t>21</w:t>
            </w:r>
            <w:r>
              <w:rPr>
                <w:rFonts w:ascii="仿宋" w:hAnsi="仿宋" w:eastAsia="仿宋" w:cs="仿宋_GB2312"/>
                <w:color w:val="auto"/>
                <w:sz w:val="21"/>
                <w:szCs w:val="21"/>
                <w:highlight w:val="none"/>
              </w:rPr>
              <w:t>-</w:t>
            </w:r>
            <w:r>
              <w:rPr>
                <w:rFonts w:hint="eastAsia" w:ascii="仿宋" w:hAnsi="仿宋" w:eastAsia="仿宋" w:cs="仿宋_GB2312"/>
                <w:color w:val="auto"/>
                <w:sz w:val="21"/>
                <w:szCs w:val="21"/>
                <w:highlight w:val="none"/>
                <w:lang w:val="en-US" w:eastAsia="zh-CN"/>
              </w:rPr>
              <w:t>25</w:t>
            </w:r>
            <w:r>
              <w:rPr>
                <w:rFonts w:ascii="仿宋" w:hAnsi="仿宋" w:eastAsia="仿宋" w:cs="仿宋_GB2312"/>
                <w:color w:val="auto"/>
                <w:sz w:val="21"/>
                <w:szCs w:val="21"/>
                <w:highlight w:val="none"/>
              </w:rPr>
              <w:t>分，良：</w:t>
            </w:r>
            <w:r>
              <w:rPr>
                <w:rFonts w:hint="eastAsia" w:ascii="仿宋" w:hAnsi="仿宋" w:eastAsia="仿宋" w:cs="仿宋_GB2312"/>
                <w:color w:val="auto"/>
                <w:sz w:val="21"/>
                <w:szCs w:val="21"/>
                <w:highlight w:val="none"/>
                <w:lang w:val="en-US" w:eastAsia="zh-CN"/>
              </w:rPr>
              <w:t>16</w:t>
            </w:r>
            <w:r>
              <w:rPr>
                <w:rFonts w:ascii="仿宋" w:hAnsi="仿宋" w:eastAsia="仿宋" w:cs="仿宋_GB2312"/>
                <w:color w:val="auto"/>
                <w:sz w:val="21"/>
                <w:szCs w:val="21"/>
                <w:highlight w:val="none"/>
              </w:rPr>
              <w:t>-</w:t>
            </w:r>
            <w:r>
              <w:rPr>
                <w:rFonts w:hint="eastAsia" w:ascii="仿宋" w:hAnsi="仿宋" w:eastAsia="仿宋" w:cs="仿宋_GB2312"/>
                <w:color w:val="auto"/>
                <w:sz w:val="21"/>
                <w:szCs w:val="21"/>
                <w:highlight w:val="none"/>
                <w:lang w:val="en-US" w:eastAsia="zh-CN"/>
              </w:rPr>
              <w:t>20</w:t>
            </w:r>
            <w:r>
              <w:rPr>
                <w:rFonts w:ascii="仿宋" w:hAnsi="仿宋" w:eastAsia="仿宋" w:cs="仿宋_GB2312"/>
                <w:color w:val="auto"/>
                <w:sz w:val="21"/>
                <w:szCs w:val="21"/>
                <w:highlight w:val="none"/>
              </w:rPr>
              <w:t xml:space="preserve"> 分 一般：11-</w:t>
            </w:r>
            <w:r>
              <w:rPr>
                <w:rFonts w:hint="eastAsia" w:ascii="仿宋" w:hAnsi="仿宋" w:eastAsia="仿宋" w:cs="仿宋_GB2312"/>
                <w:color w:val="auto"/>
                <w:sz w:val="21"/>
                <w:szCs w:val="21"/>
                <w:highlight w:val="none"/>
                <w:lang w:val="en-US" w:eastAsia="zh-CN"/>
              </w:rPr>
              <w:t>15</w:t>
            </w:r>
            <w:r>
              <w:rPr>
                <w:rFonts w:ascii="仿宋" w:hAnsi="仿宋" w:eastAsia="仿宋" w:cs="仿宋_GB2312"/>
                <w:color w:val="auto"/>
                <w:sz w:val="21"/>
                <w:szCs w:val="21"/>
                <w:highlight w:val="none"/>
              </w:rPr>
              <w:t>分，</w:t>
            </w:r>
            <w:r>
              <w:rPr>
                <w:rFonts w:ascii="仿宋" w:hAnsi="仿宋" w:eastAsia="仿宋" w:cs="仿宋_GB2312"/>
                <w:color w:val="auto"/>
                <w:sz w:val="21"/>
                <w:szCs w:val="21"/>
                <w:highlight w:val="none"/>
                <w:lang w:eastAsia="zh-Hans"/>
              </w:rPr>
              <w:t>差：0-</w:t>
            </w:r>
            <w:r>
              <w:rPr>
                <w:rFonts w:ascii="仿宋" w:hAnsi="仿宋" w:eastAsia="仿宋" w:cs="仿宋_GB2312"/>
                <w:color w:val="auto"/>
                <w:sz w:val="21"/>
                <w:szCs w:val="21"/>
                <w:highlight w:val="none"/>
              </w:rPr>
              <w:t>10</w:t>
            </w:r>
            <w:r>
              <w:rPr>
                <w:rFonts w:ascii="仿宋" w:hAnsi="仿宋" w:eastAsia="仿宋" w:cs="仿宋_GB2312"/>
                <w:color w:val="auto"/>
                <w:sz w:val="21"/>
                <w:szCs w:val="21"/>
                <w:highlight w:val="none"/>
                <w:lang w:eastAsia="zh-Hans"/>
              </w:rPr>
              <w:t>分</w:t>
            </w:r>
            <w:r>
              <w:rPr>
                <w:rFonts w:ascii="仿宋" w:hAnsi="仿宋" w:eastAsia="仿宋" w:cs="仿宋_GB2312"/>
                <w:color w:val="auto"/>
                <w:sz w:val="21"/>
                <w:szCs w:val="21"/>
                <w:highlight w:val="none"/>
              </w:rPr>
              <w:t>（分数取整）</w:t>
            </w:r>
          </w:p>
          <w:p w14:paraId="7391EAB9">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（为在诉讼前保守商业秘密各比选人申请人可自行假设并阐述诉讼方案、策略）</w:t>
            </w:r>
          </w:p>
        </w:tc>
      </w:tr>
      <w:tr w14:paraId="2B2F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1EE33622">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5</w:t>
            </w:r>
          </w:p>
        </w:tc>
        <w:tc>
          <w:tcPr>
            <w:tcW w:w="1284" w:type="dxa"/>
            <w:tcBorders>
              <w:top w:val="single" w:color="auto" w:sz="4" w:space="0"/>
              <w:left w:val="single" w:color="auto" w:sz="4" w:space="0"/>
              <w:bottom w:val="single" w:color="auto" w:sz="4" w:space="0"/>
              <w:right w:val="single" w:color="auto" w:sz="4" w:space="0"/>
            </w:tcBorders>
            <w:vAlign w:val="center"/>
          </w:tcPr>
          <w:p w14:paraId="54C0C1A6">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业绩</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w:t>
            </w:r>
          </w:p>
        </w:tc>
        <w:tc>
          <w:tcPr>
            <w:tcW w:w="743" w:type="dxa"/>
            <w:tcBorders>
              <w:top w:val="single" w:color="auto" w:sz="4" w:space="0"/>
              <w:left w:val="single" w:color="auto" w:sz="4" w:space="0"/>
              <w:bottom w:val="single" w:color="auto" w:sz="4" w:space="0"/>
              <w:right w:val="single" w:color="auto" w:sz="4" w:space="0"/>
            </w:tcBorders>
            <w:vAlign w:val="center"/>
          </w:tcPr>
          <w:p w14:paraId="36F9268B">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p>
        </w:tc>
        <w:tc>
          <w:tcPr>
            <w:tcW w:w="6176" w:type="dxa"/>
            <w:tcBorders>
              <w:top w:val="single" w:color="auto" w:sz="4" w:space="0"/>
              <w:left w:val="single" w:color="auto" w:sz="4" w:space="0"/>
              <w:bottom w:val="single" w:color="auto" w:sz="4" w:space="0"/>
              <w:right w:val="single" w:color="auto" w:sz="4" w:space="0"/>
            </w:tcBorders>
            <w:vAlign w:val="center"/>
          </w:tcPr>
          <w:p w14:paraId="5A8B279C">
            <w:pPr>
              <w:spacing w:after="0" w:line="320" w:lineRule="exact"/>
              <w:rPr>
                <w:rFonts w:hint="default" w:ascii="仿宋" w:hAnsi="仿宋" w:eastAsia="仿宋" w:cs="仿宋_GB2312"/>
                <w:color w:val="auto"/>
                <w:sz w:val="21"/>
                <w:szCs w:val="21"/>
                <w:highlight w:val="none"/>
                <w:lang w:val="en-US" w:eastAsia="zh-CN"/>
              </w:rPr>
            </w:pPr>
            <w:r>
              <w:rPr>
                <w:rFonts w:hint="eastAsia" w:ascii="仿宋" w:hAnsi="仿宋" w:eastAsia="仿宋" w:cs="仿宋_GB2312"/>
                <w:color w:val="auto"/>
                <w:sz w:val="21"/>
                <w:szCs w:val="21"/>
                <w:highlight w:val="none"/>
                <w:lang w:val="en-US" w:eastAsia="zh-CN"/>
              </w:rPr>
              <w:t>提供</w:t>
            </w:r>
            <w:r>
              <w:rPr>
                <w:rFonts w:ascii="仿宋" w:hAnsi="仿宋" w:eastAsia="仿宋" w:cs="仿宋_GB2312"/>
                <w:color w:val="auto"/>
                <w:sz w:val="21"/>
                <w:szCs w:val="21"/>
                <w:highlight w:val="none"/>
              </w:rPr>
              <w:t>参选律师</w:t>
            </w:r>
            <w:r>
              <w:rPr>
                <w:rFonts w:hint="eastAsia" w:ascii="仿宋" w:hAnsi="仿宋" w:eastAsia="仿宋" w:cs="仿宋_GB2312"/>
                <w:color w:val="auto"/>
                <w:sz w:val="21"/>
                <w:szCs w:val="21"/>
                <w:highlight w:val="none"/>
                <w:lang w:val="en-US" w:eastAsia="zh-CN"/>
              </w:rPr>
              <w:t>项目</w:t>
            </w:r>
            <w:r>
              <w:rPr>
                <w:rFonts w:ascii="仿宋" w:hAnsi="仿宋" w:eastAsia="仿宋" w:cs="仿宋_GB2312"/>
                <w:color w:val="auto"/>
                <w:sz w:val="21"/>
                <w:szCs w:val="21"/>
                <w:highlight w:val="none"/>
              </w:rPr>
              <w:t>负责人、</w:t>
            </w:r>
            <w:r>
              <w:rPr>
                <w:rFonts w:hint="eastAsia" w:ascii="仿宋" w:hAnsi="仿宋" w:eastAsia="仿宋" w:cs="仿宋_GB2312"/>
                <w:color w:val="auto"/>
                <w:sz w:val="21"/>
                <w:szCs w:val="21"/>
                <w:highlight w:val="none"/>
                <w:lang w:val="en-US" w:eastAsia="zh-CN"/>
              </w:rPr>
              <w:t>主办</w:t>
            </w:r>
            <w:r>
              <w:rPr>
                <w:rFonts w:ascii="仿宋" w:hAnsi="仿宋" w:eastAsia="仿宋" w:cs="仿宋_GB2312"/>
                <w:color w:val="auto"/>
                <w:sz w:val="21"/>
                <w:szCs w:val="21"/>
                <w:highlight w:val="none"/>
              </w:rPr>
              <w:t>律师</w:t>
            </w:r>
            <w:r>
              <w:rPr>
                <w:rFonts w:hint="eastAsia" w:ascii="仿宋" w:hAnsi="仿宋" w:eastAsia="仿宋" w:cs="仿宋_GB2312"/>
                <w:color w:val="auto"/>
                <w:sz w:val="21"/>
                <w:szCs w:val="21"/>
                <w:highlight w:val="none"/>
                <w:lang w:val="en-US" w:eastAsia="zh-CN"/>
              </w:rPr>
              <w:t>近三年内</w:t>
            </w:r>
            <w:r>
              <w:rPr>
                <w:rFonts w:ascii="仿宋" w:hAnsi="仿宋" w:eastAsia="仿宋" w:cs="仿宋_GB2312"/>
                <w:color w:val="auto"/>
                <w:sz w:val="21"/>
                <w:szCs w:val="21"/>
                <w:highlight w:val="none"/>
              </w:rPr>
              <w:t>代理类似商事</w:t>
            </w:r>
            <w:r>
              <w:rPr>
                <w:rFonts w:hint="eastAsia" w:ascii="仿宋" w:hAnsi="仿宋" w:eastAsia="仿宋" w:cs="仿宋_GB2312"/>
                <w:color w:val="auto"/>
                <w:sz w:val="21"/>
                <w:szCs w:val="21"/>
                <w:highlight w:val="none"/>
              </w:rPr>
              <w:t>买卖</w:t>
            </w:r>
            <w:r>
              <w:rPr>
                <w:rFonts w:ascii="仿宋" w:hAnsi="仿宋" w:eastAsia="仿宋" w:cs="仿宋_GB2312"/>
                <w:color w:val="auto"/>
                <w:sz w:val="21"/>
                <w:szCs w:val="21"/>
                <w:highlight w:val="none"/>
              </w:rPr>
              <w:t>合同纠纷的诉讼案件，每提供一个得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eastAsia="zh-CN"/>
              </w:rPr>
              <w:t>，该项总分不超过</w:t>
            </w:r>
            <w:r>
              <w:rPr>
                <w:rFonts w:hint="eastAsia" w:ascii="仿宋" w:hAnsi="仿宋" w:eastAsia="仿宋" w:cs="仿宋_GB2312"/>
                <w:color w:val="auto"/>
                <w:sz w:val="21"/>
                <w:szCs w:val="21"/>
                <w:highlight w:val="none"/>
                <w:lang w:val="en-US" w:eastAsia="zh-CN"/>
              </w:rPr>
              <w:t>5</w:t>
            </w:r>
            <w:r>
              <w:rPr>
                <w:rFonts w:hint="eastAsia" w:ascii="仿宋" w:hAnsi="仿宋" w:eastAsia="仿宋" w:cs="仿宋_GB2312"/>
                <w:color w:val="auto"/>
                <w:sz w:val="21"/>
                <w:szCs w:val="21"/>
                <w:highlight w:val="none"/>
                <w:lang w:eastAsia="zh-CN"/>
              </w:rPr>
              <w:t>分。</w:t>
            </w:r>
            <w:r>
              <w:rPr>
                <w:rFonts w:ascii="仿宋" w:hAnsi="仿宋" w:eastAsia="仿宋" w:cs="仿宋_GB2312"/>
                <w:color w:val="auto"/>
                <w:sz w:val="21"/>
                <w:szCs w:val="21"/>
                <w:highlight w:val="none"/>
              </w:rPr>
              <w:t>（提供代理合同或者判决书、裁定书、调解书等任一证明文件）</w:t>
            </w:r>
            <w:r>
              <w:rPr>
                <w:rFonts w:hint="eastAsia" w:ascii="仿宋" w:hAnsi="仿宋" w:eastAsia="仿宋" w:cs="仿宋_GB2312"/>
                <w:color w:val="auto"/>
                <w:sz w:val="21"/>
                <w:szCs w:val="21"/>
                <w:highlight w:val="none"/>
                <w:lang w:eastAsia="zh-CN"/>
              </w:rPr>
              <w:t>。</w:t>
            </w:r>
          </w:p>
        </w:tc>
      </w:tr>
    </w:tbl>
    <w:p w14:paraId="7D0C275F">
      <w:pPr>
        <w:rPr>
          <w:rFonts w:ascii="仿宋" w:hAnsi="仿宋" w:eastAsia="仿宋" w:cs="Times New Roman"/>
          <w:b/>
          <w:color w:val="auto"/>
          <w:szCs w:val="21"/>
          <w:highlight w:val="none"/>
        </w:rPr>
      </w:pPr>
      <w:r>
        <w:rPr>
          <w:rFonts w:ascii="仿宋" w:hAnsi="仿宋" w:eastAsia="仿宋" w:cs="Times New Roman"/>
          <w:b/>
          <w:color w:val="auto"/>
          <w:szCs w:val="21"/>
          <w:highlight w:val="none"/>
        </w:rPr>
        <w:br w:type="page"/>
      </w:r>
    </w:p>
    <w:bookmarkEnd w:id="28"/>
    <w:bookmarkEnd w:id="29"/>
    <w:bookmarkEnd w:id="30"/>
    <w:p w14:paraId="1012F950">
      <w:pPr>
        <w:spacing w:after="0"/>
        <w:ind w:left="4321"/>
        <w:rPr>
          <w:rFonts w:ascii="仿宋" w:hAnsi="仿宋" w:eastAsia="仿宋" w:cs="Times New Roman"/>
          <w:color w:val="auto"/>
          <w:highlight w:val="none"/>
        </w:rPr>
      </w:pPr>
    </w:p>
    <w:p w14:paraId="081787C3">
      <w:pPr>
        <w:pStyle w:val="4"/>
        <w:spacing w:after="0" w:line="240" w:lineRule="auto"/>
        <w:ind w:left="0" w:right="0" w:firstLine="0"/>
        <w:rPr>
          <w:rFonts w:ascii="仿宋" w:hAnsi="仿宋" w:eastAsia="仿宋" w:cs="Times New Roman"/>
          <w:color w:val="auto"/>
          <w:szCs w:val="32"/>
          <w:highlight w:val="none"/>
        </w:rPr>
      </w:pPr>
      <w:bookmarkStart w:id="31" w:name="_Toc15253"/>
      <w:bookmarkStart w:id="32" w:name="_Toc10424"/>
      <w:bookmarkStart w:id="33" w:name="_Toc950"/>
      <w:bookmarkStart w:id="34" w:name="_Toc16485"/>
      <w:r>
        <w:rPr>
          <w:rFonts w:ascii="仿宋" w:hAnsi="仿宋" w:eastAsia="仿宋" w:cs="Times New Roman"/>
          <w:color w:val="auto"/>
          <w:szCs w:val="32"/>
          <w:highlight w:val="none"/>
        </w:rPr>
        <w:t>第四章 合同条款及格式</w:t>
      </w:r>
      <w:bookmarkEnd w:id="31"/>
      <w:bookmarkEnd w:id="32"/>
      <w:r>
        <w:rPr>
          <w:rFonts w:ascii="仿宋" w:hAnsi="仿宋" w:eastAsia="仿宋" w:cs="Times New Roman"/>
          <w:color w:val="auto"/>
          <w:szCs w:val="32"/>
          <w:highlight w:val="none"/>
        </w:rPr>
        <w:t xml:space="preserve"> </w:t>
      </w:r>
    </w:p>
    <w:p w14:paraId="70E7C43E">
      <w:pPr>
        <w:spacing w:line="240" w:lineRule="atLeast"/>
        <w:jc w:val="center"/>
        <w:rPr>
          <w:rFonts w:ascii="仿宋" w:hAnsi="仿宋" w:eastAsia="仿宋" w:cs="Times New Roman"/>
          <w:b/>
          <w:color w:val="auto"/>
          <w:spacing w:val="20"/>
          <w:sz w:val="36"/>
          <w:szCs w:val="36"/>
          <w:highlight w:val="none"/>
        </w:rPr>
      </w:pPr>
    </w:p>
    <w:p w14:paraId="137CE2A3">
      <w:pPr>
        <w:jc w:val="center"/>
        <w:rPr>
          <w:rFonts w:ascii="仿宋" w:hAnsi="仿宋" w:eastAsia="仿宋" w:cs="Times New Roman"/>
          <w:b/>
          <w:sz w:val="32"/>
          <w:szCs w:val="32"/>
          <w:highlight w:val="none"/>
        </w:rPr>
      </w:pPr>
      <w:r>
        <w:rPr>
          <w:rFonts w:ascii="仿宋" w:hAnsi="仿宋" w:eastAsia="仿宋" w:cs="Times New Roman"/>
          <w:b/>
          <w:sz w:val="32"/>
          <w:szCs w:val="32"/>
          <w:highlight w:val="none"/>
        </w:rPr>
        <w:t>委托代理合同</w:t>
      </w:r>
    </w:p>
    <w:p w14:paraId="141838ED">
      <w:pPr>
        <w:ind w:firstLine="6440" w:firstLineChars="23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合同编号：</w:t>
      </w:r>
    </w:p>
    <w:p w14:paraId="07C543D5">
      <w:pPr>
        <w:rPr>
          <w:rFonts w:ascii="仿宋" w:hAnsi="仿宋" w:eastAsia="仿宋" w:cs="Times New Roman"/>
          <w:bCs/>
          <w:sz w:val="28"/>
          <w:szCs w:val="28"/>
          <w:highlight w:val="none"/>
        </w:rPr>
      </w:pPr>
    </w:p>
    <w:p w14:paraId="51562AAF">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签订地点：成都市</w:t>
      </w:r>
    </w:p>
    <w:p w14:paraId="11890D5E">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签订时间：     年   月   </w:t>
      </w:r>
      <w:r>
        <w:rPr>
          <w:rFonts w:hint="eastAsia" w:ascii="仿宋" w:hAnsi="仿宋" w:eastAsia="仿宋" w:cs="Times New Roman"/>
          <w:color w:val="auto"/>
          <w:sz w:val="21"/>
          <w:szCs w:val="21"/>
          <w:highlight w:val="none"/>
        </w:rPr>
        <w:t xml:space="preserve"> </w:t>
      </w:r>
      <w:r>
        <w:rPr>
          <w:rFonts w:ascii="仿宋" w:hAnsi="仿宋" w:eastAsia="仿宋" w:cs="Times New Roman"/>
          <w:color w:val="auto"/>
          <w:sz w:val="21"/>
          <w:szCs w:val="21"/>
          <w:highlight w:val="none"/>
        </w:rPr>
        <w:t>日</w:t>
      </w:r>
    </w:p>
    <w:p w14:paraId="4DA673DF">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甲方(委托人)：四川蜀物兴川物流发展有限公司</w:t>
      </w:r>
    </w:p>
    <w:p w14:paraId="2275D71B">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乙方（被委托人）：</w:t>
      </w:r>
    </w:p>
    <w:p w14:paraId="10FFB65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根据《中华人民共和国民法典》及乙方的《</w:t>
      </w:r>
      <w:r>
        <w:rPr>
          <w:rFonts w:hint="eastAsia" w:ascii="仿宋" w:hAnsi="仿宋" w:eastAsia="仿宋" w:cs="Times New Roman"/>
          <w:color w:val="auto"/>
          <w:sz w:val="21"/>
          <w:szCs w:val="21"/>
          <w:highlight w:val="none"/>
        </w:rPr>
        <w:t>比选响应</w:t>
      </w:r>
      <w:r>
        <w:rPr>
          <w:rFonts w:ascii="仿宋" w:hAnsi="仿宋" w:eastAsia="仿宋" w:cs="Times New Roman"/>
          <w:color w:val="auto"/>
          <w:sz w:val="21"/>
          <w:szCs w:val="21"/>
          <w:highlight w:val="none"/>
        </w:rPr>
        <w:t>文件》及《中</w:t>
      </w:r>
      <w:r>
        <w:rPr>
          <w:rFonts w:hint="eastAsia" w:ascii="仿宋" w:hAnsi="仿宋" w:eastAsia="仿宋" w:cs="Times New Roman"/>
          <w:color w:val="auto"/>
          <w:sz w:val="21"/>
          <w:szCs w:val="21"/>
          <w:highlight w:val="none"/>
        </w:rPr>
        <w:t>选</w:t>
      </w:r>
      <w:r>
        <w:rPr>
          <w:rFonts w:ascii="仿宋" w:hAnsi="仿宋" w:eastAsia="仿宋" w:cs="Times New Roman"/>
          <w:color w:val="auto"/>
          <w:sz w:val="21"/>
          <w:szCs w:val="21"/>
          <w:highlight w:val="none"/>
        </w:rPr>
        <w:t>通知书》，甲、乙双方同意签订本合同。合同附件及本项目的</w:t>
      </w:r>
      <w:r>
        <w:rPr>
          <w:rFonts w:hint="eastAsia" w:ascii="仿宋" w:hAnsi="仿宋" w:eastAsia="仿宋" w:cs="Times New Roman"/>
          <w:color w:val="auto"/>
          <w:sz w:val="21"/>
          <w:szCs w:val="21"/>
          <w:highlight w:val="none"/>
        </w:rPr>
        <w:t>比选</w:t>
      </w:r>
      <w:r>
        <w:rPr>
          <w:rFonts w:ascii="仿宋" w:hAnsi="仿宋" w:eastAsia="仿宋" w:cs="Times New Roman"/>
          <w:color w:val="auto"/>
          <w:sz w:val="21"/>
          <w:szCs w:val="21"/>
          <w:highlight w:val="none"/>
        </w:rPr>
        <w:t>文件、</w:t>
      </w:r>
      <w:r>
        <w:rPr>
          <w:rFonts w:hint="eastAsia" w:ascii="仿宋" w:hAnsi="仿宋" w:eastAsia="仿宋" w:cs="Times New Roman"/>
          <w:color w:val="auto"/>
          <w:sz w:val="21"/>
          <w:szCs w:val="21"/>
          <w:highlight w:val="none"/>
        </w:rPr>
        <w:t>比选响应</w:t>
      </w:r>
      <w:r>
        <w:rPr>
          <w:rFonts w:ascii="仿宋" w:hAnsi="仿宋" w:eastAsia="仿宋" w:cs="Times New Roman"/>
          <w:color w:val="auto"/>
          <w:sz w:val="21"/>
          <w:szCs w:val="21"/>
          <w:highlight w:val="none"/>
        </w:rPr>
        <w:t>文件、《中</w:t>
      </w:r>
      <w:r>
        <w:rPr>
          <w:rFonts w:hint="eastAsia" w:ascii="仿宋" w:hAnsi="仿宋" w:eastAsia="仿宋" w:cs="Times New Roman"/>
          <w:color w:val="auto"/>
          <w:sz w:val="21"/>
          <w:szCs w:val="21"/>
          <w:highlight w:val="none"/>
        </w:rPr>
        <w:t>选</w:t>
      </w:r>
      <w:r>
        <w:rPr>
          <w:rFonts w:ascii="仿宋" w:hAnsi="仿宋" w:eastAsia="仿宋" w:cs="Times New Roman"/>
          <w:color w:val="auto"/>
          <w:sz w:val="21"/>
          <w:szCs w:val="21"/>
          <w:highlight w:val="none"/>
        </w:rPr>
        <w:t>通知书》等均为本合同不可分割的部分。双方同意共同遵守如下条款：</w:t>
      </w:r>
    </w:p>
    <w:p w14:paraId="422B4C4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一、服务事项</w:t>
      </w:r>
    </w:p>
    <w:p w14:paraId="58B79748">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甲方拟起诉</w:t>
      </w:r>
      <w:r>
        <w:rPr>
          <w:rFonts w:hint="eastAsia" w:ascii="仿宋" w:hAnsi="仿宋" w:eastAsia="仿宋" w:cs="Times New Roman"/>
          <w:color w:val="auto"/>
          <w:sz w:val="21"/>
          <w:szCs w:val="21"/>
          <w:highlight w:val="none"/>
          <w:lang w:val="en-US" w:eastAsia="zh-CN"/>
        </w:rPr>
        <w:t>四川省</w:t>
      </w:r>
      <w:r>
        <w:rPr>
          <w:rFonts w:ascii="仿宋" w:hAnsi="仿宋" w:eastAsia="仿宋" w:cs="Times New Roman"/>
          <w:color w:val="auto"/>
          <w:sz w:val="21"/>
          <w:szCs w:val="21"/>
          <w:highlight w:val="none"/>
        </w:rPr>
        <w:t>某</w:t>
      </w:r>
      <w:r>
        <w:rPr>
          <w:rFonts w:hint="eastAsia" w:ascii="仿宋" w:hAnsi="仿宋" w:eastAsia="仿宋" w:cs="Times New Roman"/>
          <w:color w:val="auto"/>
          <w:sz w:val="21"/>
          <w:szCs w:val="21"/>
          <w:highlight w:val="none"/>
        </w:rPr>
        <w:t>国有</w:t>
      </w:r>
      <w:r>
        <w:rPr>
          <w:rFonts w:ascii="仿宋" w:hAnsi="仿宋" w:eastAsia="仿宋" w:cs="Times New Roman"/>
          <w:color w:val="auto"/>
          <w:sz w:val="21"/>
          <w:szCs w:val="21"/>
          <w:highlight w:val="none"/>
        </w:rPr>
        <w:t>企业，现乙方</w:t>
      </w:r>
      <w:r>
        <w:rPr>
          <w:rFonts w:hint="eastAsia" w:ascii="仿宋" w:hAnsi="仿宋" w:eastAsia="仿宋" w:cs="Times New Roman"/>
          <w:color w:val="auto"/>
          <w:sz w:val="21"/>
          <w:szCs w:val="21"/>
          <w:highlight w:val="none"/>
        </w:rPr>
        <w:t>提供</w:t>
      </w:r>
      <w:r>
        <w:rPr>
          <w:rFonts w:ascii="仿宋" w:hAnsi="仿宋" w:eastAsia="仿宋" w:cs="Times New Roman"/>
          <w:color w:val="auto"/>
          <w:sz w:val="21"/>
          <w:szCs w:val="21"/>
          <w:highlight w:val="none"/>
        </w:rPr>
        <w:t>如下</w:t>
      </w:r>
      <w:r>
        <w:rPr>
          <w:rFonts w:hint="eastAsia" w:ascii="仿宋" w:hAnsi="仿宋" w:eastAsia="仿宋" w:cs="Times New Roman"/>
          <w:color w:val="auto"/>
          <w:sz w:val="21"/>
          <w:szCs w:val="21"/>
          <w:highlight w:val="none"/>
        </w:rPr>
        <w:t>法律服务</w:t>
      </w:r>
      <w:r>
        <w:rPr>
          <w:rFonts w:ascii="仿宋" w:hAnsi="仿宋" w:eastAsia="仿宋" w:cs="Times New Roman"/>
          <w:color w:val="auto"/>
          <w:sz w:val="21"/>
          <w:szCs w:val="21"/>
          <w:highlight w:val="none"/>
        </w:rPr>
        <w:t>：</w:t>
      </w:r>
    </w:p>
    <w:p w14:paraId="378C6686">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全面分析案情，对相关事实与法律问题进行深入分析与研究；</w:t>
      </w:r>
    </w:p>
    <w:p w14:paraId="5C210BE4">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梳理案件的证据资料，制定诉讼方案和策略；</w:t>
      </w:r>
    </w:p>
    <w:p w14:paraId="37371A60">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准备草拟</w:t>
      </w:r>
      <w:r>
        <w:rPr>
          <w:rFonts w:hint="eastAsia" w:ascii="仿宋" w:hAnsi="仿宋" w:eastAsia="仿宋" w:cs="Times New Roman"/>
          <w:color w:val="auto"/>
          <w:sz w:val="21"/>
          <w:szCs w:val="21"/>
          <w:highlight w:val="none"/>
        </w:rPr>
        <w:t>起诉状/答辩状</w:t>
      </w:r>
      <w:r>
        <w:rPr>
          <w:rFonts w:ascii="仿宋" w:hAnsi="仿宋" w:eastAsia="仿宋" w:cs="Times New Roman"/>
          <w:color w:val="auto"/>
          <w:sz w:val="21"/>
          <w:szCs w:val="21"/>
          <w:highlight w:val="none"/>
        </w:rPr>
        <w:t>、代理词、证据清单等法律文书；</w:t>
      </w:r>
    </w:p>
    <w:p w14:paraId="6B967FF8">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代理与本案相关的一审、二审、再审（若有）</w:t>
      </w:r>
      <w:r>
        <w:rPr>
          <w:rFonts w:hint="eastAsia" w:ascii="仿宋" w:hAnsi="仿宋" w:eastAsia="仿宋" w:cs="Times New Roman"/>
          <w:color w:val="auto"/>
          <w:sz w:val="21"/>
          <w:szCs w:val="21"/>
          <w:highlight w:val="none"/>
        </w:rPr>
        <w:t>，</w:t>
      </w:r>
      <w:r>
        <w:rPr>
          <w:rFonts w:ascii="仿宋" w:hAnsi="仿宋" w:eastAsia="仿宋" w:cs="Times New Roman"/>
          <w:color w:val="auto"/>
          <w:sz w:val="21"/>
          <w:szCs w:val="21"/>
          <w:highlight w:val="none"/>
        </w:rPr>
        <w:t>含反诉；</w:t>
      </w:r>
    </w:p>
    <w:p w14:paraId="19D25D03">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向法院递交相应的文书和资料、领取法院的相关法律文书；</w:t>
      </w:r>
    </w:p>
    <w:p w14:paraId="0943790A">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受</w:t>
      </w:r>
      <w:r>
        <w:rPr>
          <w:rFonts w:hint="eastAsia" w:ascii="仿宋" w:hAnsi="仿宋" w:eastAsia="仿宋" w:cs="Times New Roman"/>
          <w:color w:val="auto"/>
          <w:sz w:val="21"/>
          <w:szCs w:val="21"/>
          <w:highlight w:val="none"/>
        </w:rPr>
        <w:t>甲方</w:t>
      </w:r>
      <w:r>
        <w:rPr>
          <w:rFonts w:ascii="仿宋" w:hAnsi="仿宋" w:eastAsia="仿宋" w:cs="Times New Roman"/>
          <w:color w:val="auto"/>
          <w:sz w:val="21"/>
          <w:szCs w:val="21"/>
          <w:highlight w:val="none"/>
        </w:rPr>
        <w:t>委托参加可能发生的诉讼程序、谈判、和解、调解活动，就调解、和解方案提出意见，并出具书面的法律意见书；</w:t>
      </w:r>
    </w:p>
    <w:p w14:paraId="36CA2482">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提起上诉，拟定上诉状，参加应诉工作；</w:t>
      </w:r>
    </w:p>
    <w:p w14:paraId="3D9B9D6B">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在重要节点，以工作报告形式及时通报委托事项办理进展，征求意见；</w:t>
      </w:r>
    </w:p>
    <w:p w14:paraId="2301D9A6">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代理案件执行工作；</w:t>
      </w:r>
    </w:p>
    <w:p w14:paraId="03388269">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其他与案件相关的法律事务。</w:t>
      </w:r>
    </w:p>
    <w:p w14:paraId="2E16FF8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二、</w:t>
      </w:r>
      <w:r>
        <w:rPr>
          <w:rFonts w:hint="eastAsia" w:ascii="仿宋" w:hAnsi="仿宋" w:eastAsia="仿宋" w:cs="Times New Roman"/>
          <w:color w:val="auto"/>
          <w:sz w:val="21"/>
          <w:szCs w:val="21"/>
          <w:highlight w:val="none"/>
        </w:rPr>
        <w:t>服务</w:t>
      </w:r>
      <w:r>
        <w:rPr>
          <w:rFonts w:ascii="仿宋" w:hAnsi="仿宋" w:eastAsia="仿宋" w:cs="Times New Roman"/>
          <w:color w:val="auto"/>
          <w:sz w:val="21"/>
          <w:szCs w:val="21"/>
          <w:highlight w:val="none"/>
        </w:rPr>
        <w:t>期限</w:t>
      </w:r>
    </w:p>
    <w:p w14:paraId="7C43294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自合同签订之日起至甲方债权全部实现为止。</w:t>
      </w:r>
    </w:p>
    <w:p w14:paraId="32ABE503">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三、服务团队与服务要求</w:t>
      </w:r>
    </w:p>
    <w:p w14:paraId="06735A4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被委托人指派【】为甲方服务，【】是本项目</w:t>
      </w:r>
      <w:r>
        <w:rPr>
          <w:rFonts w:hint="eastAsia" w:ascii="仿宋" w:hAnsi="仿宋" w:eastAsia="仿宋" w:cs="Times New Roman"/>
          <w:color w:val="auto"/>
          <w:sz w:val="21"/>
          <w:szCs w:val="21"/>
          <w:highlight w:val="none"/>
          <w:lang w:val="en-US" w:eastAsia="zh-CN"/>
        </w:rPr>
        <w:t>负责人</w:t>
      </w:r>
      <w:r>
        <w:rPr>
          <w:rFonts w:ascii="仿宋" w:hAnsi="仿宋" w:eastAsia="仿宋" w:cs="Times New Roman"/>
          <w:color w:val="auto"/>
          <w:sz w:val="21"/>
          <w:szCs w:val="21"/>
          <w:highlight w:val="none"/>
        </w:rPr>
        <w:t>，并指派【】等律师作为本项目</w:t>
      </w:r>
      <w:r>
        <w:rPr>
          <w:rFonts w:hint="eastAsia" w:ascii="仿宋" w:hAnsi="仿宋" w:eastAsia="仿宋" w:cs="Times New Roman"/>
          <w:color w:val="auto"/>
          <w:sz w:val="21"/>
          <w:szCs w:val="21"/>
          <w:highlight w:val="none"/>
          <w:lang w:val="en-US" w:eastAsia="zh-CN"/>
        </w:rPr>
        <w:t>主办</w:t>
      </w:r>
      <w:r>
        <w:rPr>
          <w:rFonts w:ascii="仿宋" w:hAnsi="仿宋" w:eastAsia="仿宋" w:cs="Times New Roman"/>
          <w:color w:val="auto"/>
          <w:sz w:val="21"/>
          <w:szCs w:val="21"/>
          <w:highlight w:val="none"/>
        </w:rPr>
        <w:t>律师。诉讼每次庭审全程由</w:t>
      </w:r>
      <w:r>
        <w:rPr>
          <w:rFonts w:hint="eastAsia" w:ascii="仿宋" w:hAnsi="仿宋" w:eastAsia="仿宋" w:cs="Times New Roman"/>
          <w:color w:val="auto"/>
          <w:sz w:val="21"/>
          <w:szCs w:val="21"/>
          <w:highlight w:val="none"/>
          <w:lang w:val="en-US" w:eastAsia="zh-CN"/>
        </w:rPr>
        <w:t>项目负责人</w:t>
      </w:r>
      <w:r>
        <w:rPr>
          <w:rFonts w:ascii="仿宋" w:hAnsi="仿宋" w:eastAsia="仿宋" w:cs="Times New Roman"/>
          <w:color w:val="auto"/>
          <w:sz w:val="21"/>
          <w:szCs w:val="21"/>
          <w:highlight w:val="none"/>
        </w:rPr>
        <w:t>本人出庭，</w:t>
      </w:r>
      <w:r>
        <w:rPr>
          <w:rFonts w:hint="eastAsia" w:ascii="仿宋" w:hAnsi="仿宋" w:eastAsia="仿宋" w:cs="Times New Roman"/>
          <w:color w:val="auto"/>
          <w:sz w:val="21"/>
          <w:szCs w:val="21"/>
          <w:highlight w:val="none"/>
          <w:lang w:val="en-US" w:eastAsia="zh-CN"/>
        </w:rPr>
        <w:t>项目负责人</w:t>
      </w:r>
      <w:r>
        <w:rPr>
          <w:rFonts w:ascii="仿宋" w:hAnsi="仿宋" w:eastAsia="仿宋" w:cs="Times New Roman"/>
          <w:color w:val="auto"/>
          <w:sz w:val="21"/>
          <w:szCs w:val="21"/>
          <w:highlight w:val="none"/>
        </w:rPr>
        <w:t>必须参与服务全过程；非经委托人书面同意，被委托人不得擅自变更</w:t>
      </w:r>
      <w:r>
        <w:rPr>
          <w:rFonts w:hint="eastAsia" w:ascii="仿宋" w:hAnsi="仿宋" w:eastAsia="仿宋" w:cs="Times New Roman"/>
          <w:color w:val="auto"/>
          <w:sz w:val="21"/>
          <w:szCs w:val="21"/>
          <w:highlight w:val="none"/>
          <w:lang w:val="en-US" w:eastAsia="zh-CN"/>
        </w:rPr>
        <w:t>项目负责人</w:t>
      </w:r>
      <w:r>
        <w:rPr>
          <w:rFonts w:ascii="仿宋" w:hAnsi="仿宋" w:eastAsia="仿宋" w:cs="Times New Roman"/>
          <w:color w:val="auto"/>
          <w:sz w:val="21"/>
          <w:szCs w:val="21"/>
          <w:highlight w:val="none"/>
        </w:rPr>
        <w:t>。</w:t>
      </w:r>
    </w:p>
    <w:p w14:paraId="2D05E5B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1.指派的律师服务团队在提供服务过程中应当及时向委托人、相关部门和单位调取案件所必需的证据；</w:t>
      </w:r>
    </w:p>
    <w:p w14:paraId="386D2CD4">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2.指派的律师团队在提供服务过程中需制定相应的诉讼策略和诉讼方案，如：诉讼代理方案中案件概况、代理思路、案件重点、难点、风险点、应诉策略、进度安排、组织措施等；</w:t>
      </w:r>
    </w:p>
    <w:p w14:paraId="5290E4C6">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3.指派的律师团队在代为诉讼的同时应甲方的</w:t>
      </w:r>
      <w:r>
        <w:rPr>
          <w:rFonts w:hint="eastAsia" w:ascii="仿宋" w:hAnsi="仿宋" w:eastAsia="仿宋" w:cs="Times New Roman"/>
          <w:color w:val="auto"/>
          <w:sz w:val="21"/>
          <w:szCs w:val="21"/>
          <w:highlight w:val="none"/>
          <w:lang w:eastAsia="zh-CN"/>
        </w:rPr>
        <w:t>要求</w:t>
      </w:r>
      <w:r>
        <w:rPr>
          <w:rFonts w:ascii="仿宋" w:hAnsi="仿宋" w:eastAsia="仿宋" w:cs="Times New Roman"/>
          <w:color w:val="auto"/>
          <w:sz w:val="21"/>
          <w:szCs w:val="21"/>
          <w:highlight w:val="none"/>
        </w:rPr>
        <w:t>协助甲方妥善处理与诉讼相关纠纷；</w:t>
      </w:r>
    </w:p>
    <w:p w14:paraId="29AB502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4.指派的律师团队应当以其依据法律作出的专业判断，向甲方进行法律风险提示，尽最大努力维护甲方的合法利益；</w:t>
      </w:r>
    </w:p>
    <w:p w14:paraId="21CBEBE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5.代理期间，将拟定的包括但不限于代理方案、证据目录、质证意见、代理意见等交甲方审阅。</w:t>
      </w:r>
    </w:p>
    <w:p w14:paraId="39DA04D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6.被委托人应当根据审判机关的要求，及时提交证据，按时参加审理活动并应及时向委托人通报案件进展情况。</w:t>
      </w:r>
    </w:p>
    <w:p w14:paraId="507822F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7.指派的律师团队对委托办理的案件应当独立建档，并保存完整的工作记录，对涉及甲方的原始证据、法律文件和财物应当妥善保管；</w:t>
      </w:r>
    </w:p>
    <w:p w14:paraId="2555E8F6">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8.指派的律师团队应当保守其在接受委托人委托代理案件过程中知悉的国家秘密、商业秘密、个人隐私，以及委托人明确表示不能对外公开的信息。</w:t>
      </w:r>
    </w:p>
    <w:p w14:paraId="7FFD705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四、服务费用及支付方式</w:t>
      </w:r>
    </w:p>
    <w:p w14:paraId="5820D3BF">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1.基础代理费：报价包括所有诉讼程序中的代理费、差旅费、利润、风险、税金等完成本项目所有费用，为【】万元。甲方在收到法院立案通知书（先行调解书）且收到乙方全额增值税专用发票后15日内支付全部基础代理费用。</w:t>
      </w:r>
    </w:p>
    <w:p w14:paraId="4A236605">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2.风险代理费：风险律师代理费：以甲方实际收到本项目所有款项部分收取的【】%计算风险代理费；后期风险代理费支付时间：甲方实际收到被告支付的全部款项后，甲方收到乙方开具正式的发票后【15】个工作日内支付风险代理费。</w:t>
      </w:r>
    </w:p>
    <w:p w14:paraId="2FF912D2">
      <w:pPr>
        <w:spacing w:line="400" w:lineRule="exact"/>
        <w:ind w:firstLine="420" w:firstLineChars="200"/>
        <w:rPr>
          <w:rFonts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3.本项目所涉服务费用总额限价【】万元，无论按照前述第1、2项计算的代理费金额是多少，乙方承诺放弃超过【】万元的部分</w:t>
      </w:r>
      <w:r>
        <w:rPr>
          <w:rFonts w:ascii="仿宋" w:hAnsi="仿宋" w:eastAsia="仿宋" w:cs="Times New Roman"/>
          <w:color w:val="auto"/>
          <w:sz w:val="21"/>
          <w:szCs w:val="21"/>
          <w:highlight w:val="none"/>
        </w:rPr>
        <w:t>。</w:t>
      </w:r>
    </w:p>
    <w:p w14:paraId="023942DA">
      <w:pPr>
        <w:spacing w:line="400" w:lineRule="exact"/>
        <w:ind w:firstLine="420" w:firstLineChars="200"/>
        <w:rPr>
          <w:rFonts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4</w:t>
      </w:r>
      <w:r>
        <w:rPr>
          <w:rFonts w:ascii="仿宋" w:hAnsi="仿宋" w:eastAsia="仿宋" w:cs="Times New Roman"/>
          <w:color w:val="auto"/>
          <w:sz w:val="21"/>
          <w:szCs w:val="21"/>
          <w:highlight w:val="none"/>
        </w:rPr>
        <w:t>.乙方收款账户信息：</w:t>
      </w:r>
    </w:p>
    <w:p w14:paraId="759EAFA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账户名称：</w:t>
      </w:r>
    </w:p>
    <w:p w14:paraId="6D3ACCD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开户行：</w:t>
      </w:r>
    </w:p>
    <w:p w14:paraId="7E9BEE26">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账号：</w:t>
      </w:r>
    </w:p>
    <w:p w14:paraId="66FDF7DF">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行号：</w:t>
      </w:r>
    </w:p>
    <w:p w14:paraId="61E79AD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五、知识产权</w:t>
      </w:r>
    </w:p>
    <w:p w14:paraId="3F94B59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乙方应保证所提供的服务或其任何一部分均不会侵犯任何第三方的专利权、商标权或著作权。</w:t>
      </w:r>
    </w:p>
    <w:p w14:paraId="19394832">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六、甲方的权利和义务</w:t>
      </w:r>
    </w:p>
    <w:p w14:paraId="0AC31673">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1.甲方有权向乙方了解案件进展情况和结果。</w:t>
      </w:r>
    </w:p>
    <w:p w14:paraId="10886162">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全面、客观、真实地向乙方介绍案件情况，及时向乙方提供与案件有关的文件（复印件），并保证其真实、合法。（注：证据原件由甲方自行保存，若确需交原件与承办律师，双方应办理各方签名的证据交接清单）</w:t>
      </w:r>
    </w:p>
    <w:p w14:paraId="52B64428">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3.根据本合同规定，按时向乙方支付应付服务费用。</w:t>
      </w:r>
    </w:p>
    <w:p w14:paraId="5578C564">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4.国家法律、法规所规定由甲方承担的其他责任。</w:t>
      </w:r>
    </w:p>
    <w:p w14:paraId="5F220F12">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七、乙方的权利和义务</w:t>
      </w:r>
    </w:p>
    <w:p w14:paraId="01363BE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1.对本合同规定的委托服务范围内的事项享有管理权及服务义务。</w:t>
      </w:r>
    </w:p>
    <w:p w14:paraId="652F460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2.根据本合同的规定向甲方收取相关服务费用。</w:t>
      </w:r>
    </w:p>
    <w:p w14:paraId="43C95C5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3.乙方律师工作上勤勉尽职，恪守律师职业道德和执业纪律</w:t>
      </w:r>
      <w:r>
        <w:rPr>
          <w:rFonts w:hint="eastAsia" w:ascii="仿宋" w:hAnsi="仿宋" w:eastAsia="仿宋" w:cs="Times New Roman"/>
          <w:color w:val="auto"/>
          <w:sz w:val="21"/>
          <w:szCs w:val="21"/>
          <w:highlight w:val="none"/>
          <w:lang w:eastAsia="zh-CN"/>
        </w:rPr>
        <w:t>，在</w:t>
      </w:r>
      <w:r>
        <w:rPr>
          <w:rFonts w:ascii="仿宋" w:hAnsi="仿宋" w:eastAsia="仿宋" w:cs="Times New Roman"/>
          <w:color w:val="auto"/>
          <w:sz w:val="21"/>
          <w:szCs w:val="21"/>
          <w:highlight w:val="none"/>
        </w:rPr>
        <w:t>办案中严格遵循《律师办理民事诉讼案件规范》的规定。</w:t>
      </w:r>
    </w:p>
    <w:p w14:paraId="605DE81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4.乙方律师应当以其依据法律作出的判断，向甲方进行法律风险提示；及时提交证据，按时出庭，应甲方要求通报案件进展情况。</w:t>
      </w:r>
    </w:p>
    <w:p w14:paraId="69BD0D6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5.国家法律、法规所规定由乙方承担的其他责任。</w:t>
      </w:r>
    </w:p>
    <w:p w14:paraId="0A4B0024">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八、违约责任</w:t>
      </w:r>
    </w:p>
    <w:p w14:paraId="567AC453">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1.双方必须遵守本合同并执行合同中的各项规定，保证本合同的正常履行。</w:t>
      </w:r>
    </w:p>
    <w:p w14:paraId="600342C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1FC29B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九、不可抗力事件处理</w:t>
      </w:r>
    </w:p>
    <w:p w14:paraId="6420BFE4">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1.在合同有效期内，任何一方因不可抗力事件导致不能履行合同，则合同履行期可延长，其延长期与不可抗力影响期相同。</w:t>
      </w:r>
    </w:p>
    <w:p w14:paraId="67F3C3B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2.不可抗力事件发生后，应立即通知对方，并寄送有关权威机构出具的证明。</w:t>
      </w:r>
    </w:p>
    <w:p w14:paraId="25AC922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3.不可抗力事件延续120天以上，双方应通过友好协商，确定是否继续履行合同。</w:t>
      </w:r>
    </w:p>
    <w:p w14:paraId="25977BD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十、解决合同纠纷的方式</w:t>
      </w:r>
    </w:p>
    <w:p w14:paraId="759C6DF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在执行本合同中发生的或与本合同有关的争端，双方应通过友好协商解决，协商不成，向甲方所在地法院提起诉讼。</w:t>
      </w:r>
    </w:p>
    <w:p w14:paraId="6210ECC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十一、合同生效</w:t>
      </w:r>
    </w:p>
    <w:p w14:paraId="42AEBAF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1.合同经双方法定代表人或授权委托代理人签字并加盖单位公章后生效。</w:t>
      </w:r>
    </w:p>
    <w:p w14:paraId="6D89919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2.合同执行中涉及合同金额和服务内容修改或补充的，须签订书面补充协议方可作为主合同不可分割的一部分。</w:t>
      </w:r>
    </w:p>
    <w:p w14:paraId="322DF41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十二、其他</w:t>
      </w:r>
    </w:p>
    <w:p w14:paraId="5B55EFE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1.如有未尽事宜，由双方依法订立补充合同。</w:t>
      </w:r>
    </w:p>
    <w:p w14:paraId="4ECE597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2.本合同一式4份，自双方签章之日起生效。甲方2份，乙方2份，具有同等法律效力。（以下无正文）</w:t>
      </w:r>
    </w:p>
    <w:p w14:paraId="5541F363">
      <w:pPr>
        <w:ind w:left="4200" w:hanging="4200" w:hangingChars="2000"/>
        <w:rPr>
          <w:rFonts w:ascii="仿宋" w:hAnsi="仿宋" w:eastAsia="仿宋" w:cs="Times New Roman"/>
          <w:bCs/>
          <w:sz w:val="21"/>
          <w:szCs w:val="21"/>
          <w:highlight w:val="none"/>
        </w:rPr>
      </w:pPr>
    </w:p>
    <w:p w14:paraId="29C27A19">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甲方（委托人）：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乙方（被委托人）：</w:t>
      </w:r>
    </w:p>
    <w:p w14:paraId="5E40191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法定代表人（授权代表）：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法定代表人（授权代表）：</w:t>
      </w:r>
    </w:p>
    <w:p w14:paraId="5B84788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地 址：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地 址：</w:t>
      </w:r>
    </w:p>
    <w:p w14:paraId="7EA397B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开户银行：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开户银行：</w:t>
      </w:r>
    </w:p>
    <w:p w14:paraId="3F10058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账 号：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账 号：</w:t>
      </w:r>
    </w:p>
    <w:p w14:paraId="0909876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电 话：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电 话：</w:t>
      </w:r>
    </w:p>
    <w:p w14:paraId="53FA9F9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传 真：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传 真：</w:t>
      </w:r>
    </w:p>
    <w:p w14:paraId="2147A71D">
      <w:pPr>
        <w:spacing w:line="400" w:lineRule="exact"/>
        <w:ind w:firstLine="420" w:firstLineChars="200"/>
        <w:rPr>
          <w:rFonts w:ascii="仿宋" w:hAnsi="仿宋" w:eastAsia="仿宋" w:cs="Times New Roman"/>
          <w:color w:val="auto"/>
          <w:sz w:val="21"/>
          <w:szCs w:val="21"/>
          <w:highlight w:val="none"/>
        </w:rPr>
        <w:sectPr>
          <w:pgSz w:w="12240" w:h="15840"/>
          <w:pgMar w:top="2098" w:right="1474" w:bottom="1984" w:left="1587" w:header="720" w:footer="720" w:gutter="0"/>
          <w:cols w:space="720" w:num="1"/>
        </w:sectPr>
      </w:pPr>
      <w:r>
        <w:rPr>
          <w:rFonts w:ascii="仿宋" w:hAnsi="仿宋" w:eastAsia="仿宋" w:cs="Times New Roman"/>
          <w:color w:val="auto"/>
          <w:sz w:val="21"/>
          <w:szCs w:val="21"/>
          <w:highlight w:val="none"/>
        </w:rPr>
        <w:t xml:space="preserve">签约日期：    年  月  日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签约日期：    年  月  日</w:t>
      </w:r>
    </w:p>
    <w:p w14:paraId="16FD7B65">
      <w:pPr>
        <w:pStyle w:val="4"/>
        <w:spacing w:after="0" w:line="240" w:lineRule="auto"/>
        <w:ind w:left="0" w:right="0" w:firstLine="0"/>
        <w:rPr>
          <w:rFonts w:ascii="仿宋" w:hAnsi="仿宋" w:eastAsia="仿宋" w:cs="Times New Roman"/>
          <w:color w:val="auto"/>
          <w:szCs w:val="32"/>
          <w:highlight w:val="none"/>
        </w:rPr>
      </w:pPr>
      <w:r>
        <w:rPr>
          <w:rFonts w:ascii="仿宋" w:hAnsi="仿宋" w:eastAsia="仿宋" w:cs="Times New Roman"/>
          <w:color w:val="auto"/>
          <w:szCs w:val="32"/>
          <w:highlight w:val="none"/>
        </w:rPr>
        <w:t>第五章</w:t>
      </w:r>
      <w:r>
        <w:rPr>
          <w:rFonts w:hint="eastAsia" w:ascii="仿宋" w:hAnsi="仿宋" w:eastAsia="仿宋" w:cs="Times New Roman"/>
          <w:color w:val="auto"/>
          <w:szCs w:val="32"/>
          <w:highlight w:val="none"/>
        </w:rPr>
        <w:t xml:space="preserve">  </w:t>
      </w:r>
      <w:r>
        <w:rPr>
          <w:rFonts w:ascii="仿宋" w:hAnsi="仿宋" w:eastAsia="仿宋" w:cs="Times New Roman"/>
          <w:color w:val="auto"/>
          <w:szCs w:val="32"/>
          <w:highlight w:val="none"/>
        </w:rPr>
        <w:t xml:space="preserve"> 比选响应文件格式</w:t>
      </w:r>
      <w:bookmarkEnd w:id="33"/>
      <w:bookmarkEnd w:id="34"/>
      <w:r>
        <w:rPr>
          <w:rFonts w:ascii="仿宋" w:hAnsi="仿宋" w:eastAsia="仿宋" w:cs="Times New Roman"/>
          <w:color w:val="auto"/>
          <w:szCs w:val="32"/>
          <w:highlight w:val="none"/>
        </w:rPr>
        <w:t xml:space="preserve"> </w:t>
      </w:r>
    </w:p>
    <w:p w14:paraId="62E6F6F8">
      <w:pPr>
        <w:spacing w:after="0" w:line="640" w:lineRule="exact"/>
        <w:ind w:firstLine="883"/>
        <w:jc w:val="center"/>
        <w:rPr>
          <w:rFonts w:ascii="仿宋" w:hAnsi="仿宋" w:eastAsia="仿宋" w:cs="Times New Roman"/>
          <w:b/>
          <w:color w:val="auto"/>
          <w:kern w:val="0"/>
          <w:sz w:val="44"/>
          <w:szCs w:val="28"/>
          <w:highlight w:val="none"/>
        </w:rPr>
      </w:pPr>
    </w:p>
    <w:p w14:paraId="2B2B9AFE">
      <w:pPr>
        <w:spacing w:after="0" w:line="640" w:lineRule="exact"/>
        <w:jc w:val="center"/>
        <w:rPr>
          <w:rFonts w:hint="eastAsia" w:ascii="方正小标宋简体" w:hAnsi="方正小标宋简体" w:eastAsia="方正小标宋简体" w:cs="方正小标宋简体"/>
          <w:bCs/>
          <w:color w:val="auto"/>
          <w:kern w:val="0"/>
          <w:sz w:val="44"/>
          <w:szCs w:val="28"/>
          <w:highlight w:val="none"/>
        </w:rPr>
      </w:pPr>
      <w:r>
        <w:rPr>
          <w:rFonts w:hint="eastAsia" w:ascii="方正小标宋简体" w:hAnsi="方正小标宋简体" w:eastAsia="方正小标宋简体" w:cs="方正小标宋简体"/>
          <w:bCs/>
          <w:color w:val="auto"/>
          <w:kern w:val="0"/>
          <w:sz w:val="44"/>
          <w:szCs w:val="28"/>
          <w:highlight w:val="none"/>
        </w:rPr>
        <w:t>四川蜀物兴川物流发展有限公司</w:t>
      </w:r>
    </w:p>
    <w:p w14:paraId="7C38A912">
      <w:pPr>
        <w:spacing w:after="0" w:line="640" w:lineRule="exact"/>
        <w:jc w:val="center"/>
        <w:rPr>
          <w:rFonts w:hint="eastAsia" w:ascii="方正小标宋简体" w:hAnsi="方正小标宋简体" w:eastAsia="方正小标宋简体" w:cs="方正小标宋简体"/>
          <w:bCs/>
          <w:color w:val="auto"/>
          <w:kern w:val="0"/>
          <w:sz w:val="44"/>
          <w:szCs w:val="28"/>
          <w:highlight w:val="none"/>
        </w:rPr>
      </w:pPr>
      <w:r>
        <w:rPr>
          <w:rFonts w:hint="eastAsia" w:ascii="方正小标宋简体" w:hAnsi="方正小标宋简体" w:eastAsia="方正小标宋简体" w:cs="方正小标宋简体"/>
          <w:bCs/>
          <w:color w:val="auto"/>
          <w:kern w:val="0"/>
          <w:sz w:val="44"/>
          <w:szCs w:val="28"/>
          <w:highlight w:val="none"/>
        </w:rPr>
        <w:t>关于与四川省某国有企业买卖合同纠纷法律</w:t>
      </w:r>
    </w:p>
    <w:p w14:paraId="507276F6">
      <w:pPr>
        <w:spacing w:after="0" w:line="640" w:lineRule="exact"/>
        <w:jc w:val="center"/>
        <w:rPr>
          <w:rFonts w:ascii="仿宋" w:hAnsi="仿宋" w:eastAsia="仿宋" w:cs="Times New Roman"/>
          <w:bCs/>
          <w:color w:val="auto"/>
          <w:kern w:val="0"/>
          <w:sz w:val="44"/>
          <w:szCs w:val="28"/>
          <w:highlight w:val="none"/>
        </w:rPr>
      </w:pPr>
      <w:r>
        <w:rPr>
          <w:rFonts w:hint="eastAsia" w:ascii="方正小标宋简体" w:hAnsi="方正小标宋简体" w:eastAsia="方正小标宋简体" w:cs="方正小标宋简体"/>
          <w:bCs/>
          <w:color w:val="auto"/>
          <w:kern w:val="0"/>
          <w:sz w:val="44"/>
          <w:szCs w:val="28"/>
          <w:highlight w:val="none"/>
        </w:rPr>
        <w:t>服务项目</w:t>
      </w:r>
    </w:p>
    <w:p w14:paraId="4466A71C">
      <w:pPr>
        <w:adjustRightInd w:val="0"/>
        <w:snapToGrid w:val="0"/>
        <w:spacing w:after="0" w:line="360" w:lineRule="auto"/>
        <w:jc w:val="center"/>
        <w:rPr>
          <w:rFonts w:ascii="仿宋" w:hAnsi="仿宋" w:eastAsia="仿宋" w:cs="Times New Roman"/>
          <w:color w:val="auto"/>
          <w:kern w:val="0"/>
          <w:sz w:val="52"/>
          <w:szCs w:val="28"/>
          <w:highlight w:val="none"/>
        </w:rPr>
      </w:pPr>
    </w:p>
    <w:p w14:paraId="29182D10">
      <w:pPr>
        <w:rPr>
          <w:highlight w:val="none"/>
        </w:rPr>
      </w:pPr>
    </w:p>
    <w:p w14:paraId="096EA4E3">
      <w:pPr>
        <w:rPr>
          <w:highlight w:val="none"/>
        </w:rPr>
      </w:pPr>
    </w:p>
    <w:p w14:paraId="7F28958E">
      <w:pPr>
        <w:adjustRightInd w:val="0"/>
        <w:snapToGrid w:val="0"/>
        <w:spacing w:after="0" w:line="360" w:lineRule="auto"/>
        <w:jc w:val="center"/>
        <w:rPr>
          <w:rFonts w:hint="eastAsia" w:ascii="方正小标宋简体" w:hAnsi="方正小标宋简体" w:eastAsia="方正小标宋简体" w:cs="方正小标宋简体"/>
          <w:color w:val="auto"/>
          <w:kern w:val="0"/>
          <w:sz w:val="52"/>
          <w:szCs w:val="28"/>
          <w:highlight w:val="none"/>
        </w:rPr>
      </w:pPr>
      <w:r>
        <w:rPr>
          <w:rFonts w:hint="eastAsia" w:ascii="方正小标宋简体" w:hAnsi="方正小标宋简体" w:eastAsia="方正小标宋简体" w:cs="方正小标宋简体"/>
          <w:color w:val="auto"/>
          <w:kern w:val="0"/>
          <w:sz w:val="52"/>
          <w:szCs w:val="28"/>
          <w:highlight w:val="none"/>
        </w:rPr>
        <w:t>比选响应文件</w:t>
      </w:r>
    </w:p>
    <w:p w14:paraId="51A98444">
      <w:pPr>
        <w:widowControl w:val="0"/>
        <w:spacing w:after="0" w:line="360" w:lineRule="auto"/>
        <w:ind w:right="823" w:rightChars="374"/>
        <w:jc w:val="center"/>
        <w:rPr>
          <w:rFonts w:ascii="仿宋" w:hAnsi="仿宋" w:eastAsia="仿宋" w:cs="Times New Roman"/>
          <w:color w:val="auto"/>
          <w:kern w:val="0"/>
          <w:sz w:val="28"/>
          <w:szCs w:val="28"/>
          <w:highlight w:val="none"/>
          <w:u w:val="single"/>
        </w:rPr>
      </w:pPr>
      <w:r>
        <w:rPr>
          <w:rFonts w:ascii="仿宋" w:hAnsi="仿宋" w:eastAsia="仿宋" w:cs="Times New Roman"/>
          <w:color w:val="auto"/>
          <w:kern w:val="0"/>
          <w:sz w:val="28"/>
          <w:szCs w:val="28"/>
          <w:highlight w:val="none"/>
          <w:u w:val="single"/>
        </w:rPr>
        <w:t xml:space="preserve">       </w:t>
      </w:r>
    </w:p>
    <w:p w14:paraId="60BA1BDC">
      <w:pPr>
        <w:widowControl w:val="0"/>
        <w:spacing w:after="0" w:line="360" w:lineRule="auto"/>
        <w:jc w:val="center"/>
        <w:rPr>
          <w:rFonts w:ascii="仿宋" w:hAnsi="仿宋" w:eastAsia="仿宋" w:cs="Times New Roman"/>
          <w:color w:val="auto"/>
          <w:sz w:val="44"/>
          <w:szCs w:val="44"/>
          <w:highlight w:val="none"/>
        </w:rPr>
      </w:pPr>
      <w:r>
        <w:rPr>
          <w:rFonts w:ascii="仿宋" w:hAnsi="仿宋" w:eastAsia="仿宋" w:cs="Times New Roman"/>
          <w:color w:val="auto"/>
          <w:sz w:val="44"/>
          <w:szCs w:val="44"/>
          <w:highlight w:val="none"/>
        </w:rPr>
        <w:t>（正本/副本）</w:t>
      </w:r>
    </w:p>
    <w:p w14:paraId="76B2EBA0">
      <w:pPr>
        <w:adjustRightInd w:val="0"/>
        <w:snapToGrid w:val="0"/>
        <w:spacing w:after="0" w:line="360" w:lineRule="auto"/>
        <w:jc w:val="center"/>
        <w:rPr>
          <w:rFonts w:ascii="仿宋" w:hAnsi="仿宋" w:eastAsia="仿宋" w:cs="Times New Roman"/>
          <w:bCs/>
          <w:color w:val="auto"/>
          <w:kern w:val="0"/>
          <w:sz w:val="28"/>
          <w:szCs w:val="28"/>
          <w:highlight w:val="none"/>
        </w:rPr>
      </w:pPr>
    </w:p>
    <w:p w14:paraId="1990CB44">
      <w:pPr>
        <w:pStyle w:val="14"/>
        <w:ind w:left="0" w:leftChars="0" w:firstLine="0" w:firstLineChars="0"/>
        <w:rPr>
          <w:rFonts w:ascii="仿宋" w:hAnsi="仿宋" w:eastAsia="仿宋" w:cs="Times New Roman"/>
          <w:highlight w:val="none"/>
        </w:rPr>
      </w:pPr>
    </w:p>
    <w:p w14:paraId="65E76756">
      <w:pPr>
        <w:adjustRightInd w:val="0"/>
        <w:snapToGrid w:val="0"/>
        <w:spacing w:after="0" w:line="360" w:lineRule="auto"/>
        <w:ind w:firstLine="560"/>
        <w:jc w:val="center"/>
        <w:rPr>
          <w:rFonts w:ascii="仿宋" w:hAnsi="仿宋" w:eastAsia="仿宋" w:cs="Times New Roman"/>
          <w:bCs/>
          <w:color w:val="auto"/>
          <w:kern w:val="0"/>
          <w:sz w:val="28"/>
          <w:szCs w:val="28"/>
          <w:highlight w:val="none"/>
        </w:rPr>
      </w:pPr>
    </w:p>
    <w:p w14:paraId="601B0384">
      <w:pPr>
        <w:spacing w:after="0" w:line="360" w:lineRule="auto"/>
        <w:jc w:val="center"/>
        <w:rPr>
          <w:rFonts w:ascii="仿宋" w:hAnsi="仿宋" w:eastAsia="仿宋" w:cs="Times New Roman"/>
          <w:bCs/>
          <w:color w:val="auto"/>
          <w:kern w:val="0"/>
          <w:sz w:val="28"/>
          <w:szCs w:val="28"/>
          <w:highlight w:val="none"/>
        </w:rPr>
      </w:pPr>
      <w:r>
        <w:rPr>
          <w:rFonts w:ascii="仿宋" w:hAnsi="仿宋" w:eastAsia="仿宋" w:cs="Times New Roman"/>
          <w:bCs/>
          <w:color w:val="auto"/>
          <w:kern w:val="0"/>
          <w:sz w:val="28"/>
          <w:szCs w:val="28"/>
          <w:highlight w:val="none"/>
        </w:rPr>
        <w:t>参选人：</w:t>
      </w:r>
      <w:r>
        <w:rPr>
          <w:rFonts w:ascii="仿宋" w:hAnsi="仿宋" w:eastAsia="仿宋" w:cs="Times New Roman"/>
          <w:bCs/>
          <w:color w:val="auto"/>
          <w:kern w:val="0"/>
          <w:sz w:val="28"/>
          <w:szCs w:val="28"/>
          <w:highlight w:val="none"/>
          <w:u w:val="single"/>
        </w:rPr>
        <w:t>（参选人全称）</w:t>
      </w:r>
      <w:r>
        <w:rPr>
          <w:rFonts w:ascii="仿宋" w:hAnsi="仿宋" w:eastAsia="仿宋" w:cs="Times New Roman"/>
          <w:bCs/>
          <w:color w:val="auto"/>
          <w:kern w:val="0"/>
          <w:sz w:val="28"/>
          <w:szCs w:val="28"/>
          <w:highlight w:val="none"/>
        </w:rPr>
        <w:t>（盖章）</w:t>
      </w:r>
    </w:p>
    <w:p w14:paraId="610B0F22">
      <w:pPr>
        <w:adjustRightInd w:val="0"/>
        <w:snapToGrid w:val="0"/>
        <w:spacing w:after="0" w:line="360" w:lineRule="auto"/>
        <w:jc w:val="center"/>
        <w:rPr>
          <w:rFonts w:ascii="仿宋" w:hAnsi="仿宋" w:eastAsia="仿宋" w:cs="Times New Roman"/>
          <w:bCs/>
          <w:color w:val="auto"/>
          <w:kern w:val="0"/>
          <w:sz w:val="28"/>
          <w:szCs w:val="28"/>
          <w:highlight w:val="none"/>
          <w:u w:val="single"/>
        </w:rPr>
      </w:pPr>
      <w:r>
        <w:rPr>
          <w:rFonts w:ascii="仿宋" w:hAnsi="仿宋" w:eastAsia="仿宋" w:cs="Times New Roman"/>
          <w:bCs/>
          <w:color w:val="auto"/>
          <w:kern w:val="0"/>
          <w:sz w:val="28"/>
          <w:szCs w:val="28"/>
          <w:highlight w:val="none"/>
        </w:rPr>
        <w:t>单位负责人或其委托代理人：</w:t>
      </w:r>
      <w:r>
        <w:rPr>
          <w:rFonts w:ascii="仿宋" w:hAnsi="仿宋" w:eastAsia="仿宋" w:cs="Times New Roman"/>
          <w:bCs/>
          <w:color w:val="auto"/>
          <w:kern w:val="0"/>
          <w:sz w:val="28"/>
          <w:szCs w:val="28"/>
          <w:highlight w:val="none"/>
          <w:u w:val="single"/>
        </w:rPr>
        <w:t xml:space="preserve">               </w:t>
      </w:r>
      <w:r>
        <w:rPr>
          <w:rFonts w:ascii="仿宋" w:hAnsi="仿宋" w:eastAsia="仿宋" w:cs="Times New Roman"/>
          <w:bCs/>
          <w:color w:val="auto"/>
          <w:kern w:val="0"/>
          <w:sz w:val="28"/>
          <w:szCs w:val="28"/>
          <w:highlight w:val="none"/>
        </w:rPr>
        <w:t>（签字或盖章）</w:t>
      </w:r>
    </w:p>
    <w:p w14:paraId="7A08004E">
      <w:pPr>
        <w:pStyle w:val="5"/>
        <w:spacing w:after="645" w:line="267" w:lineRule="auto"/>
        <w:ind w:right="340"/>
        <w:jc w:val="center"/>
        <w:rPr>
          <w:rFonts w:ascii="仿宋" w:hAnsi="仿宋" w:eastAsia="仿宋" w:cs="Times New Roman"/>
          <w:bCs/>
          <w:color w:val="auto"/>
          <w:kern w:val="0"/>
          <w:szCs w:val="28"/>
          <w:highlight w:val="none"/>
        </w:rPr>
        <w:sectPr>
          <w:pgSz w:w="12240" w:h="15840"/>
          <w:pgMar w:top="2098" w:right="1474" w:bottom="1984" w:left="1587" w:header="720" w:footer="720" w:gutter="0"/>
          <w:cols w:space="720" w:num="1"/>
        </w:sectPr>
      </w:pPr>
      <w:r>
        <w:rPr>
          <w:rFonts w:ascii="仿宋" w:hAnsi="仿宋" w:eastAsia="仿宋" w:cs="Times New Roman"/>
          <w:bCs/>
          <w:color w:val="auto"/>
          <w:kern w:val="0"/>
          <w:szCs w:val="28"/>
          <w:highlight w:val="none"/>
          <w:u w:val="single"/>
        </w:rPr>
        <w:t xml:space="preserve">     </w:t>
      </w:r>
      <w:r>
        <w:rPr>
          <w:rFonts w:ascii="仿宋" w:hAnsi="仿宋" w:eastAsia="仿宋" w:cs="Times New Roman"/>
          <w:bCs/>
          <w:color w:val="auto"/>
          <w:kern w:val="0"/>
          <w:szCs w:val="28"/>
          <w:highlight w:val="none"/>
        </w:rPr>
        <w:t>年</w:t>
      </w:r>
      <w:r>
        <w:rPr>
          <w:rFonts w:ascii="仿宋" w:hAnsi="仿宋" w:eastAsia="仿宋" w:cs="Times New Roman"/>
          <w:bCs/>
          <w:color w:val="auto"/>
          <w:kern w:val="0"/>
          <w:szCs w:val="28"/>
          <w:highlight w:val="none"/>
          <w:u w:val="single"/>
        </w:rPr>
        <w:t xml:space="preserve">     </w:t>
      </w:r>
      <w:r>
        <w:rPr>
          <w:rFonts w:ascii="仿宋" w:hAnsi="仿宋" w:eastAsia="仿宋" w:cs="Times New Roman"/>
          <w:bCs/>
          <w:color w:val="auto"/>
          <w:kern w:val="0"/>
          <w:szCs w:val="28"/>
          <w:highlight w:val="none"/>
        </w:rPr>
        <w:t>月</w:t>
      </w:r>
      <w:r>
        <w:rPr>
          <w:rFonts w:ascii="仿宋" w:hAnsi="仿宋" w:eastAsia="仿宋" w:cs="Times New Roman"/>
          <w:bCs/>
          <w:color w:val="auto"/>
          <w:kern w:val="0"/>
          <w:szCs w:val="28"/>
          <w:highlight w:val="none"/>
          <w:u w:val="single"/>
        </w:rPr>
        <w:t xml:space="preserve">     </w:t>
      </w:r>
      <w:r>
        <w:rPr>
          <w:rFonts w:ascii="仿宋" w:hAnsi="仿宋" w:eastAsia="仿宋" w:cs="Times New Roman"/>
          <w:bCs/>
          <w:color w:val="auto"/>
          <w:kern w:val="0"/>
          <w:szCs w:val="28"/>
          <w:highlight w:val="none"/>
        </w:rPr>
        <w:t>日</w:t>
      </w:r>
      <w:bookmarkStart w:id="35" w:name="_Toc15260"/>
      <w:bookmarkStart w:id="36" w:name="_Toc3485"/>
      <w:bookmarkStart w:id="37" w:name="_Toc128141273"/>
    </w:p>
    <w:p w14:paraId="6F35D3D7">
      <w:pPr>
        <w:pStyle w:val="12"/>
        <w:rPr>
          <w:rFonts w:ascii="仿宋" w:hAnsi="仿宋" w:eastAsia="仿宋"/>
          <w:highlight w:val="none"/>
        </w:rPr>
      </w:pPr>
    </w:p>
    <w:p w14:paraId="5BDD6B69">
      <w:pPr>
        <w:pStyle w:val="5"/>
        <w:spacing w:after="645" w:line="267" w:lineRule="auto"/>
        <w:ind w:right="4215"/>
        <w:jc w:val="right"/>
        <w:rPr>
          <w:rFonts w:ascii="仿宋" w:hAnsi="仿宋" w:eastAsia="仿宋" w:cs="Times New Roman"/>
          <w:b/>
          <w:bCs/>
          <w:color w:val="auto"/>
          <w:highlight w:val="none"/>
        </w:rPr>
      </w:pPr>
      <w:r>
        <w:rPr>
          <w:rFonts w:hint="eastAsia" w:ascii="仿宋" w:hAnsi="仿宋" w:eastAsia="仿宋"/>
          <w:color w:val="auto"/>
          <w:sz w:val="32"/>
          <w:highlight w:val="none"/>
        </w:rPr>
        <w:t>目  录</w:t>
      </w:r>
      <w:bookmarkEnd w:id="35"/>
      <w:bookmarkEnd w:id="36"/>
      <w:bookmarkEnd w:id="37"/>
    </w:p>
    <w:p w14:paraId="388121E1">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一、比选申请函………………………………………………………………………………（）</w:t>
      </w:r>
    </w:p>
    <w:p w14:paraId="2751A965">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二、单位负责人身份证明（适用于无委托代理人的情况）………………………………（）</w:t>
      </w:r>
    </w:p>
    <w:p w14:paraId="71301790">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三、授权委托书（适用于有委托代理人的情况）…………………………………………（）</w:t>
      </w:r>
    </w:p>
    <w:p w14:paraId="744AB40C">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四、</w:t>
      </w:r>
      <w:r>
        <w:rPr>
          <w:rFonts w:hint="eastAsia" w:ascii="仿宋" w:hAnsi="仿宋" w:eastAsia="仿宋" w:cs="仿宋_GB2312"/>
          <w:color w:val="auto"/>
          <w:sz w:val="24"/>
          <w:szCs w:val="24"/>
          <w:highlight w:val="none"/>
          <w:lang w:val="en-US" w:eastAsia="zh-CN"/>
        </w:rPr>
        <w:t>资</w:t>
      </w:r>
      <w:r>
        <w:rPr>
          <w:rFonts w:hint="eastAsia" w:ascii="仿宋" w:hAnsi="仿宋" w:eastAsia="仿宋" w:cs="仿宋_GB2312"/>
          <w:color w:val="auto"/>
          <w:sz w:val="24"/>
          <w:szCs w:val="24"/>
          <w:highlight w:val="none"/>
        </w:rPr>
        <w:t>格审查资料……………………………………………………………………………（）</w:t>
      </w:r>
    </w:p>
    <w:p w14:paraId="591EAC5C">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五、保密承诺书………………………………………………………………………………（）</w:t>
      </w:r>
    </w:p>
    <w:p w14:paraId="463AC9AB">
      <w:pPr>
        <w:spacing w:after="282"/>
        <w:rPr>
          <w:rFonts w:hint="default" w:ascii="仿宋" w:hAnsi="仿宋" w:eastAsia="仿宋" w:cs="仿宋_GB2312"/>
          <w:color w:val="auto"/>
          <w:sz w:val="24"/>
          <w:szCs w:val="24"/>
          <w:highlight w:val="none"/>
          <w:lang w:val="en-US" w:eastAsia="zh-CN"/>
        </w:rPr>
      </w:pPr>
      <w:r>
        <w:rPr>
          <w:rFonts w:hint="eastAsia" w:ascii="仿宋" w:hAnsi="仿宋" w:eastAsia="仿宋" w:cs="仿宋_GB2312"/>
          <w:color w:val="auto"/>
          <w:sz w:val="24"/>
          <w:szCs w:val="24"/>
          <w:highlight w:val="none"/>
          <w:lang w:val="en-US" w:eastAsia="zh-CN"/>
        </w:rPr>
        <w:t>六、承诺函</w:t>
      </w:r>
      <w:r>
        <w:rPr>
          <w:rFonts w:hint="eastAsia" w:ascii="仿宋" w:hAnsi="仿宋" w:eastAsia="仿宋" w:cs="仿宋_GB2312"/>
          <w:color w:val="auto"/>
          <w:sz w:val="24"/>
          <w:szCs w:val="24"/>
          <w:highlight w:val="none"/>
        </w:rPr>
        <w:t>……………………………………………………………………………………（）</w:t>
      </w:r>
    </w:p>
    <w:p w14:paraId="23AF0133">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七</w:t>
      </w:r>
      <w:r>
        <w:rPr>
          <w:rFonts w:hint="eastAsia" w:ascii="仿宋" w:hAnsi="仿宋" w:eastAsia="仿宋" w:cs="仿宋_GB2312"/>
          <w:color w:val="auto"/>
          <w:sz w:val="24"/>
          <w:szCs w:val="24"/>
          <w:highlight w:val="none"/>
        </w:rPr>
        <w:t>、服务方案…………………………………………………………………………………（）</w:t>
      </w:r>
    </w:p>
    <w:p w14:paraId="6AD7C802">
      <w:pPr>
        <w:pStyle w:val="14"/>
        <w:ind w:left="0"/>
        <w:rPr>
          <w:rFonts w:ascii="仿宋" w:hAnsi="仿宋" w:eastAsia="仿宋" w:cs="仿宋_GB2312"/>
          <w:sz w:val="24"/>
          <w:szCs w:val="24"/>
          <w:highlight w:val="none"/>
        </w:rPr>
      </w:pPr>
      <w:r>
        <w:rPr>
          <w:rFonts w:hint="eastAsia" w:ascii="仿宋" w:hAnsi="仿宋" w:eastAsia="仿宋" w:cs="仿宋_GB2312"/>
          <w:sz w:val="24"/>
          <w:szCs w:val="24"/>
          <w:highlight w:val="none"/>
          <w:lang w:val="en-US" w:eastAsia="zh-CN"/>
        </w:rPr>
        <w:t>八</w:t>
      </w:r>
      <w:r>
        <w:rPr>
          <w:rFonts w:hint="eastAsia" w:ascii="仿宋" w:hAnsi="仿宋" w:eastAsia="仿宋" w:cs="仿宋_GB2312"/>
          <w:sz w:val="24"/>
          <w:szCs w:val="24"/>
          <w:highlight w:val="none"/>
        </w:rPr>
        <w:t>、其他资料（如有）………………………………………………………………………（）</w:t>
      </w:r>
    </w:p>
    <w:p w14:paraId="30E25113">
      <w:pPr>
        <w:spacing w:after="0"/>
        <w:rPr>
          <w:rFonts w:ascii="仿宋" w:hAnsi="仿宋" w:eastAsia="仿宋" w:cs="Times New Roman"/>
          <w:color w:val="auto"/>
          <w:sz w:val="20"/>
          <w:highlight w:val="none"/>
        </w:rPr>
      </w:pPr>
      <w:r>
        <w:rPr>
          <w:rFonts w:ascii="仿宋" w:hAnsi="仿宋" w:eastAsia="仿宋" w:cs="Times New Roman"/>
          <w:color w:val="auto"/>
          <w:sz w:val="21"/>
          <w:highlight w:val="none"/>
        </w:rPr>
        <w:t xml:space="preserve"> </w:t>
      </w:r>
      <w:r>
        <w:rPr>
          <w:rFonts w:ascii="仿宋" w:hAnsi="仿宋" w:eastAsia="仿宋" w:cs="Times New Roman"/>
          <w:color w:val="auto"/>
          <w:sz w:val="21"/>
          <w:highlight w:val="none"/>
        </w:rPr>
        <w:tab/>
      </w:r>
      <w:r>
        <w:rPr>
          <w:rFonts w:ascii="仿宋" w:hAnsi="仿宋" w:eastAsia="仿宋" w:cs="Times New Roman"/>
          <w:color w:val="auto"/>
          <w:sz w:val="20"/>
          <w:highlight w:val="none"/>
        </w:rPr>
        <w:t xml:space="preserve"> </w:t>
      </w:r>
    </w:p>
    <w:p w14:paraId="4A0A2DEA">
      <w:pPr>
        <w:pStyle w:val="5"/>
        <w:spacing w:after="0" w:line="360" w:lineRule="auto"/>
        <w:ind w:left="0" w:right="0" w:firstLine="0"/>
        <w:jc w:val="center"/>
        <w:rPr>
          <w:rFonts w:ascii="仿宋" w:hAnsi="仿宋" w:eastAsia="仿宋" w:cs="Times New Roman"/>
          <w:color w:val="auto"/>
          <w:sz w:val="32"/>
          <w:highlight w:val="none"/>
        </w:rPr>
        <w:sectPr>
          <w:footerReference r:id="rId8" w:type="default"/>
          <w:pgSz w:w="12240" w:h="15840"/>
          <w:pgMar w:top="1440" w:right="1440" w:bottom="1440" w:left="1440" w:header="720" w:footer="720" w:gutter="0"/>
          <w:cols w:space="720" w:num="1"/>
        </w:sectPr>
      </w:pPr>
      <w:bookmarkStart w:id="38" w:name="_Toc2224"/>
      <w:bookmarkStart w:id="39" w:name="_Toc128141274"/>
      <w:bookmarkStart w:id="40" w:name="_Toc14455"/>
    </w:p>
    <w:p w14:paraId="77B96542">
      <w:pPr>
        <w:pStyle w:val="5"/>
        <w:spacing w:after="0" w:line="360" w:lineRule="auto"/>
        <w:ind w:left="0" w:right="0" w:firstLine="0"/>
        <w:jc w:val="center"/>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一、</w:t>
      </w:r>
      <w:bookmarkEnd w:id="38"/>
      <w:bookmarkEnd w:id="39"/>
      <w:bookmarkEnd w:id="40"/>
      <w:r>
        <w:rPr>
          <w:rFonts w:ascii="仿宋" w:hAnsi="仿宋" w:eastAsia="仿宋" w:cs="Times New Roman"/>
          <w:color w:val="auto"/>
          <w:sz w:val="32"/>
          <w:szCs w:val="32"/>
          <w:highlight w:val="none"/>
        </w:rPr>
        <w:t>比选申请函</w:t>
      </w:r>
    </w:p>
    <w:p w14:paraId="338F99EE">
      <w:pPr>
        <w:spacing w:after="152" w:line="265" w:lineRule="auto"/>
        <w:ind w:left="-5"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四川蜀物兴川物流发展有限公司： </w:t>
      </w:r>
    </w:p>
    <w:p w14:paraId="6D4D109A">
      <w:pPr>
        <w:spacing w:after="0" w:line="360" w:lineRule="auto"/>
        <w:ind w:firstLine="480" w:firstLineChars="200"/>
        <w:jc w:val="both"/>
        <w:rPr>
          <w:rFonts w:ascii="仿宋" w:hAnsi="仿宋" w:eastAsia="仿宋" w:cs="Times New Roman"/>
          <w:highlight w:val="none"/>
        </w:rPr>
      </w:pPr>
      <w:r>
        <w:rPr>
          <w:rFonts w:ascii="仿宋" w:hAnsi="仿宋" w:eastAsia="仿宋" w:cs="Times New Roman"/>
          <w:color w:val="auto"/>
          <w:sz w:val="24"/>
          <w:szCs w:val="24"/>
          <w:highlight w:val="none"/>
        </w:rPr>
        <w:t>1．我方已仔细研究了</w:t>
      </w:r>
      <w:r>
        <w:rPr>
          <w:rFonts w:hint="eastAsia" w:ascii="仿宋" w:hAnsi="仿宋" w:eastAsia="仿宋" w:cs="Times New Roman"/>
          <w:b/>
          <w:bCs/>
          <w:color w:val="auto"/>
          <w:sz w:val="24"/>
          <w:szCs w:val="24"/>
          <w:highlight w:val="none"/>
          <w:u w:val="single"/>
        </w:rPr>
        <w:t>四川蜀物兴川物流发展有限公司关于与四川省某国有企业买卖合同纠纷法律服务项目</w:t>
      </w:r>
      <w:r>
        <w:rPr>
          <w:rFonts w:ascii="仿宋" w:hAnsi="仿宋" w:eastAsia="仿宋" w:cs="Times New Roman"/>
          <w:color w:val="auto"/>
          <w:sz w:val="24"/>
          <w:szCs w:val="24"/>
          <w:highlight w:val="none"/>
        </w:rPr>
        <w:t>采购项目比选文件的全部内容，比选报价为大写：</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（含税），小写：￥</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（含税），服务期限：</w:t>
      </w:r>
      <w:r>
        <w:rPr>
          <w:rFonts w:ascii="仿宋" w:hAnsi="仿宋" w:eastAsia="仿宋" w:cs="Times New Roman"/>
          <w:color w:val="auto"/>
          <w:sz w:val="24"/>
          <w:szCs w:val="24"/>
          <w:highlight w:val="none"/>
          <w:u w:val="single" w:color="000000"/>
        </w:rPr>
        <w:t xml:space="preserve"> </w:t>
      </w:r>
      <w:r>
        <w:rPr>
          <w:rFonts w:ascii="仿宋" w:hAnsi="仿宋" w:eastAsia="仿宋" w:cs="Times New Roman"/>
          <w:b/>
          <w:bCs/>
          <w:color w:val="auto"/>
          <w:sz w:val="24"/>
          <w:szCs w:val="24"/>
          <w:highlight w:val="none"/>
          <w:u w:val="single" w:color="000000"/>
        </w:rPr>
        <w:t>自代理合同签订之日起至甲方债权全部实现为止</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，并响应贵方比选文件中所有实质性要求，按合同约定履行全部义务。 </w:t>
      </w:r>
    </w:p>
    <w:tbl>
      <w:tblPr>
        <w:tblStyle w:val="30"/>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1635"/>
        <w:gridCol w:w="1620"/>
        <w:gridCol w:w="1710"/>
        <w:gridCol w:w="1571"/>
      </w:tblGrid>
      <w:tr w14:paraId="79A8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763" w:type="dxa"/>
            <w:vAlign w:val="center"/>
          </w:tcPr>
          <w:p w14:paraId="689214D4">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highlight w:val="none"/>
              </w:rPr>
              <w:t>基础代理费</w:t>
            </w:r>
          </w:p>
        </w:tc>
        <w:tc>
          <w:tcPr>
            <w:tcW w:w="1635" w:type="dxa"/>
            <w:vAlign w:val="center"/>
          </w:tcPr>
          <w:p w14:paraId="48A1A551">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szCs w:val="21"/>
                <w:highlight w:val="none"/>
              </w:rPr>
              <w:t>风险费费率</w:t>
            </w:r>
          </w:p>
        </w:tc>
        <w:tc>
          <w:tcPr>
            <w:tcW w:w="1620" w:type="dxa"/>
            <w:vAlign w:val="center"/>
          </w:tcPr>
          <w:p w14:paraId="0D22F018">
            <w:pPr>
              <w:widowControl w:val="0"/>
              <w:spacing w:after="0" w:line="400" w:lineRule="exact"/>
              <w:jc w:val="center"/>
              <w:rPr>
                <w:rFonts w:ascii="仿宋" w:hAnsi="仿宋" w:eastAsia="仿宋" w:cs="Times New Roman"/>
                <w:b/>
                <w:bCs/>
                <w:szCs w:val="21"/>
                <w:highlight w:val="none"/>
              </w:rPr>
            </w:pPr>
            <w:r>
              <w:rPr>
                <w:rFonts w:ascii="仿宋" w:hAnsi="仿宋" w:eastAsia="仿宋" w:cs="Times New Roman"/>
                <w:b/>
                <w:bCs/>
                <w:szCs w:val="21"/>
                <w:highlight w:val="none"/>
              </w:rPr>
              <w:t>暂估的风险</w:t>
            </w:r>
          </w:p>
          <w:p w14:paraId="1F333C82">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szCs w:val="21"/>
                <w:highlight w:val="none"/>
              </w:rPr>
              <w:t>代理费</w:t>
            </w:r>
          </w:p>
        </w:tc>
        <w:tc>
          <w:tcPr>
            <w:tcW w:w="1710" w:type="dxa"/>
            <w:vAlign w:val="center"/>
          </w:tcPr>
          <w:p w14:paraId="395CCBCF">
            <w:pPr>
              <w:widowControl w:val="0"/>
              <w:spacing w:after="0" w:line="400" w:lineRule="exact"/>
              <w:jc w:val="center"/>
              <w:rPr>
                <w:rFonts w:ascii="仿宋" w:hAnsi="仿宋" w:eastAsia="仿宋" w:cs="Times New Roman"/>
                <w:b/>
                <w:bCs/>
                <w:szCs w:val="21"/>
                <w:highlight w:val="none"/>
              </w:rPr>
            </w:pPr>
            <w:r>
              <w:rPr>
                <w:rFonts w:ascii="仿宋" w:hAnsi="仿宋" w:eastAsia="仿宋" w:cs="Times New Roman"/>
                <w:b/>
                <w:bCs/>
                <w:szCs w:val="21"/>
                <w:highlight w:val="none"/>
              </w:rPr>
              <w:t>总价</w:t>
            </w:r>
          </w:p>
          <w:p w14:paraId="2016A6A9">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szCs w:val="21"/>
                <w:highlight w:val="none"/>
              </w:rPr>
              <w:t>（含税价）</w:t>
            </w:r>
          </w:p>
        </w:tc>
        <w:tc>
          <w:tcPr>
            <w:tcW w:w="1571" w:type="dxa"/>
            <w:vAlign w:val="center"/>
          </w:tcPr>
          <w:p w14:paraId="1766CE8E">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szCs w:val="21"/>
                <w:highlight w:val="none"/>
              </w:rPr>
              <w:t>税率</w:t>
            </w:r>
          </w:p>
        </w:tc>
      </w:tr>
      <w:tr w14:paraId="2628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763" w:type="dxa"/>
            <w:vAlign w:val="center"/>
          </w:tcPr>
          <w:p w14:paraId="61142289">
            <w:pPr>
              <w:widowControl w:val="0"/>
              <w:spacing w:after="0" w:line="560" w:lineRule="exact"/>
              <w:jc w:val="center"/>
              <w:rPr>
                <w:rFonts w:ascii="仿宋" w:hAnsi="仿宋" w:eastAsia="仿宋" w:cs="Times New Roman"/>
                <w:b/>
                <w:bCs/>
                <w:szCs w:val="21"/>
                <w:highlight w:val="none"/>
              </w:rPr>
            </w:pPr>
          </w:p>
        </w:tc>
        <w:tc>
          <w:tcPr>
            <w:tcW w:w="1635" w:type="dxa"/>
            <w:vAlign w:val="center"/>
          </w:tcPr>
          <w:p w14:paraId="482AC987">
            <w:pPr>
              <w:widowControl w:val="0"/>
              <w:spacing w:after="0" w:line="560" w:lineRule="exact"/>
              <w:jc w:val="center"/>
              <w:rPr>
                <w:rFonts w:ascii="仿宋" w:hAnsi="仿宋" w:eastAsia="仿宋" w:cs="Times New Roman"/>
                <w:szCs w:val="21"/>
                <w:highlight w:val="none"/>
              </w:rPr>
            </w:pPr>
          </w:p>
        </w:tc>
        <w:tc>
          <w:tcPr>
            <w:tcW w:w="1620" w:type="dxa"/>
            <w:vAlign w:val="center"/>
          </w:tcPr>
          <w:p w14:paraId="163CEE05">
            <w:pPr>
              <w:widowControl w:val="0"/>
              <w:spacing w:after="0" w:line="560" w:lineRule="exact"/>
              <w:jc w:val="center"/>
              <w:rPr>
                <w:rFonts w:ascii="仿宋" w:hAnsi="仿宋" w:eastAsia="仿宋" w:cs="Times New Roman"/>
                <w:szCs w:val="21"/>
                <w:highlight w:val="none"/>
              </w:rPr>
            </w:pPr>
          </w:p>
        </w:tc>
        <w:tc>
          <w:tcPr>
            <w:tcW w:w="1710" w:type="dxa"/>
            <w:vAlign w:val="center"/>
          </w:tcPr>
          <w:p w14:paraId="7F635D54">
            <w:pPr>
              <w:widowControl w:val="0"/>
              <w:spacing w:after="0" w:line="560" w:lineRule="exact"/>
              <w:jc w:val="center"/>
              <w:rPr>
                <w:rFonts w:ascii="仿宋" w:hAnsi="仿宋" w:eastAsia="仿宋" w:cs="Times New Roman"/>
                <w:szCs w:val="21"/>
                <w:highlight w:val="none"/>
              </w:rPr>
            </w:pPr>
          </w:p>
        </w:tc>
        <w:tc>
          <w:tcPr>
            <w:tcW w:w="1571" w:type="dxa"/>
            <w:vAlign w:val="center"/>
          </w:tcPr>
          <w:p w14:paraId="6896D92B">
            <w:pPr>
              <w:widowControl w:val="0"/>
              <w:spacing w:after="0" w:line="560" w:lineRule="exact"/>
              <w:jc w:val="center"/>
              <w:rPr>
                <w:rFonts w:ascii="仿宋" w:hAnsi="仿宋" w:eastAsia="仿宋" w:cs="Times New Roman"/>
                <w:szCs w:val="21"/>
                <w:highlight w:val="none"/>
              </w:rPr>
            </w:pPr>
          </w:p>
        </w:tc>
      </w:tr>
      <w:tr w14:paraId="40B9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299" w:type="dxa"/>
            <w:gridSpan w:val="5"/>
            <w:vAlign w:val="center"/>
          </w:tcPr>
          <w:p w14:paraId="7AB5EE2E">
            <w:pPr>
              <w:widowControl w:val="0"/>
              <w:spacing w:after="0" w:line="400" w:lineRule="exact"/>
              <w:rPr>
                <w:rFonts w:hint="eastAsia" w:ascii="仿宋" w:hAnsi="仿宋" w:eastAsia="仿宋" w:cs="仿宋_GB2312"/>
                <w:b/>
                <w:bCs/>
                <w:highlight w:val="none"/>
              </w:rPr>
            </w:pPr>
            <w:r>
              <w:rPr>
                <w:rFonts w:hint="eastAsia" w:ascii="仿宋" w:hAnsi="仿宋" w:eastAsia="仿宋" w:cs="仿宋_GB2312"/>
                <w:b/>
                <w:bCs/>
                <w:highlight w:val="none"/>
              </w:rPr>
              <w:t>备注：</w:t>
            </w:r>
            <w:r>
              <w:rPr>
                <w:rFonts w:hint="eastAsia" w:ascii="仿宋" w:hAnsi="仿宋" w:eastAsia="仿宋" w:cs="仿宋_GB2312"/>
                <w:b/>
                <w:bCs/>
                <w:highlight w:val="none"/>
                <w:lang w:val="en-US" w:eastAsia="zh-CN"/>
              </w:rPr>
              <w:t>1.</w:t>
            </w:r>
            <w:r>
              <w:rPr>
                <w:rFonts w:hint="eastAsia" w:ascii="仿宋" w:hAnsi="仿宋" w:eastAsia="仿宋" w:cs="仿宋_GB2312"/>
                <w:b/>
                <w:bCs/>
                <w:highlight w:val="none"/>
              </w:rPr>
              <w:t>本项目风险代理费基数以比选人实际收到本项目款项的金额为基数计取。</w:t>
            </w:r>
          </w:p>
          <w:p w14:paraId="19554474">
            <w:pPr>
              <w:pStyle w:val="14"/>
              <w:numPr>
                <w:ilvl w:val="0"/>
                <w:numId w:val="0"/>
              </w:numPr>
              <w:ind w:left="0" w:leftChars="0" w:firstLine="663" w:firstLineChars="300"/>
              <w:rPr>
                <w:rFonts w:hint="eastAsia" w:ascii="仿宋" w:hAnsi="仿宋" w:eastAsia="仿宋" w:cs="仿宋_GB2312"/>
                <w:b/>
                <w:bCs/>
                <w:color w:val="000000"/>
                <w:kern w:val="2"/>
                <w:sz w:val="22"/>
                <w:szCs w:val="22"/>
                <w:highlight w:val="none"/>
                <w:lang w:val="en-US" w:eastAsia="zh-CN" w:bidi="ar-SA"/>
              </w:rPr>
            </w:pPr>
            <w:r>
              <w:rPr>
                <w:rFonts w:hint="eastAsia" w:ascii="仿宋" w:hAnsi="仿宋" w:eastAsia="仿宋" w:cs="仿宋_GB2312"/>
                <w:b/>
                <w:bCs/>
                <w:color w:val="000000"/>
                <w:kern w:val="2"/>
                <w:sz w:val="22"/>
                <w:szCs w:val="22"/>
                <w:highlight w:val="none"/>
                <w:lang w:val="en-US" w:eastAsia="zh-CN" w:bidi="ar-SA"/>
              </w:rPr>
              <w:t>2.本报价已包含因项目所发生的差旅费、交通费等费用。</w:t>
            </w:r>
          </w:p>
          <w:p w14:paraId="07F63F15">
            <w:pPr>
              <w:pStyle w:val="14"/>
              <w:numPr>
                <w:ilvl w:val="0"/>
                <w:numId w:val="0"/>
              </w:numPr>
              <w:ind w:left="0" w:leftChars="0" w:firstLine="663" w:firstLineChars="300"/>
              <w:rPr>
                <w:rFonts w:hint="default" w:ascii="仿宋" w:hAnsi="仿宋" w:eastAsia="仿宋" w:cs="仿宋_GB2312"/>
                <w:b/>
                <w:bCs/>
                <w:color w:val="000000"/>
                <w:kern w:val="2"/>
                <w:sz w:val="22"/>
                <w:szCs w:val="22"/>
                <w:highlight w:val="none"/>
                <w:lang w:val="en-US" w:eastAsia="zh-CN" w:bidi="ar-SA"/>
              </w:rPr>
            </w:pPr>
            <w:r>
              <w:rPr>
                <w:rFonts w:hint="eastAsia" w:ascii="仿宋" w:hAnsi="仿宋" w:eastAsia="仿宋" w:cs="仿宋_GB2312"/>
                <w:b/>
                <w:bCs/>
                <w:color w:val="000000"/>
                <w:kern w:val="2"/>
                <w:sz w:val="22"/>
                <w:szCs w:val="22"/>
                <w:highlight w:val="none"/>
                <w:lang w:val="en-US" w:eastAsia="zh-CN" w:bidi="ar-SA"/>
              </w:rPr>
              <w:t>3.风险代理费中包含执行回款部分与对方开具足额发票部分，参选人在投标时应充分考虑。</w:t>
            </w:r>
          </w:p>
          <w:p w14:paraId="5C47562A">
            <w:pPr>
              <w:numPr>
                <w:ilvl w:val="-1"/>
                <w:numId w:val="0"/>
              </w:numPr>
              <w:rPr>
                <w:rFonts w:hint="default"/>
                <w:highlight w:val="none"/>
                <w:lang w:val="en-US" w:eastAsia="zh-CN"/>
              </w:rPr>
            </w:pPr>
          </w:p>
        </w:tc>
      </w:tr>
    </w:tbl>
    <w:p w14:paraId="1A012426">
      <w:pPr>
        <w:spacing w:after="0" w:line="360" w:lineRule="auto"/>
        <w:ind w:firstLine="480" w:firstLineChars="200"/>
        <w:rPr>
          <w:rFonts w:ascii="仿宋" w:hAnsi="仿宋" w:eastAsia="仿宋" w:cs="Times New Roman"/>
          <w:color w:val="auto"/>
          <w:sz w:val="24"/>
          <w:szCs w:val="24"/>
          <w:highlight w:val="none"/>
        </w:rPr>
      </w:pPr>
    </w:p>
    <w:p w14:paraId="53744446">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2.我方的比选响应文件包括下列内容： </w:t>
      </w:r>
    </w:p>
    <w:p w14:paraId="3B310F15">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（1）比选申请函； </w:t>
      </w:r>
    </w:p>
    <w:p w14:paraId="2DD98516">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（2）单位负责人身份证明或授权委托书； </w:t>
      </w:r>
    </w:p>
    <w:p w14:paraId="4003E19A">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（3）资格审查资料；</w:t>
      </w:r>
    </w:p>
    <w:p w14:paraId="52FA53BD">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（4）</w:t>
      </w:r>
      <w:r>
        <w:rPr>
          <w:rFonts w:hint="eastAsia" w:ascii="仿宋" w:hAnsi="仿宋" w:eastAsia="仿宋" w:cs="仿宋_GB2312"/>
          <w:color w:val="auto"/>
          <w:sz w:val="24"/>
          <w:szCs w:val="24"/>
          <w:highlight w:val="none"/>
          <w:lang w:val="en-US" w:eastAsia="zh-CN"/>
        </w:rPr>
        <w:t>保密承诺书</w:t>
      </w:r>
      <w:r>
        <w:rPr>
          <w:rFonts w:hint="eastAsia" w:ascii="仿宋" w:hAnsi="仿宋" w:eastAsia="仿宋" w:cs="仿宋_GB2312"/>
          <w:color w:val="auto"/>
          <w:sz w:val="24"/>
          <w:szCs w:val="24"/>
          <w:highlight w:val="none"/>
        </w:rPr>
        <w:t>；</w:t>
      </w:r>
    </w:p>
    <w:p w14:paraId="28379228">
      <w:pPr>
        <w:spacing w:after="0" w:line="360" w:lineRule="auto"/>
        <w:ind w:firstLine="480" w:firstLineChars="200"/>
        <w:rPr>
          <w:rFonts w:hint="default" w:ascii="仿宋" w:hAnsi="仿宋" w:eastAsia="仿宋" w:cs="仿宋_GB2312"/>
          <w:color w:val="auto"/>
          <w:sz w:val="24"/>
          <w:szCs w:val="24"/>
          <w:highlight w:val="none"/>
          <w:lang w:val="en-US" w:eastAsia="zh-CN"/>
        </w:rPr>
      </w:pPr>
      <w:r>
        <w:rPr>
          <w:rFonts w:hint="eastAsia" w:ascii="仿宋" w:hAnsi="仿宋" w:eastAsia="仿宋" w:cs="仿宋_GB2312"/>
          <w:color w:val="auto"/>
          <w:sz w:val="24"/>
          <w:szCs w:val="24"/>
          <w:highlight w:val="none"/>
          <w:lang w:eastAsia="zh-CN"/>
        </w:rPr>
        <w:t>（</w:t>
      </w:r>
      <w:r>
        <w:rPr>
          <w:rFonts w:hint="eastAsia" w:ascii="仿宋" w:hAnsi="仿宋" w:eastAsia="仿宋" w:cs="仿宋_GB2312"/>
          <w:color w:val="auto"/>
          <w:sz w:val="24"/>
          <w:szCs w:val="24"/>
          <w:highlight w:val="none"/>
          <w:lang w:val="en-US" w:eastAsia="zh-CN"/>
        </w:rPr>
        <w:t>5</w:t>
      </w:r>
      <w:r>
        <w:rPr>
          <w:rFonts w:hint="eastAsia" w:ascii="仿宋" w:hAnsi="仿宋" w:eastAsia="仿宋" w:cs="仿宋_GB2312"/>
          <w:color w:val="auto"/>
          <w:sz w:val="24"/>
          <w:szCs w:val="24"/>
          <w:highlight w:val="none"/>
          <w:lang w:eastAsia="zh-CN"/>
        </w:rPr>
        <w:t>）</w:t>
      </w:r>
      <w:r>
        <w:rPr>
          <w:rFonts w:hint="eastAsia" w:ascii="仿宋" w:hAnsi="仿宋" w:eastAsia="仿宋" w:cs="仿宋_GB2312"/>
          <w:color w:val="auto"/>
          <w:sz w:val="24"/>
          <w:szCs w:val="24"/>
          <w:highlight w:val="none"/>
        </w:rPr>
        <w:t>承诺函</w:t>
      </w:r>
      <w:r>
        <w:rPr>
          <w:rFonts w:hint="eastAsia" w:ascii="仿宋" w:hAnsi="仿宋" w:eastAsia="仿宋" w:cs="仿宋_GB2312"/>
          <w:color w:val="auto"/>
          <w:sz w:val="24"/>
          <w:szCs w:val="24"/>
          <w:highlight w:val="none"/>
          <w:lang w:eastAsia="zh-CN"/>
        </w:rPr>
        <w:t>；</w:t>
      </w:r>
    </w:p>
    <w:p w14:paraId="598989F4">
      <w:pPr>
        <w:spacing w:after="0" w:line="360" w:lineRule="auto"/>
        <w:ind w:firstLine="480" w:firstLineChars="200"/>
        <w:rPr>
          <w:rFonts w:hint="eastAsia" w:ascii="仿宋" w:hAnsi="仿宋" w:eastAsia="仿宋" w:cs="仿宋_GB2312"/>
          <w:color w:val="auto"/>
          <w:sz w:val="24"/>
          <w:szCs w:val="24"/>
          <w:highlight w:val="none"/>
          <w:lang w:eastAsia="zh-CN"/>
        </w:rPr>
      </w:pPr>
      <w:r>
        <w:rPr>
          <w:rFonts w:hint="eastAsia" w:ascii="仿宋" w:hAnsi="仿宋" w:eastAsia="仿宋" w:cs="仿宋_GB2312"/>
          <w:color w:val="auto"/>
          <w:sz w:val="24"/>
          <w:szCs w:val="24"/>
          <w:highlight w:val="none"/>
        </w:rPr>
        <w:t>（</w:t>
      </w:r>
      <w:r>
        <w:rPr>
          <w:rFonts w:hint="eastAsia" w:ascii="仿宋" w:hAnsi="仿宋" w:eastAsia="仿宋" w:cs="仿宋_GB2312"/>
          <w:color w:val="auto"/>
          <w:sz w:val="24"/>
          <w:szCs w:val="24"/>
          <w:highlight w:val="none"/>
          <w:lang w:val="en-US" w:eastAsia="zh-CN"/>
        </w:rPr>
        <w:t>6</w:t>
      </w:r>
      <w:r>
        <w:rPr>
          <w:rFonts w:hint="eastAsia" w:ascii="仿宋" w:hAnsi="仿宋" w:eastAsia="仿宋" w:cs="仿宋_GB2312"/>
          <w:color w:val="auto"/>
          <w:sz w:val="24"/>
          <w:szCs w:val="24"/>
          <w:highlight w:val="none"/>
        </w:rPr>
        <w:t>）服务方案</w:t>
      </w:r>
      <w:r>
        <w:rPr>
          <w:rFonts w:hint="eastAsia" w:ascii="仿宋" w:hAnsi="仿宋" w:eastAsia="仿宋" w:cs="仿宋_GB2312"/>
          <w:color w:val="auto"/>
          <w:sz w:val="24"/>
          <w:szCs w:val="24"/>
          <w:highlight w:val="none"/>
          <w:lang w:eastAsia="zh-CN"/>
        </w:rPr>
        <w:t>；</w:t>
      </w:r>
    </w:p>
    <w:p w14:paraId="4835520F">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w:t>
      </w:r>
      <w:r>
        <w:rPr>
          <w:rFonts w:hint="eastAsia" w:ascii="仿宋" w:hAnsi="仿宋" w:eastAsia="仿宋" w:cs="仿宋_GB2312"/>
          <w:color w:val="auto"/>
          <w:sz w:val="24"/>
          <w:szCs w:val="24"/>
          <w:highlight w:val="none"/>
          <w:lang w:val="en-US" w:eastAsia="zh-CN"/>
        </w:rPr>
        <w:t>7</w:t>
      </w:r>
      <w:r>
        <w:rPr>
          <w:rFonts w:hint="eastAsia" w:ascii="仿宋" w:hAnsi="仿宋" w:eastAsia="仿宋" w:cs="仿宋_GB2312"/>
          <w:color w:val="auto"/>
          <w:sz w:val="24"/>
          <w:szCs w:val="24"/>
          <w:highlight w:val="none"/>
        </w:rPr>
        <w:t>）其他资料（如有）</w:t>
      </w:r>
      <w:r>
        <w:rPr>
          <w:rFonts w:hint="eastAsia" w:ascii="仿宋" w:hAnsi="仿宋" w:eastAsia="仿宋" w:cs="仿宋_GB2312"/>
          <w:color w:val="auto"/>
          <w:sz w:val="24"/>
          <w:szCs w:val="24"/>
          <w:highlight w:val="none"/>
          <w:lang w:eastAsia="zh-CN"/>
        </w:rPr>
        <w:t>。</w:t>
      </w:r>
    </w:p>
    <w:p w14:paraId="1836A3E6">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比选响应文件的上述组成部分如存在内容不一致的，以比选申请函为准。 </w:t>
      </w:r>
    </w:p>
    <w:p w14:paraId="28C042DD">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3．我方承诺在比选文件规定的有效期内不撤销比选响应文件。 </w:t>
      </w:r>
    </w:p>
    <w:p w14:paraId="08690243">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4．如我方中选，我方承诺： </w:t>
      </w:r>
    </w:p>
    <w:p w14:paraId="4D0A9255">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（1）在收到中选通知书后，在中选通知书规定的期限内与你方签订合同； </w:t>
      </w:r>
    </w:p>
    <w:p w14:paraId="01CF0F2E">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（2）在签订合同时不向你方提出附加条件； </w:t>
      </w:r>
    </w:p>
    <w:p w14:paraId="2B211502">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（3）在合同约定的期限内完成合同规定的全部义务。 </w:t>
      </w:r>
    </w:p>
    <w:p w14:paraId="61A02D92">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5．我方在此声明，所递交的比选响应文件及有关资料内容完整、真实和准确，一旦发现上述资料和信息的失实和错误，贵方将有权否决我方的参选，同时，我方将承担相应的法律责任。</w:t>
      </w:r>
    </w:p>
    <w:p w14:paraId="4DA4C5CB">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 </w:t>
      </w:r>
    </w:p>
    <w:p w14:paraId="4573AFAB">
      <w:pPr>
        <w:pStyle w:val="2"/>
        <w:ind w:left="440"/>
        <w:rPr>
          <w:rFonts w:ascii="仿宋" w:hAnsi="仿宋" w:eastAsia="仿宋"/>
          <w:highlight w:val="none"/>
        </w:rPr>
      </w:pPr>
    </w:p>
    <w:p w14:paraId="77B6AEB7">
      <w:pPr>
        <w:spacing w:after="151"/>
        <w:ind w:left="10" w:right="451" w:hanging="10"/>
        <w:jc w:val="right"/>
        <w:rPr>
          <w:rFonts w:ascii="仿宋" w:hAnsi="仿宋" w:eastAsia="仿宋" w:cs="仿宋_GB2312"/>
          <w:color w:val="auto"/>
          <w:sz w:val="24"/>
          <w:szCs w:val="24"/>
          <w:highlight w:val="none"/>
        </w:rPr>
      </w:pPr>
    </w:p>
    <w:p w14:paraId="3E15DBD4">
      <w:pPr>
        <w:spacing w:after="151"/>
        <w:ind w:left="10" w:right="451" w:hanging="10"/>
        <w:jc w:val="righ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参选人：</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 xml:space="preserve">（盖单位章）                         </w:t>
      </w:r>
    </w:p>
    <w:p w14:paraId="6878CFBA">
      <w:pPr>
        <w:spacing w:after="151"/>
        <w:ind w:left="10" w:right="451" w:hanging="10"/>
        <w:jc w:val="righ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单位负责人或其委托代理人：</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 xml:space="preserve">（签字） </w:t>
      </w:r>
    </w:p>
    <w:p w14:paraId="14E4D4E9">
      <w:pPr>
        <w:spacing w:after="151"/>
        <w:ind w:left="10" w:right="451" w:hanging="10"/>
        <w:jc w:val="righ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 </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年</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月</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 xml:space="preserve">日  </w:t>
      </w:r>
    </w:p>
    <w:p w14:paraId="301AA218">
      <w:pPr>
        <w:pStyle w:val="5"/>
        <w:spacing w:after="0" w:line="360" w:lineRule="auto"/>
        <w:ind w:left="0" w:right="0" w:firstLine="0"/>
        <w:jc w:val="both"/>
        <w:rPr>
          <w:rFonts w:ascii="仿宋" w:hAnsi="仿宋" w:eastAsia="仿宋" w:cs="Times New Roman"/>
          <w:b/>
          <w:bCs/>
          <w:color w:val="auto"/>
          <w:sz w:val="32"/>
          <w:highlight w:val="none"/>
        </w:rPr>
      </w:pPr>
      <w:bookmarkStart w:id="41" w:name="_Toc128141275"/>
      <w:bookmarkStart w:id="42" w:name="_Toc22530"/>
      <w:bookmarkStart w:id="43" w:name="_Toc20030"/>
    </w:p>
    <w:p w14:paraId="4764D016">
      <w:pPr>
        <w:rPr>
          <w:rFonts w:ascii="仿宋" w:hAnsi="仿宋" w:eastAsia="仿宋" w:cs="Times New Roman"/>
          <w:color w:val="auto"/>
          <w:sz w:val="36"/>
          <w:szCs w:val="36"/>
          <w:highlight w:val="none"/>
        </w:rPr>
      </w:pPr>
      <w:r>
        <w:rPr>
          <w:rFonts w:ascii="仿宋" w:hAnsi="仿宋" w:eastAsia="仿宋" w:cs="Times New Roman"/>
          <w:color w:val="auto"/>
          <w:sz w:val="36"/>
          <w:szCs w:val="36"/>
          <w:highlight w:val="none"/>
        </w:rPr>
        <w:br w:type="page"/>
      </w:r>
    </w:p>
    <w:p w14:paraId="322C9049">
      <w:pPr>
        <w:pStyle w:val="5"/>
        <w:spacing w:after="0" w:line="360" w:lineRule="auto"/>
        <w:ind w:left="0" w:right="0" w:firstLine="0"/>
        <w:jc w:val="center"/>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二、单位负责人身份证明</w:t>
      </w:r>
      <w:bookmarkEnd w:id="41"/>
      <w:bookmarkEnd w:id="42"/>
      <w:bookmarkEnd w:id="43"/>
    </w:p>
    <w:p w14:paraId="7ECEDC98">
      <w:pPr>
        <w:spacing w:after="0" w:line="433" w:lineRule="auto"/>
        <w:ind w:right="8802"/>
        <w:rPr>
          <w:rFonts w:ascii="仿宋" w:hAnsi="仿宋" w:eastAsia="仿宋" w:cs="Times New Roman"/>
          <w:color w:val="auto"/>
          <w:highlight w:val="none"/>
        </w:rPr>
      </w:pPr>
      <w:r>
        <w:rPr>
          <w:rFonts w:ascii="仿宋" w:hAnsi="仿宋" w:eastAsia="仿宋" w:cs="Times New Roman"/>
          <w:color w:val="auto"/>
          <w:sz w:val="20"/>
          <w:highlight w:val="none"/>
        </w:rPr>
        <w:t xml:space="preserve"> </w:t>
      </w:r>
      <w:r>
        <w:rPr>
          <w:rFonts w:ascii="仿宋" w:hAnsi="仿宋" w:eastAsia="仿宋" w:cs="Times New Roman"/>
          <w:color w:val="auto"/>
          <w:sz w:val="21"/>
          <w:highlight w:val="none"/>
        </w:rPr>
        <w:t xml:space="preserve"> </w:t>
      </w:r>
    </w:p>
    <w:p w14:paraId="44A8BFA9">
      <w:pPr>
        <w:spacing w:after="145" w:line="360" w:lineRule="auto"/>
        <w:ind w:left="-5"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四川蜀物兴川物流发展有限公司：</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 </w:t>
      </w:r>
    </w:p>
    <w:p w14:paraId="4A51B44B">
      <w:pPr>
        <w:spacing w:after="145" w:line="360" w:lineRule="auto"/>
        <w:ind w:right="103"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姓名：</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性别：</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年龄：</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职务：</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 系</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（参选人名称）的单位负责人。单位负责人有权以本律师事务所的名义递交比选响应文件并处理与此有关的一切事务，相关法律责任和后果均由本单位承担。</w:t>
      </w:r>
    </w:p>
    <w:p w14:paraId="7949388D">
      <w:pPr>
        <w:spacing w:after="152" w:line="265" w:lineRule="auto"/>
        <w:ind w:right="103"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特此证明。 </w:t>
      </w:r>
    </w:p>
    <w:p w14:paraId="40246129">
      <w:pPr>
        <w:spacing w:after="184"/>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6163B1F8">
      <w:pPr>
        <w:spacing w:after="153" w:line="265" w:lineRule="auto"/>
        <w:ind w:left="-5"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附：单位负责人身份证复印件。 </w:t>
      </w:r>
    </w:p>
    <w:tbl>
      <w:tblPr>
        <w:tblStyle w:val="31"/>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0"/>
        <w:gridCol w:w="4810"/>
      </w:tblGrid>
      <w:tr w14:paraId="3BFD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4810" w:type="dxa"/>
          </w:tcPr>
          <w:p w14:paraId="35BB5AB4">
            <w:pPr>
              <w:widowControl w:val="0"/>
              <w:spacing w:after="182"/>
              <w:jc w:val="both"/>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tc>
        <w:tc>
          <w:tcPr>
            <w:tcW w:w="4810" w:type="dxa"/>
          </w:tcPr>
          <w:p w14:paraId="56776D6A">
            <w:pPr>
              <w:widowControl w:val="0"/>
              <w:spacing w:after="182"/>
              <w:jc w:val="both"/>
              <w:rPr>
                <w:rFonts w:ascii="仿宋" w:hAnsi="仿宋" w:eastAsia="仿宋" w:cs="Times New Roman"/>
                <w:color w:val="auto"/>
                <w:sz w:val="24"/>
                <w:szCs w:val="24"/>
                <w:highlight w:val="none"/>
              </w:rPr>
            </w:pPr>
          </w:p>
        </w:tc>
      </w:tr>
    </w:tbl>
    <w:p w14:paraId="14BF8F6B">
      <w:pPr>
        <w:spacing w:after="182"/>
        <w:rPr>
          <w:rFonts w:ascii="仿宋" w:hAnsi="仿宋" w:eastAsia="仿宋" w:cs="Times New Roman"/>
          <w:color w:val="auto"/>
          <w:sz w:val="24"/>
          <w:szCs w:val="24"/>
          <w:highlight w:val="none"/>
        </w:rPr>
      </w:pPr>
    </w:p>
    <w:p w14:paraId="58A53FA5">
      <w:pPr>
        <w:spacing w:after="175"/>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791F672D">
      <w:pPr>
        <w:spacing w:after="177"/>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rPr>
        <w:tab/>
      </w:r>
      <w:r>
        <w:rPr>
          <w:rFonts w:ascii="仿宋" w:hAnsi="仿宋" w:eastAsia="仿宋" w:cs="Times New Roman"/>
          <w:color w:val="auto"/>
          <w:sz w:val="24"/>
          <w:szCs w:val="24"/>
          <w:highlight w:val="none"/>
        </w:rPr>
        <w:t xml:space="preserve">                                    参选人：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val="single" w:color="000000"/>
        </w:rPr>
        <w:tab/>
      </w:r>
      <w:r>
        <w:rPr>
          <w:rFonts w:ascii="仿宋" w:hAnsi="仿宋" w:eastAsia="仿宋" w:cs="Times New Roman"/>
          <w:color w:val="auto"/>
          <w:sz w:val="24"/>
          <w:szCs w:val="24"/>
          <w:highlight w:val="none"/>
        </w:rPr>
        <w:t xml:space="preserve">（盖单位章） </w:t>
      </w:r>
    </w:p>
    <w:p w14:paraId="73960A4D">
      <w:pPr>
        <w:spacing w:after="177"/>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65253015">
      <w:pPr>
        <w:tabs>
          <w:tab w:val="left" w:pos="9020"/>
        </w:tabs>
        <w:spacing w:after="151"/>
        <w:ind w:left="10" w:right="340" w:hanging="10"/>
        <w:jc w:val="right"/>
        <w:rPr>
          <w:rFonts w:ascii="仿宋" w:hAnsi="仿宋" w:eastAsia="仿宋" w:cs="Times New Roman"/>
          <w:color w:val="auto"/>
          <w:sz w:val="24"/>
          <w:szCs w:val="24"/>
          <w:highlight w:val="none"/>
        </w:rPr>
        <w:sectPr>
          <w:footerReference r:id="rId9" w:type="default"/>
          <w:pgSz w:w="12240" w:h="15840"/>
          <w:pgMar w:top="2098" w:right="1474" w:bottom="1984" w:left="1587" w:header="720" w:footer="720" w:gutter="0"/>
          <w:cols w:space="720" w:num="1"/>
        </w:sectPr>
      </w:pP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日 </w:t>
      </w:r>
    </w:p>
    <w:p w14:paraId="52AD78C1">
      <w:pPr>
        <w:pStyle w:val="5"/>
        <w:spacing w:after="0" w:line="360" w:lineRule="auto"/>
        <w:ind w:left="0" w:right="0" w:firstLine="0"/>
        <w:jc w:val="center"/>
        <w:rPr>
          <w:rFonts w:ascii="仿宋" w:hAnsi="仿宋" w:eastAsia="仿宋" w:cs="Times New Roman"/>
          <w:color w:val="auto"/>
          <w:sz w:val="32"/>
          <w:szCs w:val="32"/>
          <w:highlight w:val="none"/>
        </w:rPr>
      </w:pPr>
      <w:bookmarkStart w:id="44" w:name="_Toc31483"/>
      <w:bookmarkStart w:id="45" w:name="_Toc128141276"/>
      <w:bookmarkStart w:id="46" w:name="_Toc13510"/>
      <w:r>
        <w:rPr>
          <w:rFonts w:hint="eastAsia" w:ascii="仿宋" w:hAnsi="仿宋" w:eastAsia="仿宋" w:cs="Times New Roman"/>
          <w:color w:val="auto"/>
          <w:sz w:val="32"/>
          <w:szCs w:val="32"/>
          <w:highlight w:val="none"/>
        </w:rPr>
        <w:t>三、</w:t>
      </w:r>
      <w:r>
        <w:rPr>
          <w:rFonts w:ascii="仿宋" w:hAnsi="仿宋" w:eastAsia="仿宋" w:cs="Times New Roman"/>
          <w:color w:val="auto"/>
          <w:sz w:val="32"/>
          <w:szCs w:val="32"/>
          <w:highlight w:val="none"/>
        </w:rPr>
        <w:t>授权委托书</w:t>
      </w:r>
      <w:bookmarkEnd w:id="44"/>
      <w:bookmarkEnd w:id="45"/>
      <w:bookmarkEnd w:id="46"/>
    </w:p>
    <w:p w14:paraId="1BBD0C62">
      <w:pPr>
        <w:spacing w:after="181"/>
        <w:rPr>
          <w:rFonts w:ascii="仿宋" w:hAnsi="仿宋" w:eastAsia="仿宋" w:cs="Times New Roman"/>
          <w:color w:val="auto"/>
          <w:sz w:val="24"/>
          <w:szCs w:val="24"/>
          <w:highlight w:val="none"/>
        </w:rPr>
      </w:pPr>
      <w:r>
        <w:rPr>
          <w:rFonts w:ascii="仿宋" w:hAnsi="仿宋" w:eastAsia="仿宋" w:cs="Times New Roman"/>
          <w:color w:val="auto"/>
          <w:sz w:val="21"/>
          <w:highlight w:val="none"/>
        </w:rPr>
        <w:t xml:space="preserve"> </w:t>
      </w:r>
    </w:p>
    <w:p w14:paraId="057B1853">
      <w:pPr>
        <w:spacing w:after="30" w:line="369" w:lineRule="auto"/>
        <w:ind w:right="197" w:firstLine="480" w:firstLineChars="200"/>
        <w:jc w:val="both"/>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（姓名）系</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（参选人名称）的单位负责人，现委托</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（姓名）为我方代理人。代理人根据授权，以我方名义签署、澄清确认、递交、撤回、修改</w:t>
      </w:r>
      <w:r>
        <w:rPr>
          <w:rFonts w:hint="eastAsia" w:ascii="仿宋" w:hAnsi="仿宋" w:eastAsia="仿宋" w:cs="Times New Roman"/>
          <w:b/>
          <w:bCs/>
          <w:color w:val="auto"/>
          <w:sz w:val="24"/>
          <w:szCs w:val="24"/>
          <w:highlight w:val="none"/>
          <w:u w:val="single"/>
        </w:rPr>
        <w:t>四川蜀物兴川物流发展有限公司关于与四川省某国有企业买卖合同纠纷法律服务项目</w:t>
      </w:r>
      <w:r>
        <w:rPr>
          <w:rFonts w:ascii="仿宋" w:hAnsi="仿宋" w:eastAsia="仿宋" w:cs="Times New Roman"/>
          <w:color w:val="auto"/>
          <w:sz w:val="24"/>
          <w:szCs w:val="24"/>
          <w:highlight w:val="none"/>
        </w:rPr>
        <w:t xml:space="preserve">比选响应文件、签订合同和处理有关事宜，其法律后果由我方承担。 </w:t>
      </w:r>
    </w:p>
    <w:p w14:paraId="153A0D75">
      <w:pPr>
        <w:spacing w:after="149" w:line="265" w:lineRule="auto"/>
        <w:ind w:right="103"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委托期限：自本授权委托书签署之日起至比选文件约定的“比选有效期”结束为止。 </w:t>
      </w:r>
    </w:p>
    <w:p w14:paraId="5BDCED7B">
      <w:pPr>
        <w:spacing w:after="153" w:line="265" w:lineRule="auto"/>
        <w:ind w:left="430"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代理人无转委托权。 </w:t>
      </w:r>
    </w:p>
    <w:p w14:paraId="305C7CCC">
      <w:pPr>
        <w:spacing w:after="184"/>
        <w:ind w:left="42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04338E6D">
      <w:pPr>
        <w:spacing w:after="153" w:line="265" w:lineRule="auto"/>
        <w:ind w:left="224" w:leftChars="102" w:right="103" w:firstLine="228" w:firstLineChars="95"/>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附：单位负责人身份证复印件及委托代理人身份证复印件 </w:t>
      </w:r>
    </w:p>
    <w:p w14:paraId="7114C3E2">
      <w:pPr>
        <w:spacing w:after="182"/>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25BEBB62">
      <w:pPr>
        <w:spacing w:after="0" w:line="265" w:lineRule="auto"/>
        <w:ind w:left="224" w:leftChars="102" w:right="103" w:firstLine="228" w:firstLineChars="95"/>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注：本授权委托书需由参选人加盖单位公章并由其单位负责人和委托代理人签字。 </w:t>
      </w:r>
    </w:p>
    <w:p w14:paraId="70D27D28">
      <w:pPr>
        <w:spacing w:after="151"/>
        <w:ind w:left="10" w:right="202" w:hanging="10"/>
        <w:jc w:val="righ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6CE09ABB">
      <w:pPr>
        <w:keepNext w:val="0"/>
        <w:keepLines w:val="0"/>
        <w:pageBreakBefore w:val="0"/>
        <w:widowControl/>
        <w:kinsoku/>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bookmarkStart w:id="47" w:name="_Hlk58923230"/>
      <w:r>
        <w:rPr>
          <w:rFonts w:ascii="仿宋" w:hAnsi="仿宋" w:eastAsia="仿宋" w:cs="Times New Roman"/>
          <w:color w:val="auto"/>
          <w:sz w:val="24"/>
          <w:szCs w:val="24"/>
          <w:highlight w:val="none"/>
          <w:u w:color="000000"/>
        </w:rPr>
        <w:t>参  选  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color="000000"/>
        </w:rPr>
        <w:t>（盖章）</w:t>
      </w:r>
    </w:p>
    <w:p w14:paraId="10762DF7">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u w:color="000000"/>
        </w:rPr>
        <w:t xml:space="preserve">单位负责人：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签字）</w:t>
      </w:r>
    </w:p>
    <w:p w14:paraId="5A4EF297">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color="000000"/>
        </w:rPr>
      </w:pPr>
      <w:r>
        <w:rPr>
          <w:rFonts w:ascii="仿宋" w:hAnsi="仿宋" w:eastAsia="仿宋" w:cs="Times New Roman"/>
          <w:color w:val="auto"/>
          <w:sz w:val="24"/>
          <w:szCs w:val="24"/>
          <w:highlight w:val="none"/>
          <w:u w:color="000000"/>
        </w:rPr>
        <w:t>身份证号码：</w:t>
      </w:r>
      <w:r>
        <w:rPr>
          <w:rFonts w:ascii="仿宋" w:hAnsi="仿宋" w:eastAsia="仿宋" w:cs="Times New Roman"/>
          <w:color w:val="auto"/>
          <w:sz w:val="24"/>
          <w:szCs w:val="24"/>
          <w:highlight w:val="none"/>
          <w:u w:val="single" w:color="000000"/>
        </w:rPr>
        <w:t xml:space="preserve">                                                       </w:t>
      </w:r>
    </w:p>
    <w:p w14:paraId="4FE41346">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u w:color="000000"/>
        </w:rPr>
        <w:t xml:space="preserve">委托代理人：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color="000000"/>
        </w:rPr>
        <w:t>（签字）</w:t>
      </w:r>
    </w:p>
    <w:p w14:paraId="429BFDAA">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u w:color="000000"/>
        </w:rPr>
        <w:t>身份证号码：</w:t>
      </w:r>
      <w:r>
        <w:rPr>
          <w:rFonts w:ascii="仿宋" w:hAnsi="仿宋" w:eastAsia="仿宋" w:cs="Times New Roman"/>
          <w:color w:val="auto"/>
          <w:sz w:val="24"/>
          <w:szCs w:val="24"/>
          <w:highlight w:val="none"/>
          <w:u w:val="single" w:color="000000"/>
        </w:rPr>
        <w:t xml:space="preserve">                                              </w:t>
      </w:r>
      <w:bookmarkEnd w:id="47"/>
      <w:r>
        <w:rPr>
          <w:rFonts w:ascii="仿宋" w:hAnsi="仿宋" w:eastAsia="仿宋" w:cs="Times New Roman"/>
          <w:color w:val="auto"/>
          <w:sz w:val="24"/>
          <w:szCs w:val="24"/>
          <w:highlight w:val="none"/>
          <w:u w:val="single" w:color="000000"/>
        </w:rPr>
        <w:t xml:space="preserve">         </w:t>
      </w:r>
    </w:p>
    <w:p w14:paraId="70491A01">
      <w:pPr>
        <w:keepNext w:val="0"/>
        <w:keepLines w:val="0"/>
        <w:pageBreakBefore w:val="0"/>
        <w:widowControl/>
        <w:kinsoku/>
        <w:overflowPunct/>
        <w:topLinePunct w:val="0"/>
        <w:autoSpaceDE/>
        <w:autoSpaceDN/>
        <w:bidi w:val="0"/>
        <w:adjustRightInd/>
        <w:snapToGrid/>
        <w:spacing w:after="0" w:line="520" w:lineRule="exact"/>
        <w:ind w:left="11" w:right="202" w:hanging="11"/>
        <w:jc w:val="right"/>
        <w:textAlignment w:val="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日 </w:t>
      </w:r>
    </w:p>
    <w:p w14:paraId="3AEE8807">
      <w:pPr>
        <w:spacing w:after="0" w:line="240" w:lineRule="auto"/>
        <w:rPr>
          <w:rFonts w:ascii="仿宋" w:hAnsi="仿宋" w:eastAsia="仿宋" w:cs="Times New Roman"/>
          <w:color w:val="auto"/>
          <w:sz w:val="32"/>
          <w:highlight w:val="none"/>
        </w:rPr>
      </w:pPr>
      <w:r>
        <w:rPr>
          <w:rFonts w:ascii="仿宋" w:hAnsi="仿宋" w:eastAsia="仿宋" w:cs="Times New Roman"/>
          <w:color w:val="auto"/>
          <w:sz w:val="32"/>
          <w:highlight w:val="none"/>
        </w:rPr>
        <w:br w:type="page"/>
      </w:r>
    </w:p>
    <w:p w14:paraId="0C1EB86D">
      <w:pPr>
        <w:pStyle w:val="5"/>
        <w:spacing w:after="0" w:line="360" w:lineRule="auto"/>
        <w:ind w:left="0" w:right="0" w:firstLine="0"/>
        <w:jc w:val="center"/>
        <w:rPr>
          <w:rFonts w:ascii="仿宋" w:hAnsi="仿宋" w:eastAsia="仿宋" w:cs="Times New Roman"/>
          <w:color w:val="auto"/>
          <w:sz w:val="32"/>
          <w:highlight w:val="none"/>
        </w:rPr>
        <w:sectPr>
          <w:pgSz w:w="12240" w:h="15840"/>
          <w:pgMar w:top="2098" w:right="1474" w:bottom="1984" w:left="1587" w:header="720" w:footer="720" w:gutter="0"/>
          <w:cols w:space="720" w:num="1"/>
        </w:sectPr>
      </w:pPr>
      <w:bookmarkStart w:id="48" w:name="_Toc128141277"/>
      <w:bookmarkStart w:id="49" w:name="_Toc16491"/>
      <w:bookmarkStart w:id="50" w:name="_Toc19029"/>
    </w:p>
    <w:bookmarkEnd w:id="48"/>
    <w:bookmarkEnd w:id="49"/>
    <w:bookmarkEnd w:id="50"/>
    <w:p w14:paraId="3966FC75">
      <w:pPr>
        <w:pStyle w:val="5"/>
        <w:spacing w:after="0" w:line="360" w:lineRule="auto"/>
        <w:ind w:left="0" w:right="0" w:firstLine="0"/>
        <w:jc w:val="center"/>
        <w:rPr>
          <w:rFonts w:ascii="仿宋" w:hAnsi="仿宋" w:eastAsia="仿宋" w:cs="Times New Roman"/>
          <w:color w:val="auto"/>
          <w:sz w:val="32"/>
          <w:szCs w:val="32"/>
          <w:highlight w:val="none"/>
        </w:rPr>
      </w:pPr>
      <w:bookmarkStart w:id="51" w:name="_Toc3651"/>
      <w:bookmarkStart w:id="52" w:name="_Toc128141278"/>
      <w:bookmarkStart w:id="53" w:name="_Toc25804"/>
      <w:r>
        <w:rPr>
          <w:rFonts w:hint="eastAsia" w:ascii="仿宋" w:hAnsi="仿宋" w:eastAsia="仿宋" w:cs="Times New Roman"/>
          <w:color w:val="auto"/>
          <w:sz w:val="32"/>
          <w:szCs w:val="32"/>
          <w:highlight w:val="none"/>
        </w:rPr>
        <w:t>四、</w:t>
      </w:r>
      <w:r>
        <w:rPr>
          <w:rFonts w:ascii="仿宋" w:hAnsi="仿宋" w:eastAsia="仿宋" w:cs="Times New Roman"/>
          <w:color w:val="auto"/>
          <w:sz w:val="32"/>
          <w:szCs w:val="32"/>
          <w:highlight w:val="none"/>
        </w:rPr>
        <w:t>资格审查资料</w:t>
      </w:r>
      <w:bookmarkEnd w:id="51"/>
      <w:bookmarkEnd w:id="52"/>
      <w:bookmarkEnd w:id="53"/>
    </w:p>
    <w:p w14:paraId="55D821AF">
      <w:pPr>
        <w:pStyle w:val="6"/>
        <w:spacing w:after="0"/>
        <w:ind w:left="132" w:right="0"/>
        <w:jc w:val="center"/>
        <w:rPr>
          <w:rFonts w:ascii="仿宋" w:hAnsi="仿宋" w:eastAsia="仿宋" w:cs="仿宋_GB2312"/>
          <w:b/>
          <w:bCs/>
          <w:color w:val="auto"/>
          <w:highlight w:val="none"/>
        </w:rPr>
      </w:pPr>
      <w:bookmarkStart w:id="54" w:name="_Toc19366"/>
      <w:bookmarkStart w:id="55" w:name="_Toc128141279"/>
      <w:bookmarkStart w:id="56" w:name="_Toc16506"/>
      <w:r>
        <w:rPr>
          <w:rFonts w:hint="eastAsia" w:ascii="仿宋" w:hAnsi="仿宋" w:eastAsia="仿宋" w:cs="仿宋_GB2312"/>
          <w:b/>
          <w:bCs/>
          <w:color w:val="auto"/>
          <w:highlight w:val="none"/>
        </w:rPr>
        <w:t>（一）基本情况表</w:t>
      </w:r>
      <w:bookmarkEnd w:id="54"/>
      <w:bookmarkEnd w:id="55"/>
      <w:bookmarkEnd w:id="56"/>
    </w:p>
    <w:tbl>
      <w:tblPr>
        <w:tblStyle w:val="45"/>
        <w:tblW w:w="8587" w:type="dxa"/>
        <w:jc w:val="center"/>
        <w:tblLayout w:type="autofit"/>
        <w:tblCellMar>
          <w:top w:w="0" w:type="dxa"/>
          <w:left w:w="108" w:type="dxa"/>
          <w:bottom w:w="46" w:type="dxa"/>
          <w:right w:w="43" w:type="dxa"/>
        </w:tblCellMar>
      </w:tblPr>
      <w:tblGrid>
        <w:gridCol w:w="2581"/>
        <w:gridCol w:w="945"/>
        <w:gridCol w:w="1795"/>
        <w:gridCol w:w="1202"/>
        <w:gridCol w:w="2064"/>
      </w:tblGrid>
      <w:tr w14:paraId="16FE86B1">
        <w:tblPrEx>
          <w:tblCellMar>
            <w:top w:w="0" w:type="dxa"/>
            <w:left w:w="108" w:type="dxa"/>
            <w:bottom w:w="46" w:type="dxa"/>
            <w:right w:w="43" w:type="dxa"/>
          </w:tblCellMar>
        </w:tblPrEx>
        <w:trPr>
          <w:trHeight w:val="756"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24287CF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参选人名称</w:t>
            </w:r>
          </w:p>
        </w:tc>
        <w:tc>
          <w:tcPr>
            <w:tcW w:w="6006" w:type="dxa"/>
            <w:gridSpan w:val="4"/>
            <w:tcBorders>
              <w:top w:val="single" w:color="000000" w:sz="4" w:space="0"/>
              <w:left w:val="single" w:color="000000" w:sz="4" w:space="0"/>
              <w:bottom w:val="single" w:color="000000" w:sz="4" w:space="0"/>
              <w:right w:val="single" w:color="000000" w:sz="4" w:space="0"/>
            </w:tcBorders>
          </w:tcPr>
          <w:p w14:paraId="6B5D1213">
            <w:pPr>
              <w:spacing w:after="0" w:line="32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 </w:t>
            </w:r>
          </w:p>
        </w:tc>
      </w:tr>
      <w:tr w14:paraId="33C36CE6">
        <w:tblPrEx>
          <w:tblCellMar>
            <w:top w:w="0" w:type="dxa"/>
            <w:left w:w="108" w:type="dxa"/>
            <w:bottom w:w="46" w:type="dxa"/>
            <w:right w:w="43" w:type="dxa"/>
          </w:tblCellMar>
        </w:tblPrEx>
        <w:trPr>
          <w:trHeight w:val="7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A1BB2B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统一社会信用编码</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38DC73F8">
            <w:pPr>
              <w:spacing w:after="0" w:line="320" w:lineRule="exact"/>
              <w:jc w:val="center"/>
              <w:rPr>
                <w:rFonts w:ascii="仿宋" w:hAnsi="仿宋" w:eastAsia="仿宋" w:cs="Times New Roman"/>
                <w:color w:val="auto"/>
                <w:sz w:val="21"/>
                <w:szCs w:val="21"/>
                <w:highlight w:val="none"/>
              </w:rPr>
            </w:pPr>
          </w:p>
        </w:tc>
      </w:tr>
      <w:tr w14:paraId="3E1B057A">
        <w:tblPrEx>
          <w:tblCellMar>
            <w:top w:w="0" w:type="dxa"/>
            <w:left w:w="108" w:type="dxa"/>
            <w:bottom w:w="46" w:type="dxa"/>
            <w:right w:w="43" w:type="dxa"/>
          </w:tblCellMar>
        </w:tblPrEx>
        <w:trPr>
          <w:trHeight w:val="7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66CF25F">
            <w:pPr>
              <w:spacing w:after="0" w:line="320" w:lineRule="exact"/>
              <w:jc w:val="center"/>
              <w:rPr>
                <w:rFonts w:hint="eastAsia" w:eastAsia="仿宋"/>
                <w:lang w:eastAsia="zh-CN"/>
              </w:rPr>
            </w:pPr>
            <w:r>
              <w:rPr>
                <w:rFonts w:ascii="仿宋" w:hAnsi="仿宋" w:eastAsia="仿宋" w:cs="Times New Roman"/>
                <w:color w:val="auto"/>
                <w:sz w:val="21"/>
                <w:szCs w:val="21"/>
                <w:highlight w:val="none"/>
              </w:rPr>
              <w:t>成立日期</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5E4DC59">
            <w:pPr>
              <w:spacing w:after="0" w:line="320" w:lineRule="exact"/>
              <w:jc w:val="center"/>
              <w:rPr>
                <w:rFonts w:ascii="仿宋" w:hAnsi="仿宋" w:eastAsia="仿宋" w:cs="Times New Roman"/>
                <w:color w:val="auto"/>
                <w:sz w:val="21"/>
                <w:szCs w:val="21"/>
                <w:highlight w:val="none"/>
              </w:rPr>
            </w:pPr>
          </w:p>
        </w:tc>
      </w:tr>
      <w:tr w14:paraId="390B06F5">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119390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注册地址</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7BFB438E">
            <w:pPr>
              <w:spacing w:after="0" w:line="320" w:lineRule="exact"/>
              <w:jc w:val="center"/>
              <w:rPr>
                <w:rFonts w:ascii="仿宋" w:hAnsi="仿宋" w:eastAsia="仿宋" w:cs="Times New Roman"/>
                <w:color w:val="auto"/>
                <w:sz w:val="21"/>
                <w:szCs w:val="21"/>
                <w:highlight w:val="none"/>
              </w:rPr>
            </w:pPr>
          </w:p>
        </w:tc>
      </w:tr>
      <w:tr w14:paraId="347DFAD1">
        <w:tblPrEx>
          <w:tblCellMar>
            <w:top w:w="0" w:type="dxa"/>
            <w:left w:w="108" w:type="dxa"/>
            <w:bottom w:w="46" w:type="dxa"/>
            <w:right w:w="43" w:type="dxa"/>
          </w:tblCellMar>
        </w:tblPrEx>
        <w:trPr>
          <w:trHeight w:val="541"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D85B3FE">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注册资本</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5DEA6DDF">
            <w:pPr>
              <w:spacing w:after="0" w:line="320" w:lineRule="exact"/>
              <w:jc w:val="center"/>
              <w:rPr>
                <w:rFonts w:ascii="仿宋" w:hAnsi="仿宋" w:eastAsia="仿宋" w:cs="Times New Roman"/>
                <w:color w:val="auto"/>
                <w:sz w:val="21"/>
                <w:szCs w:val="21"/>
                <w:highlight w:val="none"/>
              </w:rPr>
            </w:pPr>
          </w:p>
        </w:tc>
      </w:tr>
      <w:tr w14:paraId="43B68C13">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B7C45D5">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专职律师人数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1AE3DE7B">
            <w:pPr>
              <w:spacing w:after="0" w:line="320" w:lineRule="exact"/>
              <w:jc w:val="center"/>
              <w:rPr>
                <w:rFonts w:ascii="仿宋" w:hAnsi="仿宋" w:eastAsia="仿宋" w:cs="Times New Roman"/>
                <w:color w:val="auto"/>
                <w:sz w:val="21"/>
                <w:szCs w:val="21"/>
                <w:highlight w:val="none"/>
              </w:rPr>
            </w:pPr>
          </w:p>
        </w:tc>
      </w:tr>
      <w:tr w14:paraId="41DB080F">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C039B8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基本账户开户银行</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C64F971">
            <w:pPr>
              <w:spacing w:after="0" w:line="320" w:lineRule="exact"/>
              <w:jc w:val="center"/>
              <w:rPr>
                <w:rFonts w:ascii="仿宋" w:hAnsi="仿宋" w:eastAsia="仿宋" w:cs="Times New Roman"/>
                <w:color w:val="auto"/>
                <w:sz w:val="21"/>
                <w:szCs w:val="21"/>
                <w:highlight w:val="none"/>
              </w:rPr>
            </w:pPr>
          </w:p>
        </w:tc>
      </w:tr>
      <w:tr w14:paraId="34709D38">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09E5668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基本账户银行账号</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1B27CE27">
            <w:pPr>
              <w:spacing w:after="0" w:line="320" w:lineRule="exact"/>
              <w:jc w:val="center"/>
              <w:rPr>
                <w:rFonts w:ascii="仿宋" w:hAnsi="仿宋" w:eastAsia="仿宋" w:cs="Times New Roman"/>
                <w:color w:val="auto"/>
                <w:sz w:val="21"/>
                <w:szCs w:val="21"/>
                <w:highlight w:val="none"/>
              </w:rPr>
            </w:pPr>
          </w:p>
        </w:tc>
      </w:tr>
      <w:tr w14:paraId="72AE14EE">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42CB04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律所荣誉</w:t>
            </w:r>
          </w:p>
          <w:p w14:paraId="2C3802D0">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（含所获荣誉级别及名称）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6937F8E">
            <w:pPr>
              <w:spacing w:after="0" w:line="320" w:lineRule="exact"/>
              <w:jc w:val="center"/>
              <w:rPr>
                <w:rFonts w:ascii="仿宋" w:hAnsi="仿宋" w:eastAsia="仿宋" w:cs="Times New Roman"/>
                <w:color w:val="auto"/>
                <w:sz w:val="21"/>
                <w:szCs w:val="21"/>
                <w:highlight w:val="none"/>
              </w:rPr>
            </w:pPr>
          </w:p>
        </w:tc>
      </w:tr>
      <w:tr w14:paraId="1A9427A6">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5A8F5CA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单位负责人</w:t>
            </w:r>
          </w:p>
        </w:tc>
        <w:tc>
          <w:tcPr>
            <w:tcW w:w="945" w:type="dxa"/>
            <w:tcBorders>
              <w:top w:val="single" w:color="000000" w:sz="4" w:space="0"/>
              <w:left w:val="single" w:color="000000" w:sz="4" w:space="0"/>
              <w:bottom w:val="single" w:color="000000" w:sz="4" w:space="0"/>
              <w:right w:val="single" w:color="000000" w:sz="4" w:space="0"/>
            </w:tcBorders>
            <w:vAlign w:val="center"/>
          </w:tcPr>
          <w:p w14:paraId="6B38989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姓 名</w:t>
            </w:r>
          </w:p>
        </w:tc>
        <w:tc>
          <w:tcPr>
            <w:tcW w:w="1795" w:type="dxa"/>
            <w:tcBorders>
              <w:top w:val="single" w:color="000000" w:sz="4" w:space="0"/>
              <w:left w:val="single" w:color="000000" w:sz="4" w:space="0"/>
              <w:bottom w:val="single" w:color="000000" w:sz="4" w:space="0"/>
              <w:right w:val="single" w:color="000000" w:sz="4" w:space="0"/>
            </w:tcBorders>
            <w:vAlign w:val="center"/>
          </w:tcPr>
          <w:p w14:paraId="699ADBE0">
            <w:pPr>
              <w:spacing w:after="0" w:line="320" w:lineRule="exact"/>
              <w:jc w:val="center"/>
              <w:rPr>
                <w:rFonts w:ascii="仿宋" w:hAnsi="仿宋" w:eastAsia="仿宋" w:cs="Times New Roman"/>
                <w:color w:val="auto"/>
                <w:sz w:val="21"/>
                <w:szCs w:val="21"/>
                <w:highlight w:val="none"/>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276F8D2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5E4FB30E">
            <w:pPr>
              <w:spacing w:after="0" w:line="320" w:lineRule="exact"/>
              <w:jc w:val="center"/>
              <w:rPr>
                <w:rFonts w:ascii="仿宋" w:hAnsi="仿宋" w:eastAsia="仿宋" w:cs="Times New Roman"/>
                <w:color w:val="auto"/>
                <w:sz w:val="21"/>
                <w:szCs w:val="21"/>
                <w:highlight w:val="none"/>
              </w:rPr>
            </w:pPr>
          </w:p>
        </w:tc>
      </w:tr>
      <w:tr w14:paraId="0003446B">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D13A5B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联系方式</w:t>
            </w:r>
          </w:p>
        </w:tc>
        <w:tc>
          <w:tcPr>
            <w:tcW w:w="945" w:type="dxa"/>
            <w:tcBorders>
              <w:top w:val="single" w:color="000000" w:sz="4" w:space="0"/>
              <w:left w:val="single" w:color="000000" w:sz="4" w:space="0"/>
              <w:bottom w:val="single" w:color="000000" w:sz="4" w:space="0"/>
              <w:right w:val="single" w:color="000000" w:sz="4" w:space="0"/>
            </w:tcBorders>
            <w:vAlign w:val="center"/>
          </w:tcPr>
          <w:p w14:paraId="3E48847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联系人</w:t>
            </w:r>
          </w:p>
        </w:tc>
        <w:tc>
          <w:tcPr>
            <w:tcW w:w="1795" w:type="dxa"/>
            <w:tcBorders>
              <w:top w:val="single" w:color="000000" w:sz="4" w:space="0"/>
              <w:left w:val="single" w:color="000000" w:sz="4" w:space="0"/>
              <w:bottom w:val="single" w:color="000000" w:sz="4" w:space="0"/>
              <w:right w:val="single" w:color="000000" w:sz="4" w:space="0"/>
            </w:tcBorders>
            <w:vAlign w:val="center"/>
          </w:tcPr>
          <w:p w14:paraId="439E51ED">
            <w:pPr>
              <w:spacing w:after="0" w:line="320" w:lineRule="exact"/>
              <w:jc w:val="center"/>
              <w:rPr>
                <w:rFonts w:ascii="仿宋" w:hAnsi="仿宋" w:eastAsia="仿宋" w:cs="Times New Roman"/>
                <w:color w:val="auto"/>
                <w:sz w:val="21"/>
                <w:szCs w:val="21"/>
                <w:highlight w:val="none"/>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32CB171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45B48B31">
            <w:pPr>
              <w:spacing w:after="0" w:line="320" w:lineRule="exact"/>
              <w:jc w:val="center"/>
              <w:rPr>
                <w:rFonts w:ascii="仿宋" w:hAnsi="仿宋" w:eastAsia="仿宋" w:cs="Times New Roman"/>
                <w:color w:val="auto"/>
                <w:sz w:val="21"/>
                <w:szCs w:val="21"/>
                <w:highlight w:val="none"/>
              </w:rPr>
            </w:pPr>
          </w:p>
        </w:tc>
      </w:tr>
      <w:tr w14:paraId="723A3F06">
        <w:tblPrEx>
          <w:tblCellMar>
            <w:top w:w="0" w:type="dxa"/>
            <w:left w:w="108" w:type="dxa"/>
            <w:bottom w:w="46" w:type="dxa"/>
            <w:right w:w="43" w:type="dxa"/>
          </w:tblCellMar>
        </w:tblPrEx>
        <w:trPr>
          <w:trHeight w:val="662"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52E28765">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备注</w:t>
            </w:r>
          </w:p>
        </w:tc>
        <w:tc>
          <w:tcPr>
            <w:tcW w:w="6006" w:type="dxa"/>
            <w:gridSpan w:val="4"/>
            <w:tcBorders>
              <w:top w:val="single" w:color="000000" w:sz="4" w:space="0"/>
              <w:left w:val="single" w:color="000000" w:sz="4" w:space="0"/>
              <w:bottom w:val="single" w:color="000000" w:sz="4" w:space="0"/>
              <w:right w:val="single" w:color="000000" w:sz="4" w:space="0"/>
            </w:tcBorders>
          </w:tcPr>
          <w:p w14:paraId="12471AE8">
            <w:pPr>
              <w:spacing w:after="0" w:line="32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 </w:t>
            </w:r>
          </w:p>
        </w:tc>
      </w:tr>
    </w:tbl>
    <w:p w14:paraId="6FA7422E">
      <w:pPr>
        <w:spacing w:after="22" w:line="374" w:lineRule="auto"/>
        <w:ind w:left="194" w:leftChars="88" w:right="103" w:firstLine="409" w:firstLineChars="195"/>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注：1.参选人应在本表后附律所执业许可证。 </w:t>
      </w:r>
    </w:p>
    <w:p w14:paraId="78470C3E">
      <w:pPr>
        <w:spacing w:after="22" w:line="374" w:lineRule="auto"/>
        <w:ind w:left="-5" w:right="103" w:hanging="10"/>
        <w:rPr>
          <w:rFonts w:hint="default" w:ascii="仿宋" w:hAnsi="仿宋" w:eastAsia="仿宋" w:cs="仿宋_GB2312"/>
          <w:color w:val="auto"/>
          <w:sz w:val="21"/>
          <w:szCs w:val="21"/>
          <w:highlight w:val="none"/>
          <w:lang w:val="en-US" w:eastAsia="zh-CN"/>
        </w:rPr>
      </w:pPr>
      <w:r>
        <w:rPr>
          <w:rFonts w:hint="eastAsia" w:ascii="仿宋" w:hAnsi="仿宋" w:eastAsia="仿宋" w:cs="仿宋_GB2312"/>
          <w:color w:val="auto"/>
          <w:sz w:val="21"/>
          <w:szCs w:val="21"/>
          <w:highlight w:val="none"/>
        </w:rPr>
        <w:t xml:space="preserve">          </w:t>
      </w:r>
      <w:r>
        <w:rPr>
          <w:rFonts w:hint="eastAsia" w:ascii="仿宋" w:hAnsi="仿宋" w:eastAsia="仿宋" w:cs="仿宋_GB2312"/>
          <w:color w:val="auto"/>
          <w:sz w:val="21"/>
          <w:szCs w:val="21"/>
          <w:highlight w:val="none"/>
          <w:lang w:val="en-US" w:eastAsia="zh-CN"/>
        </w:rPr>
        <w:t>2.</w:t>
      </w:r>
      <w:r>
        <w:rPr>
          <w:rFonts w:hint="eastAsia" w:ascii="仿宋" w:hAnsi="仿宋" w:eastAsia="仿宋" w:cs="仿宋_GB2312"/>
          <w:color w:val="auto"/>
          <w:sz w:val="21"/>
          <w:szCs w:val="21"/>
          <w:highlight w:val="none"/>
        </w:rPr>
        <w:t>参选人应在本表后附</w:t>
      </w:r>
      <w:r>
        <w:rPr>
          <w:rFonts w:hint="eastAsia" w:ascii="仿宋" w:hAnsi="仿宋" w:eastAsia="仿宋" w:cs="仿宋_GB2312"/>
          <w:color w:val="auto"/>
          <w:sz w:val="21"/>
          <w:szCs w:val="21"/>
          <w:highlight w:val="none"/>
          <w:lang w:val="en-US" w:eastAsia="zh-CN"/>
        </w:rPr>
        <w:t>全国律师执业诚信信息公示平台截图。‌</w:t>
      </w:r>
    </w:p>
    <w:p w14:paraId="771C7952">
      <w:pPr>
        <w:spacing w:after="22" w:line="374" w:lineRule="auto"/>
        <w:ind w:left="194" w:leftChars="88" w:right="103" w:firstLine="829" w:firstLineChars="395"/>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3</w:t>
      </w:r>
      <w:r>
        <w:rPr>
          <w:rFonts w:hint="eastAsia" w:ascii="仿宋" w:hAnsi="仿宋" w:eastAsia="仿宋" w:cs="仿宋_GB2312"/>
          <w:color w:val="auto"/>
          <w:sz w:val="21"/>
          <w:szCs w:val="21"/>
          <w:highlight w:val="none"/>
        </w:rPr>
        <w:t>.参选人在本表后附本律所荣誉证书（如有）。</w:t>
      </w:r>
    </w:p>
    <w:p w14:paraId="5729E873">
      <w:pPr>
        <w:spacing w:after="22" w:line="374" w:lineRule="auto"/>
        <w:ind w:right="103" w:firstLine="1050" w:firstLineChars="500"/>
        <w:rPr>
          <w:rFonts w:ascii="仿宋" w:hAnsi="仿宋" w:eastAsia="仿宋" w:cs="Times New Roman"/>
          <w:color w:val="auto"/>
          <w:sz w:val="21"/>
          <w:highlight w:val="none"/>
        </w:rPr>
      </w:pPr>
      <w:r>
        <w:rPr>
          <w:rFonts w:hint="eastAsia" w:ascii="仿宋" w:hAnsi="仿宋" w:eastAsia="仿宋" w:cs="仿宋_GB2312"/>
          <w:color w:val="auto"/>
          <w:sz w:val="21"/>
          <w:szCs w:val="21"/>
          <w:highlight w:val="none"/>
          <w:lang w:val="en-US" w:eastAsia="zh-CN"/>
        </w:rPr>
        <w:t>4</w:t>
      </w:r>
      <w:r>
        <w:rPr>
          <w:rFonts w:hint="eastAsia" w:ascii="仿宋" w:hAnsi="仿宋" w:eastAsia="仿宋" w:cs="仿宋_GB2312"/>
          <w:color w:val="auto"/>
          <w:sz w:val="21"/>
          <w:szCs w:val="21"/>
          <w:highlight w:val="none"/>
        </w:rPr>
        <w:t>.本表需加盖单位公章。</w:t>
      </w:r>
      <w:bookmarkStart w:id="57" w:name="_Toc9575"/>
      <w:bookmarkStart w:id="58" w:name="_Toc13608"/>
      <w:r>
        <w:rPr>
          <w:rFonts w:ascii="仿宋" w:hAnsi="仿宋" w:eastAsia="仿宋" w:cs="Times New Roman"/>
          <w:color w:val="auto"/>
          <w:sz w:val="21"/>
          <w:highlight w:val="none"/>
        </w:rPr>
        <w:br w:type="page"/>
      </w:r>
      <w:bookmarkEnd w:id="57"/>
      <w:bookmarkEnd w:id="58"/>
      <w:bookmarkStart w:id="59" w:name="_Toc123682"/>
    </w:p>
    <w:p w14:paraId="47435282">
      <w:pPr>
        <w:pStyle w:val="7"/>
        <w:spacing w:after="0" w:line="360" w:lineRule="auto"/>
        <w:ind w:left="0" w:right="0"/>
        <w:jc w:val="center"/>
        <w:rPr>
          <w:rFonts w:ascii="仿宋" w:hAnsi="仿宋" w:eastAsia="仿宋" w:cs="Times New Roman"/>
          <w:b/>
          <w:color w:val="auto"/>
          <w:highlight w:val="none"/>
        </w:rPr>
        <w:sectPr>
          <w:pgSz w:w="12240" w:h="15840"/>
          <w:pgMar w:top="1417" w:right="1474" w:bottom="1417" w:left="1587" w:header="720" w:footer="720" w:gutter="0"/>
          <w:cols w:space="720" w:num="1"/>
        </w:sectPr>
      </w:pPr>
    </w:p>
    <w:p w14:paraId="7A8F3A69">
      <w:pPr>
        <w:pStyle w:val="6"/>
        <w:spacing w:after="0"/>
        <w:ind w:left="132" w:right="0"/>
        <w:jc w:val="center"/>
        <w:rPr>
          <w:rFonts w:ascii="仿宋" w:hAnsi="仿宋" w:eastAsia="仿宋" w:cs="仿宋_GB2312"/>
          <w:b/>
          <w:bCs/>
          <w:color w:val="auto"/>
          <w:highlight w:val="none"/>
        </w:rPr>
      </w:pPr>
      <w:r>
        <w:rPr>
          <w:rFonts w:ascii="仿宋" w:hAnsi="仿宋" w:eastAsia="仿宋" w:cs="仿宋_GB2312"/>
          <w:b/>
          <w:bCs/>
          <w:color w:val="auto"/>
          <w:highlight w:val="none"/>
        </w:rPr>
        <w:t>（二）律所业绩汇总表</w:t>
      </w:r>
    </w:p>
    <w:tbl>
      <w:tblPr>
        <w:tblStyle w:val="30"/>
        <w:tblW w:w="13009" w:type="dxa"/>
        <w:jc w:val="center"/>
        <w:tblLayout w:type="fixed"/>
        <w:tblCellMar>
          <w:top w:w="0" w:type="dxa"/>
          <w:left w:w="110" w:type="dxa"/>
          <w:bottom w:w="46" w:type="dxa"/>
          <w:right w:w="60" w:type="dxa"/>
        </w:tblCellMar>
      </w:tblPr>
      <w:tblGrid>
        <w:gridCol w:w="770"/>
        <w:gridCol w:w="2197"/>
        <w:gridCol w:w="1613"/>
        <w:gridCol w:w="3330"/>
        <w:gridCol w:w="2340"/>
        <w:gridCol w:w="1683"/>
        <w:gridCol w:w="1076"/>
      </w:tblGrid>
      <w:tr w14:paraId="0FC223E1">
        <w:tblPrEx>
          <w:tblCellMar>
            <w:top w:w="0" w:type="dxa"/>
            <w:left w:w="110" w:type="dxa"/>
            <w:bottom w:w="46" w:type="dxa"/>
            <w:right w:w="60" w:type="dxa"/>
          </w:tblCellMar>
        </w:tblPrEx>
        <w:trPr>
          <w:trHeight w:val="1085"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00F929A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序</w:t>
            </w:r>
            <w:r>
              <w:rPr>
                <w:rFonts w:hint="eastAsia" w:ascii="仿宋" w:hAnsi="仿宋" w:eastAsia="仿宋" w:cs="Times New Roman"/>
                <w:color w:val="auto"/>
                <w:sz w:val="21"/>
                <w:szCs w:val="21"/>
                <w:highlight w:val="none"/>
              </w:rPr>
              <w:t xml:space="preserve">  </w:t>
            </w:r>
            <w:r>
              <w:rPr>
                <w:rFonts w:ascii="仿宋" w:hAnsi="仿宋" w:eastAsia="仿宋" w:cs="Times New Roman"/>
                <w:color w:val="auto"/>
                <w:sz w:val="21"/>
                <w:szCs w:val="21"/>
                <w:highlight w:val="none"/>
              </w:rPr>
              <w:t>号</w:t>
            </w:r>
          </w:p>
        </w:tc>
        <w:tc>
          <w:tcPr>
            <w:tcW w:w="2197" w:type="dxa"/>
            <w:tcBorders>
              <w:top w:val="single" w:color="auto" w:sz="4" w:space="0"/>
              <w:left w:val="single" w:color="auto" w:sz="4" w:space="0"/>
              <w:bottom w:val="single" w:color="auto" w:sz="4" w:space="0"/>
              <w:right w:val="single" w:color="auto" w:sz="4" w:space="0"/>
            </w:tcBorders>
            <w:vAlign w:val="center"/>
          </w:tcPr>
          <w:p w14:paraId="7A30631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客户名称</w:t>
            </w:r>
          </w:p>
        </w:tc>
        <w:tc>
          <w:tcPr>
            <w:tcW w:w="1613" w:type="dxa"/>
            <w:tcBorders>
              <w:top w:val="single" w:color="auto" w:sz="4" w:space="0"/>
              <w:left w:val="single" w:color="auto" w:sz="4" w:space="0"/>
              <w:bottom w:val="single" w:color="auto" w:sz="4" w:space="0"/>
              <w:right w:val="single" w:color="auto" w:sz="4" w:space="0"/>
            </w:tcBorders>
            <w:vAlign w:val="center"/>
          </w:tcPr>
          <w:p w14:paraId="1C21387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客户单位性质</w:t>
            </w:r>
          </w:p>
        </w:tc>
        <w:tc>
          <w:tcPr>
            <w:tcW w:w="3330" w:type="dxa"/>
            <w:tcBorders>
              <w:top w:val="single" w:color="auto" w:sz="4" w:space="0"/>
              <w:left w:val="single" w:color="auto" w:sz="4" w:space="0"/>
              <w:bottom w:val="single" w:color="auto" w:sz="4" w:space="0"/>
              <w:right w:val="single" w:color="auto" w:sz="4" w:space="0"/>
            </w:tcBorders>
            <w:vAlign w:val="center"/>
          </w:tcPr>
          <w:p w14:paraId="492909B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代理律所名称</w:t>
            </w:r>
          </w:p>
        </w:tc>
        <w:tc>
          <w:tcPr>
            <w:tcW w:w="2340" w:type="dxa"/>
            <w:tcBorders>
              <w:top w:val="single" w:color="auto" w:sz="4" w:space="0"/>
              <w:left w:val="single" w:color="auto" w:sz="4" w:space="0"/>
              <w:bottom w:val="single" w:color="auto" w:sz="4" w:space="0"/>
              <w:right w:val="single" w:color="auto" w:sz="4" w:space="0"/>
            </w:tcBorders>
            <w:vAlign w:val="center"/>
          </w:tcPr>
          <w:p w14:paraId="120253C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主办律师</w:t>
            </w:r>
          </w:p>
        </w:tc>
        <w:tc>
          <w:tcPr>
            <w:tcW w:w="1683" w:type="dxa"/>
            <w:tcBorders>
              <w:top w:val="single" w:color="auto" w:sz="4" w:space="0"/>
              <w:left w:val="single" w:color="auto" w:sz="4" w:space="0"/>
              <w:bottom w:val="single" w:color="auto" w:sz="4" w:space="0"/>
              <w:right w:val="single" w:color="auto" w:sz="4" w:space="0"/>
            </w:tcBorders>
            <w:vAlign w:val="center"/>
          </w:tcPr>
          <w:p w14:paraId="7C8438E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委托合同或裁判文书名称</w:t>
            </w:r>
          </w:p>
        </w:tc>
        <w:tc>
          <w:tcPr>
            <w:tcW w:w="1076" w:type="dxa"/>
            <w:tcBorders>
              <w:top w:val="single" w:color="auto" w:sz="4" w:space="0"/>
              <w:left w:val="single" w:color="auto" w:sz="4" w:space="0"/>
              <w:bottom w:val="single" w:color="auto" w:sz="4" w:space="0"/>
              <w:right w:val="single" w:color="auto" w:sz="4" w:space="0"/>
            </w:tcBorders>
            <w:vAlign w:val="center"/>
          </w:tcPr>
          <w:p w14:paraId="3D45DF9A">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文书</w:t>
            </w:r>
            <w:r>
              <w:rPr>
                <w:rFonts w:hint="eastAsia" w:ascii="仿宋" w:hAnsi="仿宋" w:eastAsia="仿宋" w:cs="Times New Roman"/>
                <w:color w:val="auto"/>
                <w:sz w:val="21"/>
                <w:szCs w:val="21"/>
                <w:highlight w:val="none"/>
              </w:rPr>
              <w:t>签订/</w:t>
            </w:r>
          </w:p>
          <w:p w14:paraId="0D761F3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出具时间</w:t>
            </w:r>
          </w:p>
        </w:tc>
      </w:tr>
      <w:tr w14:paraId="7B647E90">
        <w:tblPrEx>
          <w:tblCellMar>
            <w:top w:w="0" w:type="dxa"/>
            <w:left w:w="110" w:type="dxa"/>
            <w:bottom w:w="46" w:type="dxa"/>
            <w:right w:w="60" w:type="dxa"/>
          </w:tblCellMar>
        </w:tblPrEx>
        <w:trPr>
          <w:trHeight w:val="555" w:hRule="atLeast"/>
          <w:jc w:val="center"/>
        </w:trPr>
        <w:tc>
          <w:tcPr>
            <w:tcW w:w="770" w:type="dxa"/>
            <w:tcBorders>
              <w:top w:val="single" w:color="auto" w:sz="4" w:space="0"/>
              <w:left w:val="single" w:color="000000" w:sz="4" w:space="0"/>
              <w:bottom w:val="single" w:color="000000" w:sz="4" w:space="0"/>
              <w:right w:val="single" w:color="000000" w:sz="4" w:space="0"/>
            </w:tcBorders>
            <w:vAlign w:val="bottom"/>
          </w:tcPr>
          <w:p w14:paraId="7B38085C">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auto" w:sz="4" w:space="0"/>
              <w:left w:val="single" w:color="000000" w:sz="4" w:space="0"/>
              <w:bottom w:val="single" w:color="000000" w:sz="4" w:space="0"/>
              <w:right w:val="single" w:color="000000" w:sz="4" w:space="0"/>
            </w:tcBorders>
            <w:vAlign w:val="bottom"/>
          </w:tcPr>
          <w:p w14:paraId="3B6C0F81">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auto" w:sz="4" w:space="0"/>
              <w:left w:val="single" w:color="000000" w:sz="4" w:space="0"/>
              <w:bottom w:val="single" w:color="000000" w:sz="4" w:space="0"/>
              <w:right w:val="single" w:color="000000" w:sz="4" w:space="0"/>
            </w:tcBorders>
            <w:vAlign w:val="bottom"/>
          </w:tcPr>
          <w:p w14:paraId="5A0DBF6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auto" w:sz="4" w:space="0"/>
              <w:left w:val="single" w:color="000000" w:sz="4" w:space="0"/>
              <w:bottom w:val="single" w:color="000000" w:sz="4" w:space="0"/>
              <w:right w:val="single" w:color="000000" w:sz="4" w:space="0"/>
            </w:tcBorders>
            <w:vAlign w:val="bottom"/>
          </w:tcPr>
          <w:p w14:paraId="5D86624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auto" w:sz="4" w:space="0"/>
              <w:left w:val="single" w:color="000000" w:sz="4" w:space="0"/>
              <w:bottom w:val="single" w:color="000000" w:sz="4" w:space="0"/>
              <w:right w:val="single" w:color="000000" w:sz="4" w:space="0"/>
            </w:tcBorders>
            <w:vAlign w:val="bottom"/>
          </w:tcPr>
          <w:p w14:paraId="494C57DA">
            <w:pPr>
              <w:spacing w:after="0"/>
              <w:ind w:left="3"/>
              <w:jc w:val="center"/>
              <w:rPr>
                <w:rFonts w:ascii="仿宋" w:hAnsi="仿宋" w:eastAsia="仿宋" w:cs="Times New Roman"/>
                <w:color w:val="auto"/>
                <w:sz w:val="21"/>
                <w:highlight w:val="none"/>
              </w:rPr>
            </w:pPr>
          </w:p>
        </w:tc>
        <w:tc>
          <w:tcPr>
            <w:tcW w:w="1683" w:type="dxa"/>
            <w:tcBorders>
              <w:top w:val="single" w:color="auto" w:sz="4" w:space="0"/>
              <w:left w:val="single" w:color="000000" w:sz="4" w:space="0"/>
              <w:bottom w:val="single" w:color="000000" w:sz="4" w:space="0"/>
              <w:right w:val="single" w:color="000000" w:sz="4" w:space="0"/>
            </w:tcBorders>
            <w:vAlign w:val="bottom"/>
          </w:tcPr>
          <w:p w14:paraId="4A9D2284">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auto" w:sz="4" w:space="0"/>
              <w:left w:val="single" w:color="000000" w:sz="4" w:space="0"/>
              <w:bottom w:val="single" w:color="000000" w:sz="4" w:space="0"/>
              <w:right w:val="single" w:color="000000" w:sz="4" w:space="0"/>
            </w:tcBorders>
            <w:vAlign w:val="bottom"/>
          </w:tcPr>
          <w:p w14:paraId="1CEB160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205420E4">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413C42A7">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732AB87">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05CDFA97">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57EA0D1B">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4D6F654F">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1AF1626">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513CB07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31093F45">
        <w:tblPrEx>
          <w:tblCellMar>
            <w:top w:w="0" w:type="dxa"/>
            <w:left w:w="110" w:type="dxa"/>
            <w:bottom w:w="46" w:type="dxa"/>
            <w:right w:w="60" w:type="dxa"/>
          </w:tblCellMar>
        </w:tblPrEx>
        <w:trPr>
          <w:trHeight w:val="556"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67972737">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0632AC6">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4969AE7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495DE31F">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25B80D8C">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0D7B6424">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3874963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836116A">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4E2F64AB">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7D57419">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1176BB4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3F7C8F94">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29A83987">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516EC847">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05DAB2E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2CCB47A">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2589CA3A">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7DBF949">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8C961A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6DAE564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51F1EE9">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932E7B7">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35464A93">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5B9DCC36">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477DDB02">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A9BD9D4">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E56C74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71C6B52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6700480">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6CF5F958">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0611503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29C49FDA">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0EF6E524">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818B9E6">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39DF22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6F7650B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171BE66E">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CBDFDB1">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9D8CCCE">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2B358498">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3FC77CDE">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0D912F8">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01EC5C1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5DA0214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1C9C2EA6">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1DDC6B10">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77660AC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24F18B4">
        <w:tblPrEx>
          <w:tblCellMar>
            <w:top w:w="0" w:type="dxa"/>
            <w:left w:w="110" w:type="dxa"/>
            <w:bottom w:w="46" w:type="dxa"/>
            <w:right w:w="60" w:type="dxa"/>
          </w:tblCellMar>
        </w:tblPrEx>
        <w:trPr>
          <w:trHeight w:val="564"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13423C31">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767D18A">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199CF558">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470D174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150B96A8">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11787843">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7BBF1F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bl>
    <w:p w14:paraId="2C15A924">
      <w:pPr>
        <w:spacing w:after="0" w:line="240" w:lineRule="auto"/>
        <w:jc w:val="center"/>
        <w:rPr>
          <w:rFonts w:ascii="仿宋" w:hAnsi="仿宋" w:eastAsia="仿宋" w:cs="Times New Roman"/>
          <w:color w:val="auto"/>
          <w:sz w:val="21"/>
          <w:highlight w:val="none"/>
        </w:rPr>
      </w:pPr>
    </w:p>
    <w:p w14:paraId="45EA41DC">
      <w:pPr>
        <w:spacing w:after="0" w:line="240" w:lineRule="auto"/>
        <w:jc w:val="both"/>
        <w:rPr>
          <w:rFonts w:ascii="仿宋" w:hAnsi="仿宋" w:eastAsia="仿宋" w:cs="Times New Roman"/>
          <w:color w:val="auto"/>
          <w:sz w:val="21"/>
          <w:highlight w:val="none"/>
        </w:rPr>
        <w:sectPr>
          <w:pgSz w:w="15840" w:h="12240" w:orient="landscape"/>
          <w:pgMar w:top="1440" w:right="1440" w:bottom="1440" w:left="1440" w:header="720" w:footer="720" w:gutter="0"/>
          <w:cols w:space="0" w:num="1"/>
        </w:sectPr>
      </w:pPr>
      <w:r>
        <w:rPr>
          <w:rFonts w:ascii="仿宋" w:hAnsi="仿宋" w:eastAsia="仿宋" w:cs="Times New Roman"/>
          <w:color w:val="auto"/>
          <w:sz w:val="21"/>
          <w:highlight w:val="none"/>
        </w:rPr>
        <w:t>注：参选人在本表后附相关业绩（如有）</w:t>
      </w:r>
    </w:p>
    <w:p w14:paraId="77895927">
      <w:pPr>
        <w:pStyle w:val="14"/>
        <w:rPr>
          <w:rFonts w:ascii="仿宋" w:hAnsi="仿宋" w:eastAsia="仿宋" w:cs="Times New Roman"/>
          <w:highlight w:val="none"/>
        </w:rPr>
      </w:pPr>
    </w:p>
    <w:p w14:paraId="74262E45">
      <w:pPr>
        <w:pStyle w:val="6"/>
        <w:spacing w:after="0"/>
        <w:ind w:left="132" w:right="0"/>
        <w:jc w:val="center"/>
        <w:rPr>
          <w:rFonts w:ascii="仿宋" w:hAnsi="仿宋" w:eastAsia="仿宋" w:cs="仿宋_GB2312"/>
          <w:b/>
          <w:bCs/>
          <w:color w:val="auto"/>
          <w:highlight w:val="none"/>
        </w:rPr>
      </w:pPr>
      <w:r>
        <w:rPr>
          <w:rFonts w:ascii="仿宋" w:hAnsi="仿宋" w:eastAsia="仿宋" w:cs="仿宋_GB2312"/>
          <w:b/>
          <w:bCs/>
          <w:color w:val="auto"/>
          <w:highlight w:val="none"/>
        </w:rPr>
        <w:t>（三）信用查询证明</w:t>
      </w:r>
    </w:p>
    <w:p w14:paraId="68D9FBD7">
      <w:pPr>
        <w:pStyle w:val="7"/>
        <w:spacing w:after="0" w:line="360" w:lineRule="auto"/>
        <w:ind w:left="132" w:right="0"/>
        <w:rPr>
          <w:rFonts w:ascii="仿宋" w:hAnsi="仿宋" w:eastAsia="仿宋" w:cs="Times New Roman"/>
          <w:bCs/>
          <w:color w:val="auto"/>
          <w:sz w:val="24"/>
          <w:szCs w:val="21"/>
          <w:highlight w:val="none"/>
        </w:rPr>
      </w:pPr>
    </w:p>
    <w:p w14:paraId="1B54D046">
      <w:pPr>
        <w:pStyle w:val="7"/>
        <w:spacing w:after="0" w:line="360" w:lineRule="auto"/>
        <w:ind w:left="132" w:right="0"/>
        <w:rPr>
          <w:rFonts w:ascii="仿宋" w:hAnsi="仿宋" w:eastAsia="仿宋" w:cs="Times New Roman"/>
          <w:bCs/>
          <w:color w:val="auto"/>
          <w:sz w:val="24"/>
          <w:szCs w:val="21"/>
          <w:highlight w:val="none"/>
        </w:rPr>
      </w:pPr>
      <w:r>
        <w:rPr>
          <w:rFonts w:ascii="仿宋" w:hAnsi="仿宋" w:eastAsia="仿宋" w:cs="Times New Roman"/>
          <w:bCs/>
          <w:color w:val="auto"/>
          <w:sz w:val="24"/>
          <w:szCs w:val="21"/>
          <w:highlight w:val="none"/>
        </w:rPr>
        <w:t>参选人提供通过信用中国网站（www.creditchina.gov.cn）严重失信主体名单</w:t>
      </w:r>
      <w:r>
        <w:rPr>
          <w:rFonts w:hint="eastAsia" w:ascii="仿宋" w:hAnsi="仿宋" w:eastAsia="仿宋" w:cs="Times New Roman"/>
          <w:bCs/>
          <w:color w:val="auto"/>
          <w:sz w:val="24"/>
          <w:szCs w:val="21"/>
          <w:highlight w:val="none"/>
          <w:lang w:val="en-US" w:eastAsia="zh-CN"/>
        </w:rPr>
        <w:t>查询</w:t>
      </w:r>
      <w:r>
        <w:rPr>
          <w:rFonts w:ascii="仿宋" w:hAnsi="仿宋" w:eastAsia="仿宋" w:cs="Times New Roman"/>
          <w:bCs/>
          <w:color w:val="auto"/>
          <w:sz w:val="24"/>
          <w:szCs w:val="21"/>
          <w:highlight w:val="none"/>
        </w:rPr>
        <w:t>、经营</w:t>
      </w:r>
      <w:r>
        <w:rPr>
          <w:rFonts w:hint="eastAsia" w:ascii="仿宋" w:hAnsi="仿宋" w:eastAsia="仿宋" w:cs="Times New Roman"/>
          <w:bCs/>
          <w:color w:val="auto"/>
          <w:sz w:val="24"/>
          <w:szCs w:val="21"/>
          <w:highlight w:val="none"/>
          <w:lang w:eastAsia="zh-CN"/>
        </w:rPr>
        <w:t>（</w:t>
      </w:r>
      <w:r>
        <w:rPr>
          <w:rFonts w:hint="eastAsia" w:ascii="仿宋" w:hAnsi="仿宋" w:eastAsia="仿宋" w:cs="Times New Roman"/>
          <w:bCs/>
          <w:color w:val="auto"/>
          <w:sz w:val="24"/>
          <w:szCs w:val="21"/>
          <w:highlight w:val="none"/>
          <w:lang w:val="en-US" w:eastAsia="zh-CN"/>
        </w:rPr>
        <w:t>活动</w:t>
      </w:r>
      <w:r>
        <w:rPr>
          <w:rFonts w:hint="eastAsia" w:ascii="仿宋" w:hAnsi="仿宋" w:eastAsia="仿宋" w:cs="Times New Roman"/>
          <w:bCs/>
          <w:color w:val="auto"/>
          <w:sz w:val="24"/>
          <w:szCs w:val="21"/>
          <w:highlight w:val="none"/>
          <w:lang w:eastAsia="zh-CN"/>
        </w:rPr>
        <w:t>）</w:t>
      </w:r>
      <w:r>
        <w:rPr>
          <w:rFonts w:ascii="仿宋" w:hAnsi="仿宋" w:eastAsia="仿宋" w:cs="Times New Roman"/>
          <w:bCs/>
          <w:color w:val="auto"/>
          <w:sz w:val="24"/>
          <w:szCs w:val="21"/>
          <w:highlight w:val="none"/>
        </w:rPr>
        <w:t>异常名录查询、失信被执行人查询、重大税收违法失信主体</w:t>
      </w:r>
      <w:r>
        <w:rPr>
          <w:rFonts w:hint="eastAsia" w:ascii="仿宋" w:hAnsi="仿宋" w:eastAsia="仿宋" w:cs="Times New Roman"/>
          <w:bCs/>
          <w:color w:val="auto"/>
          <w:sz w:val="24"/>
          <w:szCs w:val="21"/>
          <w:highlight w:val="none"/>
          <w:lang w:val="en-US" w:eastAsia="zh-CN"/>
        </w:rPr>
        <w:t>名单</w:t>
      </w:r>
      <w:r>
        <w:rPr>
          <w:rFonts w:ascii="仿宋" w:hAnsi="仿宋" w:eastAsia="仿宋" w:cs="Times New Roman"/>
          <w:bCs/>
          <w:color w:val="auto"/>
          <w:sz w:val="24"/>
          <w:szCs w:val="21"/>
          <w:highlight w:val="none"/>
        </w:rPr>
        <w:t>查询的截图。</w:t>
      </w:r>
    </w:p>
    <w:p w14:paraId="374D386D">
      <w:pPr>
        <w:pStyle w:val="7"/>
        <w:spacing w:after="0" w:line="360" w:lineRule="auto"/>
        <w:ind w:left="132" w:right="0"/>
        <w:rPr>
          <w:rFonts w:ascii="仿宋" w:hAnsi="仿宋" w:eastAsia="仿宋" w:cs="Times New Roman"/>
          <w:b/>
          <w:color w:val="auto"/>
          <w:highlight w:val="none"/>
        </w:rPr>
      </w:pPr>
    </w:p>
    <w:p w14:paraId="2FD15EC2">
      <w:pPr>
        <w:rPr>
          <w:rFonts w:ascii="仿宋" w:hAnsi="仿宋" w:eastAsia="仿宋" w:cs="Times New Roman"/>
          <w:b/>
          <w:color w:val="auto"/>
          <w:highlight w:val="none"/>
        </w:rPr>
      </w:pPr>
      <w:r>
        <w:rPr>
          <w:rFonts w:ascii="仿宋" w:hAnsi="仿宋" w:eastAsia="仿宋" w:cs="Times New Roman"/>
          <w:b/>
          <w:color w:val="auto"/>
          <w:highlight w:val="none"/>
        </w:rPr>
        <w:br w:type="page"/>
      </w:r>
    </w:p>
    <w:p w14:paraId="6AB952B0">
      <w:pPr>
        <w:pStyle w:val="7"/>
        <w:spacing w:after="0" w:line="360" w:lineRule="auto"/>
        <w:ind w:left="0" w:right="0"/>
        <w:jc w:val="center"/>
        <w:rPr>
          <w:rFonts w:ascii="仿宋" w:hAnsi="仿宋" w:eastAsia="仿宋" w:cs="Times New Roman"/>
          <w:b/>
          <w:color w:val="auto"/>
          <w:highlight w:val="none"/>
        </w:rPr>
        <w:sectPr>
          <w:pgSz w:w="12240" w:h="15840"/>
          <w:pgMar w:top="1440" w:right="1440" w:bottom="1440" w:left="1440" w:header="720" w:footer="720" w:gutter="0"/>
          <w:cols w:space="720" w:num="1"/>
        </w:sectPr>
      </w:pPr>
      <w:bookmarkStart w:id="60" w:name="_Toc123681"/>
    </w:p>
    <w:p w14:paraId="75CE10A6">
      <w:pPr>
        <w:pStyle w:val="6"/>
        <w:spacing w:after="0"/>
        <w:ind w:left="122" w:right="0" w:firstLine="0"/>
        <w:jc w:val="center"/>
        <w:rPr>
          <w:rFonts w:ascii="仿宋" w:hAnsi="仿宋" w:eastAsia="仿宋" w:cs="仿宋_GB2312"/>
          <w:b/>
          <w:bCs/>
          <w:color w:val="auto"/>
          <w:highlight w:val="none"/>
        </w:rPr>
      </w:pPr>
      <w:r>
        <w:rPr>
          <w:rFonts w:hint="eastAsia" w:ascii="仿宋" w:hAnsi="仿宋" w:eastAsia="仿宋" w:cs="仿宋_GB2312"/>
          <w:b/>
          <w:bCs/>
          <w:color w:val="auto"/>
          <w:highlight w:val="none"/>
        </w:rPr>
        <w:t>（四）</w:t>
      </w:r>
      <w:r>
        <w:rPr>
          <w:rFonts w:ascii="仿宋" w:hAnsi="仿宋" w:eastAsia="仿宋" w:cs="仿宋_GB2312"/>
          <w:b/>
          <w:bCs/>
          <w:color w:val="auto"/>
          <w:highlight w:val="none"/>
        </w:rPr>
        <w:t xml:space="preserve">拟委任的主要人员汇总表 </w:t>
      </w:r>
      <w:bookmarkEnd w:id="60"/>
    </w:p>
    <w:p w14:paraId="77BD3003">
      <w:pPr>
        <w:spacing w:line="240" w:lineRule="exact"/>
        <w:jc w:val="distribute"/>
        <w:rPr>
          <w:rFonts w:ascii="仿宋" w:hAnsi="仿宋" w:eastAsia="仿宋"/>
          <w:highlight w:val="none"/>
        </w:rPr>
      </w:pPr>
    </w:p>
    <w:tbl>
      <w:tblPr>
        <w:tblStyle w:val="30"/>
        <w:tblW w:w="13218" w:type="dxa"/>
        <w:jc w:val="center"/>
        <w:tblLayout w:type="fixed"/>
        <w:tblCellMar>
          <w:top w:w="0" w:type="dxa"/>
          <w:left w:w="110" w:type="dxa"/>
          <w:bottom w:w="46" w:type="dxa"/>
          <w:right w:w="60" w:type="dxa"/>
        </w:tblCellMar>
      </w:tblPr>
      <w:tblGrid>
        <w:gridCol w:w="832"/>
        <w:gridCol w:w="1587"/>
        <w:gridCol w:w="1529"/>
        <w:gridCol w:w="2471"/>
        <w:gridCol w:w="1019"/>
        <w:gridCol w:w="1201"/>
        <w:gridCol w:w="1165"/>
        <w:gridCol w:w="1217"/>
        <w:gridCol w:w="2197"/>
      </w:tblGrid>
      <w:tr w14:paraId="200E0BC3">
        <w:tblPrEx>
          <w:tblCellMar>
            <w:top w:w="0" w:type="dxa"/>
            <w:left w:w="110" w:type="dxa"/>
            <w:bottom w:w="46" w:type="dxa"/>
            <w:right w:w="60" w:type="dxa"/>
          </w:tblCellMar>
        </w:tblPrEx>
        <w:trPr>
          <w:trHeight w:val="529" w:hRule="atLeast"/>
          <w:jc w:val="center"/>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14:paraId="5845EE0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序</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号</w:t>
            </w:r>
          </w:p>
        </w:tc>
        <w:tc>
          <w:tcPr>
            <w:tcW w:w="1587" w:type="dxa"/>
            <w:vMerge w:val="restart"/>
            <w:tcBorders>
              <w:top w:val="single" w:color="000000" w:sz="4" w:space="0"/>
              <w:left w:val="single" w:color="000000" w:sz="4" w:space="0"/>
              <w:bottom w:val="single" w:color="000000" w:sz="4" w:space="0"/>
              <w:right w:val="single" w:color="000000" w:sz="4" w:space="0"/>
            </w:tcBorders>
            <w:vAlign w:val="center"/>
          </w:tcPr>
          <w:p w14:paraId="1A4146A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本项目任职</w:t>
            </w:r>
          </w:p>
          <w:p w14:paraId="3C72CCD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w:t>
            </w:r>
            <w:r>
              <w:rPr>
                <w:rFonts w:hint="eastAsia" w:ascii="仿宋" w:hAnsi="仿宋" w:eastAsia="仿宋" w:cs="Times New Roman"/>
                <w:color w:val="auto"/>
                <w:sz w:val="21"/>
                <w:szCs w:val="21"/>
                <w:highlight w:val="none"/>
                <w:lang w:val="en-US" w:eastAsia="zh-CN"/>
              </w:rPr>
              <w:t>项目</w:t>
            </w:r>
            <w:r>
              <w:rPr>
                <w:rFonts w:ascii="仿宋" w:hAnsi="仿宋" w:eastAsia="仿宋" w:cs="Times New Roman"/>
                <w:color w:val="auto"/>
                <w:sz w:val="21"/>
                <w:szCs w:val="21"/>
                <w:highlight w:val="none"/>
              </w:rPr>
              <w:t>负责人/主办律师）</w:t>
            </w:r>
          </w:p>
        </w:tc>
        <w:tc>
          <w:tcPr>
            <w:tcW w:w="1529" w:type="dxa"/>
            <w:vMerge w:val="restart"/>
            <w:tcBorders>
              <w:top w:val="single" w:color="000000" w:sz="4" w:space="0"/>
              <w:left w:val="single" w:color="000000" w:sz="4" w:space="0"/>
              <w:bottom w:val="single" w:color="000000" w:sz="4" w:space="0"/>
              <w:right w:val="single" w:color="000000" w:sz="4" w:space="0"/>
            </w:tcBorders>
            <w:vAlign w:val="center"/>
          </w:tcPr>
          <w:p w14:paraId="1ED7D88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姓</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名</w:t>
            </w:r>
          </w:p>
        </w:tc>
        <w:tc>
          <w:tcPr>
            <w:tcW w:w="2471" w:type="dxa"/>
            <w:vMerge w:val="restart"/>
            <w:tcBorders>
              <w:top w:val="single" w:color="000000" w:sz="4" w:space="0"/>
              <w:left w:val="single" w:color="000000" w:sz="4" w:space="0"/>
              <w:bottom w:val="single" w:color="000000" w:sz="4" w:space="0"/>
              <w:right w:val="single" w:color="000000" w:sz="4" w:space="0"/>
            </w:tcBorders>
            <w:vAlign w:val="center"/>
          </w:tcPr>
          <w:p w14:paraId="3E2B571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pacing w:val="-11"/>
                <w:sz w:val="21"/>
                <w:szCs w:val="21"/>
                <w:highlight w:val="none"/>
              </w:rPr>
              <w:t>学历</w:t>
            </w:r>
            <w:r>
              <w:rPr>
                <w:rFonts w:hint="eastAsia" w:ascii="仿宋" w:hAnsi="仿宋" w:eastAsia="仿宋" w:cs="Times New Roman"/>
                <w:color w:val="auto"/>
                <w:spacing w:val="-11"/>
                <w:sz w:val="21"/>
                <w:szCs w:val="21"/>
                <w:highlight w:val="none"/>
                <w:lang w:eastAsia="zh-CN"/>
              </w:rPr>
              <w:t>（以</w:t>
            </w:r>
            <w:r>
              <w:rPr>
                <w:rFonts w:ascii="仿宋" w:hAnsi="仿宋" w:eastAsia="仿宋" w:cs="Times New Roman"/>
                <w:color w:val="auto"/>
                <w:spacing w:val="-11"/>
                <w:sz w:val="21"/>
                <w:szCs w:val="21"/>
                <w:highlight w:val="none"/>
              </w:rPr>
              <w:t>最高学历</w:t>
            </w:r>
            <w:r>
              <w:rPr>
                <w:rFonts w:hint="eastAsia" w:ascii="仿宋" w:hAnsi="仿宋" w:eastAsia="仿宋" w:cs="Times New Roman"/>
                <w:color w:val="auto"/>
                <w:spacing w:val="-11"/>
                <w:sz w:val="21"/>
                <w:szCs w:val="21"/>
                <w:highlight w:val="none"/>
                <w:lang w:val="en-US" w:eastAsia="zh-CN"/>
              </w:rPr>
              <w:t>为</w:t>
            </w:r>
            <w:r>
              <w:rPr>
                <w:rFonts w:ascii="仿宋" w:hAnsi="仿宋" w:eastAsia="仿宋" w:cs="Times New Roman"/>
                <w:color w:val="auto"/>
                <w:spacing w:val="-11"/>
                <w:sz w:val="21"/>
                <w:szCs w:val="21"/>
                <w:highlight w:val="none"/>
              </w:rPr>
              <w:t>准）</w:t>
            </w:r>
          </w:p>
        </w:tc>
        <w:tc>
          <w:tcPr>
            <w:tcW w:w="1019" w:type="dxa"/>
            <w:vMerge w:val="restart"/>
            <w:tcBorders>
              <w:top w:val="single" w:color="000000" w:sz="4" w:space="0"/>
              <w:left w:val="single" w:color="000000" w:sz="4" w:space="0"/>
              <w:bottom w:val="single" w:color="000000" w:sz="4" w:space="0"/>
              <w:right w:val="single" w:color="000000" w:sz="4" w:space="0"/>
            </w:tcBorders>
            <w:vAlign w:val="center"/>
          </w:tcPr>
          <w:p w14:paraId="5F2A570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业</w:t>
            </w:r>
          </w:p>
        </w:tc>
        <w:tc>
          <w:tcPr>
            <w:tcW w:w="5780" w:type="dxa"/>
            <w:gridSpan w:val="4"/>
            <w:tcBorders>
              <w:top w:val="single" w:color="000000" w:sz="4" w:space="0"/>
              <w:left w:val="single" w:color="000000" w:sz="4" w:space="0"/>
              <w:bottom w:val="single" w:color="000000" w:sz="4" w:space="0"/>
              <w:right w:val="single" w:color="000000" w:sz="4" w:space="0"/>
            </w:tcBorders>
            <w:vAlign w:val="center"/>
          </w:tcPr>
          <w:p w14:paraId="2DA1A19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执业资格及荣誉证书</w:t>
            </w:r>
          </w:p>
        </w:tc>
      </w:tr>
      <w:tr w14:paraId="709F885A">
        <w:tblPrEx>
          <w:tblCellMar>
            <w:top w:w="0" w:type="dxa"/>
            <w:left w:w="110" w:type="dxa"/>
            <w:bottom w:w="46" w:type="dxa"/>
            <w:right w:w="60" w:type="dxa"/>
          </w:tblCellMar>
        </w:tblPrEx>
        <w:trPr>
          <w:trHeight w:val="756" w:hRule="atLeast"/>
          <w:jc w:val="center"/>
        </w:trPr>
        <w:tc>
          <w:tcPr>
            <w:tcW w:w="832" w:type="dxa"/>
            <w:vMerge w:val="continue"/>
            <w:tcBorders>
              <w:top w:val="nil"/>
              <w:left w:val="single" w:color="000000" w:sz="4" w:space="0"/>
              <w:bottom w:val="single" w:color="000000" w:sz="4" w:space="0"/>
              <w:right w:val="single" w:color="000000" w:sz="4" w:space="0"/>
            </w:tcBorders>
            <w:vAlign w:val="center"/>
          </w:tcPr>
          <w:p w14:paraId="5E14115A">
            <w:pPr>
              <w:spacing w:after="0" w:line="320" w:lineRule="exact"/>
              <w:jc w:val="center"/>
              <w:rPr>
                <w:rFonts w:ascii="仿宋" w:hAnsi="仿宋" w:eastAsia="仿宋" w:cs="Times New Roman"/>
                <w:color w:val="auto"/>
                <w:sz w:val="21"/>
                <w:szCs w:val="21"/>
                <w:highlight w:val="none"/>
              </w:rPr>
            </w:pPr>
          </w:p>
        </w:tc>
        <w:tc>
          <w:tcPr>
            <w:tcW w:w="1587" w:type="dxa"/>
            <w:vMerge w:val="continue"/>
            <w:tcBorders>
              <w:top w:val="nil"/>
              <w:left w:val="single" w:color="000000" w:sz="4" w:space="0"/>
              <w:bottom w:val="single" w:color="000000" w:sz="4" w:space="0"/>
              <w:right w:val="single" w:color="000000" w:sz="4" w:space="0"/>
            </w:tcBorders>
            <w:vAlign w:val="center"/>
          </w:tcPr>
          <w:p w14:paraId="666CDFDB">
            <w:pPr>
              <w:spacing w:after="0" w:line="320" w:lineRule="exact"/>
              <w:jc w:val="center"/>
              <w:rPr>
                <w:rFonts w:ascii="仿宋" w:hAnsi="仿宋" w:eastAsia="仿宋" w:cs="Times New Roman"/>
                <w:color w:val="auto"/>
                <w:sz w:val="21"/>
                <w:szCs w:val="21"/>
                <w:highlight w:val="none"/>
              </w:rPr>
            </w:pPr>
          </w:p>
        </w:tc>
        <w:tc>
          <w:tcPr>
            <w:tcW w:w="1529" w:type="dxa"/>
            <w:vMerge w:val="continue"/>
            <w:tcBorders>
              <w:top w:val="nil"/>
              <w:left w:val="single" w:color="000000" w:sz="4" w:space="0"/>
              <w:bottom w:val="single" w:color="000000" w:sz="4" w:space="0"/>
              <w:right w:val="single" w:color="000000" w:sz="4" w:space="0"/>
            </w:tcBorders>
            <w:vAlign w:val="center"/>
          </w:tcPr>
          <w:p w14:paraId="402D4BBA">
            <w:pPr>
              <w:spacing w:after="0" w:line="320" w:lineRule="exact"/>
              <w:jc w:val="center"/>
              <w:rPr>
                <w:rFonts w:ascii="仿宋" w:hAnsi="仿宋" w:eastAsia="仿宋" w:cs="Times New Roman"/>
                <w:color w:val="auto"/>
                <w:sz w:val="21"/>
                <w:szCs w:val="21"/>
                <w:highlight w:val="none"/>
              </w:rPr>
            </w:pPr>
          </w:p>
        </w:tc>
        <w:tc>
          <w:tcPr>
            <w:tcW w:w="2471" w:type="dxa"/>
            <w:vMerge w:val="continue"/>
            <w:tcBorders>
              <w:top w:val="nil"/>
              <w:left w:val="single" w:color="000000" w:sz="4" w:space="0"/>
              <w:bottom w:val="single" w:color="000000" w:sz="4" w:space="0"/>
              <w:right w:val="single" w:color="000000" w:sz="4" w:space="0"/>
            </w:tcBorders>
            <w:vAlign w:val="center"/>
          </w:tcPr>
          <w:p w14:paraId="449F6AE2">
            <w:pPr>
              <w:spacing w:after="0" w:line="320" w:lineRule="exact"/>
              <w:jc w:val="center"/>
              <w:rPr>
                <w:rFonts w:ascii="仿宋" w:hAnsi="仿宋" w:eastAsia="仿宋" w:cs="Times New Roman"/>
                <w:color w:val="auto"/>
                <w:sz w:val="21"/>
                <w:szCs w:val="21"/>
                <w:highlight w:val="none"/>
              </w:rPr>
            </w:pPr>
          </w:p>
        </w:tc>
        <w:tc>
          <w:tcPr>
            <w:tcW w:w="1019" w:type="dxa"/>
            <w:vMerge w:val="continue"/>
            <w:tcBorders>
              <w:top w:val="nil"/>
              <w:left w:val="single" w:color="000000" w:sz="4" w:space="0"/>
              <w:bottom w:val="single" w:color="000000" w:sz="4" w:space="0"/>
              <w:right w:val="single" w:color="000000" w:sz="4" w:space="0"/>
            </w:tcBorders>
            <w:vAlign w:val="center"/>
          </w:tcPr>
          <w:p w14:paraId="00420DAB">
            <w:pPr>
              <w:spacing w:after="0" w:line="320" w:lineRule="exact"/>
              <w:jc w:val="center"/>
              <w:rPr>
                <w:rFonts w:ascii="仿宋" w:hAnsi="仿宋" w:eastAsia="仿宋" w:cs="Times New Roman"/>
                <w:color w:val="auto"/>
                <w:sz w:val="21"/>
                <w:szCs w:val="21"/>
                <w:highlight w:val="none"/>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3A59DAD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证书名称</w:t>
            </w:r>
          </w:p>
        </w:tc>
        <w:tc>
          <w:tcPr>
            <w:tcW w:w="1165" w:type="dxa"/>
            <w:tcBorders>
              <w:top w:val="single" w:color="000000" w:sz="4" w:space="0"/>
              <w:left w:val="single" w:color="000000" w:sz="4" w:space="0"/>
              <w:bottom w:val="single" w:color="000000" w:sz="4" w:space="0"/>
              <w:right w:val="single" w:color="000000" w:sz="4" w:space="0"/>
            </w:tcBorders>
            <w:vAlign w:val="center"/>
          </w:tcPr>
          <w:p w14:paraId="04ABFFA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执业年限</w:t>
            </w:r>
          </w:p>
        </w:tc>
        <w:tc>
          <w:tcPr>
            <w:tcW w:w="1217" w:type="dxa"/>
            <w:tcBorders>
              <w:top w:val="single" w:color="000000" w:sz="4" w:space="0"/>
              <w:left w:val="single" w:color="000000" w:sz="4" w:space="0"/>
              <w:bottom w:val="single" w:color="000000" w:sz="4" w:space="0"/>
              <w:right w:val="single" w:color="000000" w:sz="4" w:space="0"/>
            </w:tcBorders>
            <w:vAlign w:val="center"/>
          </w:tcPr>
          <w:p w14:paraId="54F4F7D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荣誉名称</w:t>
            </w:r>
          </w:p>
        </w:tc>
        <w:tc>
          <w:tcPr>
            <w:tcW w:w="2197" w:type="dxa"/>
            <w:tcBorders>
              <w:top w:val="single" w:color="000000" w:sz="4" w:space="0"/>
              <w:left w:val="single" w:color="000000" w:sz="4" w:space="0"/>
              <w:bottom w:val="single" w:color="000000" w:sz="4" w:space="0"/>
              <w:right w:val="single" w:color="000000" w:sz="4" w:space="0"/>
            </w:tcBorders>
            <w:vAlign w:val="center"/>
          </w:tcPr>
          <w:p w14:paraId="137B18D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荣誉证书发证单位</w:t>
            </w:r>
          </w:p>
        </w:tc>
      </w:tr>
      <w:tr w14:paraId="5588474D">
        <w:tblPrEx>
          <w:tblCellMar>
            <w:top w:w="0" w:type="dxa"/>
            <w:left w:w="110" w:type="dxa"/>
            <w:bottom w:w="46" w:type="dxa"/>
            <w:right w:w="60" w:type="dxa"/>
          </w:tblCellMar>
        </w:tblPrEx>
        <w:trPr>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37D935BB">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317495D5">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375AA68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39330BAA">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39978F2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316FC04D">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00B54107">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69A977B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9C9E216">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5E7AC646">
        <w:tblPrEx>
          <w:tblCellMar>
            <w:top w:w="0" w:type="dxa"/>
            <w:left w:w="110" w:type="dxa"/>
            <w:bottom w:w="46" w:type="dxa"/>
            <w:right w:w="60" w:type="dxa"/>
          </w:tblCellMar>
        </w:tblPrEx>
        <w:trPr>
          <w:trHeight w:val="527"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31D36BFA">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5D7F8544">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5D1A916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250528FF">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2A054DE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543BC7E0">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06181581">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1761355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7F55A72B">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73670F02">
        <w:tblPrEx>
          <w:tblCellMar>
            <w:top w:w="0" w:type="dxa"/>
            <w:left w:w="110" w:type="dxa"/>
            <w:bottom w:w="46" w:type="dxa"/>
            <w:right w:w="60" w:type="dxa"/>
          </w:tblCellMar>
        </w:tblPrEx>
        <w:trPr>
          <w:trHeight w:val="530"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28AB1B55">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3F5EF567">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2320EA0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5C92E745">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2716EAE5">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4D38302C">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516DF307">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7C74969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82CFC67">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380E91B0">
        <w:tblPrEx>
          <w:tblCellMar>
            <w:top w:w="0" w:type="dxa"/>
            <w:left w:w="110" w:type="dxa"/>
            <w:bottom w:w="46" w:type="dxa"/>
            <w:right w:w="60" w:type="dxa"/>
          </w:tblCellMar>
        </w:tblPrEx>
        <w:trPr>
          <w:trHeight w:val="527"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563D821F">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45C86C13">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29B8C20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08D61A45">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2588A52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08DEFD19">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6FFF5505">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45EE7C15">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05E31EF">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CD651A2">
        <w:tblPrEx>
          <w:tblCellMar>
            <w:top w:w="0" w:type="dxa"/>
            <w:left w:w="110" w:type="dxa"/>
            <w:bottom w:w="46" w:type="dxa"/>
            <w:right w:w="60" w:type="dxa"/>
          </w:tblCellMar>
        </w:tblPrEx>
        <w:trPr>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7C7E9DA9">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3F3CDD0A">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42C9958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102C9A8C">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19AF090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07ABBF0B">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70385138">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3177764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B9BC0D5">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74E9AFEB">
        <w:tblPrEx>
          <w:tblCellMar>
            <w:top w:w="0" w:type="dxa"/>
            <w:left w:w="110" w:type="dxa"/>
            <w:bottom w:w="46" w:type="dxa"/>
            <w:right w:w="60" w:type="dxa"/>
          </w:tblCellMar>
        </w:tblPrEx>
        <w:trPr>
          <w:trHeight w:val="527"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2B35ACB4">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577FB376">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7EA8DBEF">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29C838B0">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77425AE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507B15A1">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15055FC">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222FB26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091268D">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39353005">
        <w:tblPrEx>
          <w:tblCellMar>
            <w:top w:w="0" w:type="dxa"/>
            <w:left w:w="110" w:type="dxa"/>
            <w:bottom w:w="46" w:type="dxa"/>
            <w:right w:w="60" w:type="dxa"/>
          </w:tblCellMar>
        </w:tblPrEx>
        <w:trPr>
          <w:trHeight w:val="540"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6BD8E445">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79EBB891">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45B4858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17D09490">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3AE87EA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66F858F6">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3AD6390B">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0EA9FE6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D68D193">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D74B43A">
        <w:tblPrEx>
          <w:tblCellMar>
            <w:top w:w="0" w:type="dxa"/>
            <w:left w:w="110" w:type="dxa"/>
            <w:bottom w:w="46" w:type="dxa"/>
            <w:right w:w="60" w:type="dxa"/>
          </w:tblCellMar>
        </w:tblPrEx>
        <w:trPr>
          <w:trHeight w:val="527"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3FB66082">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70248351">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6896DA98">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6E9BC7F6">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1D6A1A3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13A9F563">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709343AB">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3F7760AB">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6D6A6D8">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0FE56E3B">
        <w:tblPrEx>
          <w:tblCellMar>
            <w:top w:w="0" w:type="dxa"/>
            <w:left w:w="110" w:type="dxa"/>
            <w:bottom w:w="46" w:type="dxa"/>
            <w:right w:w="60" w:type="dxa"/>
          </w:tblCellMar>
        </w:tblPrEx>
        <w:trPr>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3CB891B4">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50253B6D">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6FE7833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33B79B4C">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6F562CD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5E9B52AD">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FC9D9EF">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19E1AB3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5C5DA3D">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5D3E8209">
        <w:tblPrEx>
          <w:tblCellMar>
            <w:top w:w="0" w:type="dxa"/>
            <w:left w:w="110" w:type="dxa"/>
            <w:bottom w:w="46" w:type="dxa"/>
            <w:right w:w="60" w:type="dxa"/>
          </w:tblCellMar>
        </w:tblPrEx>
        <w:trPr>
          <w:trHeight w:val="538"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6991B9D9">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7666E0C3">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471CCD1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02A4BA12">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3017ACA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245DF8A1">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ADAE1F7">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161EA0D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619CD40">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bl>
    <w:p w14:paraId="281B8C4E">
      <w:pPr>
        <w:pStyle w:val="7"/>
        <w:spacing w:after="0" w:line="360" w:lineRule="auto"/>
        <w:ind w:left="132" w:right="0"/>
        <w:jc w:val="center"/>
        <w:rPr>
          <w:rFonts w:ascii="仿宋" w:hAnsi="仿宋" w:eastAsia="仿宋" w:cs="Times New Roman"/>
          <w:b/>
          <w:color w:val="auto"/>
          <w:highlight w:val="none"/>
        </w:rPr>
        <w:sectPr>
          <w:pgSz w:w="15840" w:h="12240" w:orient="landscape"/>
          <w:pgMar w:top="1440" w:right="1440" w:bottom="1440" w:left="1440" w:header="720" w:footer="720" w:gutter="0"/>
          <w:cols w:space="0" w:num="1"/>
        </w:sectPr>
      </w:pPr>
    </w:p>
    <w:bookmarkEnd w:id="59"/>
    <w:p w14:paraId="765AD977">
      <w:pPr>
        <w:pStyle w:val="6"/>
        <w:spacing w:after="0"/>
        <w:ind w:left="0" w:right="0" w:firstLine="0"/>
        <w:jc w:val="center"/>
        <w:rPr>
          <w:rFonts w:ascii="仿宋" w:hAnsi="仿宋" w:eastAsia="仿宋" w:cs="仿宋_GB2312"/>
          <w:b/>
          <w:bCs/>
          <w:color w:val="auto"/>
          <w:highlight w:val="none"/>
        </w:rPr>
      </w:pPr>
      <w:r>
        <w:rPr>
          <w:rFonts w:hint="eastAsia" w:ascii="仿宋" w:hAnsi="仿宋" w:eastAsia="仿宋" w:cs="仿宋_GB2312"/>
          <w:b/>
          <w:bCs/>
          <w:color w:val="auto"/>
          <w:highlight w:val="none"/>
        </w:rPr>
        <w:t>（五）</w:t>
      </w:r>
      <w:r>
        <w:rPr>
          <w:rFonts w:ascii="仿宋" w:hAnsi="仿宋" w:eastAsia="仿宋" w:cs="仿宋_GB2312"/>
          <w:b/>
          <w:bCs/>
          <w:color w:val="auto"/>
          <w:highlight w:val="none"/>
        </w:rPr>
        <w:t>拟派律师简历表</w:t>
      </w:r>
    </w:p>
    <w:p w14:paraId="5741F63F">
      <w:pPr>
        <w:spacing w:line="240" w:lineRule="exact"/>
        <w:jc w:val="distribute"/>
        <w:rPr>
          <w:rFonts w:ascii="仿宋" w:hAnsi="仿宋" w:eastAsia="仿宋"/>
          <w:highlight w:val="none"/>
        </w:rPr>
      </w:pPr>
    </w:p>
    <w:tbl>
      <w:tblPr>
        <w:tblStyle w:val="30"/>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302"/>
        <w:gridCol w:w="1358"/>
        <w:gridCol w:w="719"/>
        <w:gridCol w:w="928"/>
        <w:gridCol w:w="931"/>
        <w:gridCol w:w="1921"/>
      </w:tblGrid>
      <w:tr w14:paraId="2BCF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155A65F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姓    名</w:t>
            </w:r>
          </w:p>
        </w:tc>
        <w:tc>
          <w:tcPr>
            <w:tcW w:w="2660" w:type="dxa"/>
            <w:gridSpan w:val="2"/>
            <w:vAlign w:val="center"/>
          </w:tcPr>
          <w:p w14:paraId="4A27CE4E">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73094DB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拟任职</w:t>
            </w:r>
          </w:p>
        </w:tc>
        <w:tc>
          <w:tcPr>
            <w:tcW w:w="2852" w:type="dxa"/>
            <w:gridSpan w:val="2"/>
            <w:vAlign w:val="center"/>
          </w:tcPr>
          <w:p w14:paraId="6F56717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项目负责人/</w:t>
            </w:r>
            <w:r>
              <w:rPr>
                <w:rFonts w:hint="eastAsia" w:ascii="仿宋" w:hAnsi="仿宋" w:eastAsia="仿宋" w:cs="Times New Roman"/>
                <w:color w:val="auto"/>
                <w:sz w:val="21"/>
                <w:szCs w:val="21"/>
                <w:highlight w:val="none"/>
                <w:lang w:val="en-US" w:eastAsia="zh-CN"/>
              </w:rPr>
              <w:t>主办</w:t>
            </w:r>
            <w:r>
              <w:rPr>
                <w:rFonts w:ascii="仿宋" w:hAnsi="仿宋" w:eastAsia="仿宋" w:cs="Times New Roman"/>
                <w:color w:val="auto"/>
                <w:sz w:val="21"/>
                <w:szCs w:val="21"/>
                <w:highlight w:val="none"/>
              </w:rPr>
              <w:t>律师</w:t>
            </w:r>
          </w:p>
        </w:tc>
      </w:tr>
      <w:tr w14:paraId="0D96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12AF195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身份证号</w:t>
            </w:r>
          </w:p>
        </w:tc>
        <w:tc>
          <w:tcPr>
            <w:tcW w:w="2660" w:type="dxa"/>
            <w:gridSpan w:val="2"/>
            <w:vAlign w:val="center"/>
          </w:tcPr>
          <w:p w14:paraId="5E8A5078">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28789E4E">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从业年限</w:t>
            </w:r>
          </w:p>
          <w:p w14:paraId="551B787C">
            <w:pPr>
              <w:pStyle w:val="2"/>
              <w:ind w:left="0" w:leftChars="0" w:firstLine="0" w:firstLineChars="0"/>
              <w:rPr>
                <w:rFonts w:hint="eastAsia" w:eastAsia="仿宋"/>
                <w:lang w:eastAsia="zh-CN"/>
              </w:rPr>
            </w:pPr>
            <w:r>
              <w:rPr>
                <w:rFonts w:hint="eastAsia" w:ascii="仿宋" w:hAnsi="仿宋" w:eastAsia="仿宋" w:cs="Times New Roman"/>
                <w:color w:val="auto"/>
                <w:sz w:val="21"/>
                <w:szCs w:val="21"/>
                <w:highlight w:val="none"/>
                <w:lang w:eastAsia="zh-CN"/>
              </w:rPr>
              <w:t>（</w:t>
            </w:r>
            <w:r>
              <w:rPr>
                <w:rFonts w:hint="eastAsia" w:ascii="仿宋" w:hAnsi="仿宋" w:eastAsia="仿宋" w:cs="Times New Roman"/>
                <w:color w:val="auto"/>
                <w:sz w:val="21"/>
                <w:szCs w:val="21"/>
                <w:highlight w:val="none"/>
                <w:lang w:val="en-US" w:eastAsia="zh-CN"/>
              </w:rPr>
              <w:t>XX年XX月</w:t>
            </w:r>
            <w:r>
              <w:rPr>
                <w:rFonts w:hint="eastAsia" w:ascii="仿宋" w:hAnsi="仿宋" w:eastAsia="仿宋" w:cs="Times New Roman"/>
                <w:color w:val="auto"/>
                <w:sz w:val="21"/>
                <w:szCs w:val="21"/>
                <w:highlight w:val="none"/>
                <w:lang w:eastAsia="zh-CN"/>
              </w:rPr>
              <w:t>）</w:t>
            </w:r>
          </w:p>
        </w:tc>
        <w:tc>
          <w:tcPr>
            <w:tcW w:w="2852" w:type="dxa"/>
            <w:gridSpan w:val="2"/>
            <w:vAlign w:val="center"/>
          </w:tcPr>
          <w:p w14:paraId="33F53D1C">
            <w:pPr>
              <w:spacing w:after="0" w:line="320" w:lineRule="exact"/>
              <w:jc w:val="center"/>
              <w:rPr>
                <w:rFonts w:ascii="仿宋" w:hAnsi="仿宋" w:eastAsia="仿宋" w:cs="Times New Roman"/>
                <w:color w:val="auto"/>
                <w:sz w:val="21"/>
                <w:szCs w:val="21"/>
                <w:highlight w:val="none"/>
              </w:rPr>
            </w:pPr>
          </w:p>
        </w:tc>
      </w:tr>
      <w:tr w14:paraId="01C5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064631F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专业职称</w:t>
            </w:r>
          </w:p>
        </w:tc>
        <w:tc>
          <w:tcPr>
            <w:tcW w:w="2660" w:type="dxa"/>
            <w:gridSpan w:val="2"/>
            <w:vAlign w:val="center"/>
          </w:tcPr>
          <w:p w14:paraId="2CB1D2E3">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2F041207">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专业学历</w:t>
            </w:r>
          </w:p>
        </w:tc>
        <w:tc>
          <w:tcPr>
            <w:tcW w:w="2852" w:type="dxa"/>
            <w:gridSpan w:val="2"/>
            <w:vAlign w:val="center"/>
          </w:tcPr>
          <w:p w14:paraId="2EFF133F">
            <w:pPr>
              <w:spacing w:after="0" w:line="320" w:lineRule="exact"/>
              <w:jc w:val="center"/>
              <w:rPr>
                <w:rFonts w:ascii="仿宋" w:hAnsi="仿宋" w:eastAsia="仿宋" w:cs="Times New Roman"/>
                <w:color w:val="auto"/>
                <w:sz w:val="21"/>
                <w:szCs w:val="21"/>
                <w:highlight w:val="none"/>
              </w:rPr>
            </w:pPr>
          </w:p>
        </w:tc>
      </w:tr>
      <w:tr w14:paraId="6C33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652C5538">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执业资格</w:t>
            </w:r>
          </w:p>
        </w:tc>
        <w:tc>
          <w:tcPr>
            <w:tcW w:w="2660" w:type="dxa"/>
            <w:gridSpan w:val="2"/>
            <w:vAlign w:val="center"/>
          </w:tcPr>
          <w:p w14:paraId="525F5C1D">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2F02A2D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执业编号</w:t>
            </w:r>
          </w:p>
        </w:tc>
        <w:tc>
          <w:tcPr>
            <w:tcW w:w="2852" w:type="dxa"/>
            <w:gridSpan w:val="2"/>
            <w:vAlign w:val="center"/>
          </w:tcPr>
          <w:p w14:paraId="57A176ED">
            <w:pPr>
              <w:spacing w:after="0" w:line="320" w:lineRule="exact"/>
              <w:jc w:val="center"/>
              <w:rPr>
                <w:rFonts w:ascii="仿宋" w:hAnsi="仿宋" w:eastAsia="仿宋" w:cs="Times New Roman"/>
                <w:color w:val="auto"/>
                <w:sz w:val="21"/>
                <w:szCs w:val="21"/>
                <w:highlight w:val="none"/>
              </w:rPr>
            </w:pPr>
          </w:p>
        </w:tc>
      </w:tr>
      <w:tr w14:paraId="2C83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10445CA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执业单位</w:t>
            </w:r>
          </w:p>
        </w:tc>
        <w:tc>
          <w:tcPr>
            <w:tcW w:w="7159" w:type="dxa"/>
            <w:gridSpan w:val="6"/>
            <w:vAlign w:val="center"/>
          </w:tcPr>
          <w:p w14:paraId="30C5FE5A">
            <w:pPr>
              <w:spacing w:after="0" w:line="320" w:lineRule="exact"/>
              <w:jc w:val="center"/>
              <w:rPr>
                <w:rFonts w:ascii="仿宋" w:hAnsi="仿宋" w:eastAsia="仿宋" w:cs="Times New Roman"/>
                <w:color w:val="auto"/>
                <w:sz w:val="21"/>
                <w:szCs w:val="21"/>
                <w:highlight w:val="none"/>
              </w:rPr>
            </w:pPr>
          </w:p>
        </w:tc>
      </w:tr>
      <w:tr w14:paraId="739C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477CD98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毕业院校</w:t>
            </w:r>
          </w:p>
        </w:tc>
        <w:tc>
          <w:tcPr>
            <w:tcW w:w="7159" w:type="dxa"/>
            <w:gridSpan w:val="6"/>
            <w:vAlign w:val="center"/>
          </w:tcPr>
          <w:p w14:paraId="73C25B2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年毕业于            学校        专业</w:t>
            </w:r>
          </w:p>
        </w:tc>
      </w:tr>
      <w:tr w14:paraId="1526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1FED7AE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所获荣誉</w:t>
            </w:r>
          </w:p>
          <w:p w14:paraId="55A8E94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（含所获荣誉级别及名称）</w:t>
            </w:r>
          </w:p>
        </w:tc>
        <w:tc>
          <w:tcPr>
            <w:tcW w:w="7159" w:type="dxa"/>
            <w:gridSpan w:val="6"/>
            <w:vAlign w:val="center"/>
          </w:tcPr>
          <w:p w14:paraId="1B14B500">
            <w:pPr>
              <w:spacing w:after="0" w:line="320" w:lineRule="exact"/>
              <w:jc w:val="center"/>
              <w:rPr>
                <w:rFonts w:ascii="仿宋" w:hAnsi="仿宋" w:eastAsia="仿宋" w:cs="Times New Roman"/>
                <w:color w:val="auto"/>
                <w:sz w:val="21"/>
                <w:szCs w:val="21"/>
                <w:highlight w:val="none"/>
              </w:rPr>
            </w:pPr>
          </w:p>
        </w:tc>
      </w:tr>
      <w:tr w14:paraId="2C0F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98" w:type="dxa"/>
            <w:gridSpan w:val="7"/>
            <w:vAlign w:val="center"/>
          </w:tcPr>
          <w:p w14:paraId="3E43A47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类似项目的业绩（如有）</w:t>
            </w:r>
          </w:p>
        </w:tc>
      </w:tr>
      <w:tr w14:paraId="5E4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3141" w:type="dxa"/>
            <w:gridSpan w:val="2"/>
            <w:vAlign w:val="center"/>
          </w:tcPr>
          <w:p w14:paraId="6729E85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项目名称</w:t>
            </w:r>
          </w:p>
        </w:tc>
        <w:tc>
          <w:tcPr>
            <w:tcW w:w="2077" w:type="dxa"/>
            <w:gridSpan w:val="2"/>
            <w:vAlign w:val="center"/>
          </w:tcPr>
          <w:p w14:paraId="7C4D3A8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标的金额</w:t>
            </w:r>
          </w:p>
        </w:tc>
        <w:tc>
          <w:tcPr>
            <w:tcW w:w="1859" w:type="dxa"/>
            <w:gridSpan w:val="2"/>
            <w:vAlign w:val="center"/>
          </w:tcPr>
          <w:p w14:paraId="0EBE7E1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案件结果/阶段</w:t>
            </w:r>
          </w:p>
        </w:tc>
        <w:tc>
          <w:tcPr>
            <w:tcW w:w="1921" w:type="dxa"/>
            <w:vAlign w:val="center"/>
          </w:tcPr>
          <w:p w14:paraId="30834DD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发包人</w:t>
            </w:r>
          </w:p>
        </w:tc>
      </w:tr>
      <w:tr w14:paraId="264B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1E372704">
            <w:pPr>
              <w:widowControl w:val="0"/>
              <w:spacing w:after="0" w:line="480" w:lineRule="exact"/>
              <w:jc w:val="both"/>
              <w:rPr>
                <w:rFonts w:ascii="仿宋" w:hAnsi="仿宋" w:eastAsia="仿宋" w:cs="Times New Roman"/>
                <w:sz w:val="24"/>
                <w:szCs w:val="20"/>
                <w:highlight w:val="none"/>
              </w:rPr>
            </w:pPr>
          </w:p>
        </w:tc>
        <w:tc>
          <w:tcPr>
            <w:tcW w:w="2077" w:type="dxa"/>
            <w:gridSpan w:val="2"/>
            <w:vAlign w:val="center"/>
          </w:tcPr>
          <w:p w14:paraId="3C2ED1BE">
            <w:pPr>
              <w:widowControl w:val="0"/>
              <w:spacing w:after="0" w:line="480" w:lineRule="exact"/>
              <w:jc w:val="both"/>
              <w:rPr>
                <w:rFonts w:ascii="仿宋" w:hAnsi="仿宋" w:eastAsia="仿宋" w:cs="Times New Roman"/>
                <w:sz w:val="24"/>
                <w:szCs w:val="20"/>
                <w:highlight w:val="none"/>
              </w:rPr>
            </w:pPr>
          </w:p>
        </w:tc>
        <w:tc>
          <w:tcPr>
            <w:tcW w:w="1859" w:type="dxa"/>
            <w:gridSpan w:val="2"/>
            <w:vAlign w:val="center"/>
          </w:tcPr>
          <w:p w14:paraId="731D9733">
            <w:pPr>
              <w:widowControl w:val="0"/>
              <w:spacing w:after="0" w:line="480" w:lineRule="exact"/>
              <w:jc w:val="both"/>
              <w:rPr>
                <w:rFonts w:ascii="仿宋" w:hAnsi="仿宋" w:eastAsia="仿宋" w:cs="Times New Roman"/>
                <w:sz w:val="24"/>
                <w:szCs w:val="20"/>
                <w:highlight w:val="none"/>
              </w:rPr>
            </w:pPr>
          </w:p>
        </w:tc>
        <w:tc>
          <w:tcPr>
            <w:tcW w:w="1921" w:type="dxa"/>
            <w:vAlign w:val="center"/>
          </w:tcPr>
          <w:p w14:paraId="2C3DEE1A">
            <w:pPr>
              <w:widowControl w:val="0"/>
              <w:spacing w:after="0" w:line="480" w:lineRule="exact"/>
              <w:jc w:val="both"/>
              <w:rPr>
                <w:rFonts w:ascii="仿宋" w:hAnsi="仿宋" w:eastAsia="仿宋" w:cs="Times New Roman"/>
                <w:sz w:val="24"/>
                <w:szCs w:val="20"/>
                <w:highlight w:val="none"/>
              </w:rPr>
            </w:pPr>
          </w:p>
        </w:tc>
      </w:tr>
      <w:tr w14:paraId="010A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6F7E8FBF">
            <w:pPr>
              <w:widowControl w:val="0"/>
              <w:spacing w:after="0" w:line="480" w:lineRule="exact"/>
              <w:jc w:val="both"/>
              <w:rPr>
                <w:rFonts w:ascii="仿宋" w:hAnsi="仿宋" w:eastAsia="仿宋" w:cs="Times New Roman"/>
                <w:sz w:val="24"/>
                <w:szCs w:val="20"/>
                <w:highlight w:val="none"/>
              </w:rPr>
            </w:pPr>
          </w:p>
        </w:tc>
        <w:tc>
          <w:tcPr>
            <w:tcW w:w="2077" w:type="dxa"/>
            <w:gridSpan w:val="2"/>
            <w:vAlign w:val="center"/>
          </w:tcPr>
          <w:p w14:paraId="110A97ED">
            <w:pPr>
              <w:widowControl w:val="0"/>
              <w:spacing w:after="0" w:line="480" w:lineRule="exact"/>
              <w:jc w:val="both"/>
              <w:rPr>
                <w:rFonts w:ascii="仿宋" w:hAnsi="仿宋" w:eastAsia="仿宋" w:cs="Times New Roman"/>
                <w:sz w:val="24"/>
                <w:szCs w:val="20"/>
                <w:highlight w:val="none"/>
              </w:rPr>
            </w:pPr>
          </w:p>
        </w:tc>
        <w:tc>
          <w:tcPr>
            <w:tcW w:w="1859" w:type="dxa"/>
            <w:gridSpan w:val="2"/>
            <w:vAlign w:val="center"/>
          </w:tcPr>
          <w:p w14:paraId="30736A5B">
            <w:pPr>
              <w:widowControl w:val="0"/>
              <w:spacing w:after="0" w:line="480" w:lineRule="exact"/>
              <w:jc w:val="both"/>
              <w:rPr>
                <w:rFonts w:ascii="仿宋" w:hAnsi="仿宋" w:eastAsia="仿宋" w:cs="Times New Roman"/>
                <w:sz w:val="24"/>
                <w:szCs w:val="20"/>
                <w:highlight w:val="none"/>
              </w:rPr>
            </w:pPr>
          </w:p>
        </w:tc>
        <w:tc>
          <w:tcPr>
            <w:tcW w:w="1921" w:type="dxa"/>
            <w:vAlign w:val="center"/>
          </w:tcPr>
          <w:p w14:paraId="44C8F377">
            <w:pPr>
              <w:widowControl w:val="0"/>
              <w:spacing w:after="0" w:line="480" w:lineRule="exact"/>
              <w:jc w:val="both"/>
              <w:rPr>
                <w:rFonts w:ascii="仿宋" w:hAnsi="仿宋" w:eastAsia="仿宋" w:cs="Times New Roman"/>
                <w:sz w:val="24"/>
                <w:szCs w:val="20"/>
                <w:highlight w:val="none"/>
              </w:rPr>
            </w:pPr>
          </w:p>
        </w:tc>
      </w:tr>
      <w:tr w14:paraId="5887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tcPr>
          <w:p w14:paraId="31D9810A">
            <w:pPr>
              <w:widowControl w:val="0"/>
              <w:spacing w:after="0" w:line="480" w:lineRule="exact"/>
              <w:jc w:val="both"/>
              <w:rPr>
                <w:rFonts w:ascii="仿宋" w:hAnsi="仿宋" w:eastAsia="仿宋" w:cs="Times New Roman"/>
                <w:sz w:val="24"/>
                <w:szCs w:val="20"/>
                <w:highlight w:val="none"/>
              </w:rPr>
            </w:pPr>
          </w:p>
        </w:tc>
        <w:tc>
          <w:tcPr>
            <w:tcW w:w="2077" w:type="dxa"/>
            <w:gridSpan w:val="2"/>
          </w:tcPr>
          <w:p w14:paraId="62783B90">
            <w:pPr>
              <w:widowControl w:val="0"/>
              <w:spacing w:after="0" w:line="480" w:lineRule="exact"/>
              <w:jc w:val="both"/>
              <w:rPr>
                <w:rFonts w:ascii="仿宋" w:hAnsi="仿宋" w:eastAsia="仿宋" w:cs="Times New Roman"/>
                <w:sz w:val="24"/>
                <w:szCs w:val="20"/>
                <w:highlight w:val="none"/>
              </w:rPr>
            </w:pPr>
          </w:p>
        </w:tc>
        <w:tc>
          <w:tcPr>
            <w:tcW w:w="1859" w:type="dxa"/>
            <w:gridSpan w:val="2"/>
          </w:tcPr>
          <w:p w14:paraId="14C70278">
            <w:pPr>
              <w:widowControl w:val="0"/>
              <w:spacing w:after="0" w:line="480" w:lineRule="exact"/>
              <w:jc w:val="both"/>
              <w:rPr>
                <w:rFonts w:ascii="仿宋" w:hAnsi="仿宋" w:eastAsia="仿宋" w:cs="Times New Roman"/>
                <w:sz w:val="24"/>
                <w:szCs w:val="20"/>
                <w:highlight w:val="none"/>
              </w:rPr>
            </w:pPr>
          </w:p>
        </w:tc>
        <w:tc>
          <w:tcPr>
            <w:tcW w:w="1921" w:type="dxa"/>
          </w:tcPr>
          <w:p w14:paraId="63731F27">
            <w:pPr>
              <w:widowControl w:val="0"/>
              <w:spacing w:after="0" w:line="480" w:lineRule="exact"/>
              <w:jc w:val="both"/>
              <w:rPr>
                <w:rFonts w:ascii="仿宋" w:hAnsi="仿宋" w:eastAsia="仿宋" w:cs="Times New Roman"/>
                <w:sz w:val="24"/>
                <w:szCs w:val="20"/>
                <w:highlight w:val="none"/>
              </w:rPr>
            </w:pPr>
          </w:p>
        </w:tc>
      </w:tr>
      <w:tr w14:paraId="52E1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3141" w:type="dxa"/>
            <w:gridSpan w:val="2"/>
          </w:tcPr>
          <w:p w14:paraId="5EEB8383">
            <w:pPr>
              <w:widowControl w:val="0"/>
              <w:spacing w:after="0" w:line="480" w:lineRule="exact"/>
              <w:jc w:val="both"/>
              <w:rPr>
                <w:rFonts w:ascii="仿宋" w:hAnsi="仿宋" w:eastAsia="仿宋" w:cs="Times New Roman"/>
                <w:sz w:val="24"/>
                <w:szCs w:val="20"/>
                <w:highlight w:val="none"/>
              </w:rPr>
            </w:pPr>
          </w:p>
        </w:tc>
        <w:tc>
          <w:tcPr>
            <w:tcW w:w="2077" w:type="dxa"/>
            <w:gridSpan w:val="2"/>
          </w:tcPr>
          <w:p w14:paraId="0D6CE82A">
            <w:pPr>
              <w:widowControl w:val="0"/>
              <w:spacing w:after="0" w:line="480" w:lineRule="exact"/>
              <w:jc w:val="both"/>
              <w:rPr>
                <w:rFonts w:ascii="仿宋" w:hAnsi="仿宋" w:eastAsia="仿宋" w:cs="Times New Roman"/>
                <w:sz w:val="24"/>
                <w:szCs w:val="20"/>
                <w:highlight w:val="none"/>
              </w:rPr>
            </w:pPr>
          </w:p>
        </w:tc>
        <w:tc>
          <w:tcPr>
            <w:tcW w:w="1859" w:type="dxa"/>
            <w:gridSpan w:val="2"/>
          </w:tcPr>
          <w:p w14:paraId="1DA125C8">
            <w:pPr>
              <w:widowControl w:val="0"/>
              <w:spacing w:after="0" w:line="480" w:lineRule="exact"/>
              <w:jc w:val="both"/>
              <w:rPr>
                <w:rFonts w:ascii="仿宋" w:hAnsi="仿宋" w:eastAsia="仿宋" w:cs="Times New Roman"/>
                <w:sz w:val="24"/>
                <w:szCs w:val="20"/>
                <w:highlight w:val="none"/>
              </w:rPr>
            </w:pPr>
          </w:p>
        </w:tc>
        <w:tc>
          <w:tcPr>
            <w:tcW w:w="1921" w:type="dxa"/>
          </w:tcPr>
          <w:p w14:paraId="5336350C">
            <w:pPr>
              <w:widowControl w:val="0"/>
              <w:spacing w:after="0" w:line="480" w:lineRule="exact"/>
              <w:jc w:val="both"/>
              <w:rPr>
                <w:rFonts w:ascii="仿宋" w:hAnsi="仿宋" w:eastAsia="仿宋" w:cs="Times New Roman"/>
                <w:sz w:val="24"/>
                <w:szCs w:val="20"/>
                <w:highlight w:val="none"/>
              </w:rPr>
            </w:pPr>
          </w:p>
        </w:tc>
      </w:tr>
    </w:tbl>
    <w:p w14:paraId="3732F5BE">
      <w:pPr>
        <w:ind w:firstLine="220" w:firstLineChars="100"/>
        <w:rPr>
          <w:rFonts w:ascii="仿宋" w:hAnsi="仿宋" w:eastAsia="仿宋" w:cs="Times New Roman"/>
          <w:color w:val="auto"/>
          <w:highlight w:val="none"/>
        </w:rPr>
      </w:pPr>
      <w:r>
        <w:rPr>
          <w:rFonts w:ascii="仿宋" w:hAnsi="仿宋" w:eastAsia="仿宋" w:cs="Times New Roman"/>
          <w:color w:val="auto"/>
          <w:highlight w:val="none"/>
        </w:rPr>
        <w:t>注：参选人应在本表后附律师执业证、业绩证明（如有）、荣誉证书（如有）。</w:t>
      </w:r>
    </w:p>
    <w:p w14:paraId="203C7D8C">
      <w:pPr>
        <w:rPr>
          <w:rFonts w:ascii="仿宋" w:hAnsi="仿宋" w:eastAsia="仿宋" w:cs="Times New Roman"/>
          <w:color w:val="auto"/>
          <w:highlight w:val="none"/>
        </w:rPr>
      </w:pPr>
      <w:r>
        <w:rPr>
          <w:rFonts w:ascii="仿宋" w:hAnsi="仿宋" w:eastAsia="仿宋" w:cs="Times New Roman"/>
          <w:color w:val="auto"/>
          <w:highlight w:val="none"/>
        </w:rPr>
        <w:br w:type="page"/>
      </w:r>
    </w:p>
    <w:p w14:paraId="005B7524">
      <w:pPr>
        <w:pStyle w:val="5"/>
        <w:spacing w:after="0" w:line="360" w:lineRule="auto"/>
        <w:ind w:left="0" w:right="0" w:firstLine="0"/>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五</w:t>
      </w:r>
      <w:r>
        <w:rPr>
          <w:rFonts w:ascii="仿宋" w:hAnsi="仿宋" w:eastAsia="仿宋" w:cs="Times New Roman"/>
          <w:color w:val="auto"/>
          <w:sz w:val="32"/>
          <w:szCs w:val="32"/>
          <w:highlight w:val="none"/>
        </w:rPr>
        <w:t>、保密承诺书</w:t>
      </w:r>
    </w:p>
    <w:p w14:paraId="5F9BFD1E">
      <w:pPr>
        <w:widowControl w:val="0"/>
        <w:adjustRightInd w:val="0"/>
        <w:spacing w:after="0" w:line="440" w:lineRule="exact"/>
        <w:ind w:left="602" w:hanging="602" w:hangingChars="200"/>
        <w:jc w:val="center"/>
        <w:textAlignment w:val="baseline"/>
        <w:rPr>
          <w:rFonts w:ascii="仿宋" w:hAnsi="仿宋" w:eastAsia="仿宋" w:cs="Times New Roman"/>
          <w:b/>
          <w:kern w:val="0"/>
          <w:sz w:val="30"/>
          <w:szCs w:val="30"/>
          <w:highlight w:val="none"/>
        </w:rPr>
      </w:pPr>
    </w:p>
    <w:p w14:paraId="02BB7C72">
      <w:pPr>
        <w:adjustRightInd w:val="0"/>
        <w:snapToGrid w:val="0"/>
        <w:spacing w:after="0" w:line="440" w:lineRule="exact"/>
        <w:jc w:val="both"/>
        <w:rPr>
          <w:rFonts w:ascii="仿宋" w:hAnsi="仿宋" w:eastAsia="仿宋" w:cs="Times New Roman"/>
          <w:sz w:val="24"/>
          <w:szCs w:val="24"/>
          <w:highlight w:val="none"/>
        </w:rPr>
      </w:pPr>
      <w:r>
        <w:rPr>
          <w:rFonts w:ascii="仿宋" w:hAnsi="仿宋" w:eastAsia="仿宋" w:cs="Times New Roman"/>
          <w:sz w:val="24"/>
          <w:szCs w:val="24"/>
          <w:highlight w:val="none"/>
        </w:rPr>
        <w:t>四川蜀物兴川物流发展有限公司：</w:t>
      </w:r>
    </w:p>
    <w:p w14:paraId="46DAF0C5">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就四川蜀物兴川物流发展有限公司</w:t>
      </w:r>
      <w:r>
        <w:rPr>
          <w:rFonts w:hint="eastAsia" w:ascii="仿宋" w:hAnsi="仿宋" w:eastAsia="仿宋" w:cs="Times New Roman"/>
          <w:sz w:val="24"/>
          <w:szCs w:val="24"/>
          <w:highlight w:val="none"/>
        </w:rPr>
        <w:t>关于与四川省某国有企业买卖合同纠纷法律服务项目</w:t>
      </w:r>
      <w:r>
        <w:rPr>
          <w:rFonts w:ascii="仿宋" w:hAnsi="仿宋" w:eastAsia="仿宋" w:cs="Times New Roman"/>
          <w:sz w:val="24"/>
          <w:szCs w:val="24"/>
          <w:highlight w:val="none"/>
        </w:rPr>
        <w:t>，我方特做如下保密承诺：</w:t>
      </w:r>
    </w:p>
    <w:p w14:paraId="5F513CE9">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不论项目是否成交，对因上述项目我方所获取的与该项目有关的技术文件以及由比选人提供的所有内部资料、技术文档和信息予以严格保密，并保证不以任何形式（复印或扫描等）进行复制；同时对参与本项目的所有有关人员在使用上述信息、资料文件时进行登记备案；未经比选人书面许可，不以任何形式向第三方透露本项目的任何内容；如我方成交，在后续的合同期间及其结束后，未经比选人书面同意，保证不将与本项目有关的任何资料用于发表和公布，或对外泄露。</w:t>
      </w:r>
    </w:p>
    <w:p w14:paraId="07DC67C6">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一旦发现或有举报我方人员出现泄密或其他违规行为，经证实后我方除对有关责任人员及时予以相应处理外，完全接受比选人的处理意见，并负责承担由此而产生的一切后果与法律责任。</w:t>
      </w:r>
    </w:p>
    <w:p w14:paraId="16C631A5">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如我单位中选，作为专业律师团队，我们将对您的案件进行全面、细致的调查。我们将根据您提供的资料、陈述及相关法律要求进行深入研究，并尽一切努力提供准确、可靠的法律意见。我们将遵循法律、道德和职业规范，为您争取最大的利益。</w:t>
      </w:r>
    </w:p>
    <w:p w14:paraId="7650F2EA">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我们将以高度的责任心和专业精神为贵公司提供法律服务。我们将尽最大努力保证服务交付的及时性和高效性，针对贵公司就本案件的电话咨询，我们承诺</w:t>
      </w:r>
      <w:r>
        <w:rPr>
          <w:rFonts w:hint="eastAsia" w:ascii="仿宋" w:hAnsi="仿宋" w:eastAsia="仿宋" w:cs="Times New Roman"/>
          <w:sz w:val="24"/>
          <w:szCs w:val="24"/>
          <w:highlight w:val="none"/>
          <w:lang w:eastAsia="zh-CN"/>
        </w:rPr>
        <w:t>及时</w:t>
      </w:r>
      <w:r>
        <w:rPr>
          <w:rFonts w:ascii="仿宋" w:hAnsi="仿宋" w:eastAsia="仿宋" w:cs="Times New Roman"/>
          <w:sz w:val="24"/>
          <w:szCs w:val="24"/>
          <w:highlight w:val="none"/>
        </w:rPr>
        <w:t>予以答复；针对贵公司就本案件的书面材料（法律意见书、诉讼相关文书等）我们承诺在48小时内予以反馈。</w:t>
      </w:r>
    </w:p>
    <w:p w14:paraId="4AD62C4B">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特此承诺。</w:t>
      </w:r>
    </w:p>
    <w:p w14:paraId="4B250908">
      <w:pPr>
        <w:adjustRightInd w:val="0"/>
        <w:snapToGrid w:val="0"/>
        <w:spacing w:after="0" w:line="440" w:lineRule="exact"/>
        <w:jc w:val="both"/>
        <w:rPr>
          <w:rFonts w:ascii="仿宋" w:hAnsi="仿宋" w:eastAsia="仿宋" w:cs="Times New Roman"/>
          <w:sz w:val="24"/>
          <w:szCs w:val="24"/>
          <w:highlight w:val="none"/>
        </w:rPr>
      </w:pPr>
    </w:p>
    <w:p w14:paraId="3E54EA0B">
      <w:pPr>
        <w:adjustRightInd w:val="0"/>
        <w:snapToGrid w:val="0"/>
        <w:spacing w:after="0" w:line="440" w:lineRule="exact"/>
        <w:ind w:firstLine="3840" w:firstLineChars="1600"/>
        <w:rPr>
          <w:rFonts w:ascii="仿宋" w:hAnsi="仿宋" w:eastAsia="仿宋" w:cs="Times New Roman"/>
          <w:sz w:val="24"/>
          <w:szCs w:val="24"/>
          <w:highlight w:val="none"/>
          <w:u w:val="single"/>
        </w:rPr>
      </w:pPr>
      <w:r>
        <w:rPr>
          <w:rFonts w:ascii="仿宋" w:hAnsi="仿宋" w:eastAsia="仿宋" w:cs="Times New Roman"/>
          <w:sz w:val="24"/>
          <w:szCs w:val="24"/>
          <w:highlight w:val="none"/>
        </w:rPr>
        <w:t>承诺人(参选人名称)</w:t>
      </w:r>
      <w:r>
        <w:rPr>
          <w:rFonts w:hint="eastAsia" w:ascii="仿宋" w:hAnsi="仿宋" w:eastAsia="仿宋" w:cs="Times New Roman"/>
          <w:sz w:val="24"/>
          <w:szCs w:val="24"/>
          <w:highlight w:val="none"/>
          <w:lang w:eastAsia="zh-CN"/>
        </w:rPr>
        <w:t>：</w:t>
      </w:r>
      <w:r>
        <w:rPr>
          <w:rFonts w:hint="eastAsia" w:ascii="仿宋" w:hAnsi="仿宋" w:eastAsia="仿宋" w:cs="Times New Roman"/>
          <w:sz w:val="24"/>
          <w:szCs w:val="24"/>
          <w:highlight w:val="none"/>
          <w:u w:val="single"/>
          <w:lang w:val="en-US" w:eastAsia="zh-CN"/>
        </w:rPr>
        <w:t xml:space="preserve">                </w:t>
      </w:r>
      <w:r>
        <w:rPr>
          <w:rFonts w:ascii="仿宋" w:hAnsi="仿宋" w:eastAsia="仿宋" w:cs="Times New Roman"/>
          <w:sz w:val="24"/>
          <w:szCs w:val="24"/>
          <w:highlight w:val="none"/>
          <w:u w:val="single"/>
        </w:rPr>
        <w:t xml:space="preserve">（盖章）        </w:t>
      </w:r>
    </w:p>
    <w:p w14:paraId="6D4D6A30">
      <w:pPr>
        <w:widowControl w:val="0"/>
        <w:snapToGrid w:val="0"/>
        <w:spacing w:after="0" w:line="440" w:lineRule="exact"/>
        <w:ind w:firstLine="6240" w:firstLineChars="2600"/>
        <w:jc w:val="both"/>
        <w:rPr>
          <w:rFonts w:ascii="仿宋" w:hAnsi="仿宋" w:eastAsia="仿宋" w:cs="Times New Roman"/>
          <w:sz w:val="24"/>
          <w:szCs w:val="24"/>
          <w:highlight w:val="none"/>
        </w:rPr>
      </w:pPr>
      <w:r>
        <w:rPr>
          <w:rFonts w:ascii="仿宋" w:hAnsi="仿宋" w:eastAsia="仿宋" w:cs="Times New Roman"/>
          <w:sz w:val="24"/>
          <w:szCs w:val="24"/>
          <w:highlight w:val="none"/>
        </w:rPr>
        <w:t>202</w:t>
      </w:r>
      <w:r>
        <w:rPr>
          <w:rFonts w:hint="eastAsia" w:ascii="仿宋" w:hAnsi="仿宋" w:eastAsia="仿宋" w:cs="Times New Roman"/>
          <w:sz w:val="24"/>
          <w:szCs w:val="24"/>
          <w:highlight w:val="none"/>
          <w:lang w:val="en-US" w:eastAsia="zh-CN"/>
        </w:rPr>
        <w:t>6</w:t>
      </w:r>
      <w:r>
        <w:rPr>
          <w:rFonts w:ascii="仿宋" w:hAnsi="仿宋" w:eastAsia="仿宋" w:cs="Times New Roman"/>
          <w:sz w:val="24"/>
          <w:szCs w:val="24"/>
          <w:highlight w:val="none"/>
        </w:rPr>
        <w:t>年   月   日</w:t>
      </w:r>
    </w:p>
    <w:p w14:paraId="00B47A5B">
      <w:pPr>
        <w:spacing w:after="0" w:line="440" w:lineRule="exact"/>
        <w:rPr>
          <w:rFonts w:ascii="仿宋" w:hAnsi="仿宋" w:eastAsia="仿宋" w:cs="Times New Roman"/>
          <w:sz w:val="24"/>
          <w:szCs w:val="20"/>
          <w:highlight w:val="none"/>
        </w:rPr>
      </w:pPr>
      <w:r>
        <w:rPr>
          <w:rFonts w:ascii="仿宋" w:hAnsi="仿宋" w:eastAsia="仿宋" w:cs="Times New Roman"/>
          <w:sz w:val="24"/>
          <w:szCs w:val="20"/>
          <w:highlight w:val="none"/>
        </w:rPr>
        <w:br w:type="page"/>
      </w:r>
    </w:p>
    <w:p w14:paraId="604A918F">
      <w:pPr>
        <w:pStyle w:val="5"/>
        <w:spacing w:after="0" w:line="360" w:lineRule="auto"/>
        <w:ind w:left="0" w:right="0" w:firstLine="0"/>
        <w:jc w:val="center"/>
        <w:rPr>
          <w:rFonts w:hint="eastAsia" w:ascii="仿宋" w:hAnsi="仿宋" w:eastAsia="仿宋" w:cs="Times New Roman"/>
          <w:color w:val="auto"/>
          <w:sz w:val="32"/>
          <w:szCs w:val="32"/>
          <w:highlight w:val="none"/>
          <w:lang w:val="en-US" w:eastAsia="zh-CN"/>
        </w:rPr>
        <w:sectPr>
          <w:pgSz w:w="12240" w:h="15840"/>
          <w:pgMar w:top="2098" w:right="1474" w:bottom="1984" w:left="1587" w:header="720" w:footer="720" w:gutter="0"/>
          <w:cols w:space="720" w:num="1"/>
        </w:sectPr>
      </w:pPr>
    </w:p>
    <w:p w14:paraId="221F4D65">
      <w:pPr>
        <w:pStyle w:val="5"/>
        <w:numPr>
          <w:ilvl w:val="0"/>
          <w:numId w:val="0"/>
        </w:numPr>
        <w:spacing w:after="0" w:line="360" w:lineRule="auto"/>
        <w:ind w:leftChars="0" w:right="0" w:rightChars="0"/>
        <w:jc w:val="center"/>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六、承诺函</w:t>
      </w:r>
    </w:p>
    <w:p w14:paraId="60D4F808">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default"/>
          <w:lang w:val="en-US" w:eastAsia="zh-CN"/>
        </w:rPr>
      </w:pPr>
    </w:p>
    <w:p w14:paraId="4FB4E2BF">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四川蜀物兴川物流发展有限公司：</w:t>
      </w:r>
    </w:p>
    <w:p w14:paraId="7A58F686">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（参选人名称） </w:t>
      </w:r>
      <w:r>
        <w:rPr>
          <w:rFonts w:hint="eastAsia" w:ascii="仿宋_GB2312" w:hAnsi="仿宋_GB2312" w:eastAsia="仿宋_GB2312" w:cs="仿宋_GB2312"/>
          <w:sz w:val="28"/>
          <w:szCs w:val="28"/>
          <w:lang w:val="en-US" w:eastAsia="zh-CN"/>
        </w:rPr>
        <w:t>参加“四川蜀物兴川物流发展有限公司关于与四川省某国有企业买卖合同纠纷法律服务项目”比选活动，做出以下承诺：</w:t>
      </w:r>
    </w:p>
    <w:p w14:paraId="2DEA18C0">
      <w:pPr>
        <w:keepNext w:val="0"/>
        <w:keepLines w:val="0"/>
        <w:pageBreakBefore w:val="0"/>
        <w:widowControl/>
        <w:numPr>
          <w:ilvl w:val="0"/>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kern w:val="2"/>
          <w:sz w:val="28"/>
          <w:szCs w:val="28"/>
          <w:lang w:val="en-US" w:eastAsia="zh-CN" w:bidi="ar-SA"/>
        </w:rPr>
        <w:t>1.</w:t>
      </w:r>
      <w:r>
        <w:rPr>
          <w:rFonts w:hint="eastAsia" w:ascii="仿宋_GB2312" w:hAnsi="仿宋_GB2312" w:eastAsia="仿宋_GB2312" w:cs="仿宋_GB2312"/>
          <w:sz w:val="28"/>
          <w:szCs w:val="28"/>
          <w:u w:val="single"/>
          <w:lang w:val="en-US" w:eastAsia="zh-CN"/>
        </w:rPr>
        <w:t xml:space="preserve">（参选人名称） </w:t>
      </w:r>
      <w:r>
        <w:rPr>
          <w:rFonts w:hint="eastAsia" w:ascii="仿宋_GB2312" w:hAnsi="仿宋_GB2312" w:eastAsia="仿宋_GB2312" w:cs="仿宋_GB2312"/>
          <w:sz w:val="28"/>
          <w:szCs w:val="28"/>
          <w:lang w:val="en-US" w:eastAsia="zh-CN"/>
        </w:rPr>
        <w:t>没有处于参选禁入期内，参加本次比选活动前三年内，在经营活动中没有重大违法记录；</w:t>
      </w:r>
    </w:p>
    <w:p w14:paraId="53CB8927">
      <w:pPr>
        <w:keepNext w:val="0"/>
        <w:keepLines w:val="0"/>
        <w:pageBreakBefore w:val="0"/>
        <w:widowControl/>
        <w:numPr>
          <w:ilvl w:val="0"/>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kern w:val="2"/>
          <w:sz w:val="28"/>
          <w:szCs w:val="28"/>
          <w:lang w:val="en-US" w:eastAsia="zh-CN" w:bidi="ar-SA"/>
        </w:rPr>
        <w:t>2.</w:t>
      </w:r>
      <w:r>
        <w:rPr>
          <w:rFonts w:hint="eastAsia" w:ascii="仿宋_GB2312" w:hAnsi="仿宋_GB2312" w:eastAsia="仿宋_GB2312" w:cs="仿宋_GB2312"/>
          <w:sz w:val="28"/>
          <w:szCs w:val="28"/>
          <w:u w:val="single"/>
          <w:lang w:val="en-US" w:eastAsia="zh-CN"/>
        </w:rPr>
        <w:t xml:space="preserve">（参选人名称） </w:t>
      </w:r>
      <w:r>
        <w:rPr>
          <w:rFonts w:hint="eastAsia" w:ascii="仿宋_GB2312" w:hAnsi="仿宋_GB2312" w:eastAsia="仿宋_GB2312" w:cs="仿宋_GB2312"/>
          <w:sz w:val="28"/>
          <w:szCs w:val="28"/>
          <w:lang w:val="en-US" w:eastAsia="zh-CN"/>
        </w:rPr>
        <w:t>及团队成员无刑事犯罪记录。近3年内未受过纪律处分、行政处罚或行业处分。</w:t>
      </w:r>
    </w:p>
    <w:p w14:paraId="43D31A06">
      <w:pPr>
        <w:keepNext w:val="0"/>
        <w:keepLines w:val="0"/>
        <w:pageBreakBefore w:val="0"/>
        <w:widowControl/>
        <w:numPr>
          <w:ilvl w:val="-1"/>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u w:val="single"/>
          <w:lang w:val="en-US" w:eastAsia="zh-CN"/>
        </w:rPr>
        <w:t xml:space="preserve">（参选人名称） </w:t>
      </w:r>
      <w:r>
        <w:rPr>
          <w:rFonts w:hint="eastAsia" w:ascii="仿宋_GB2312" w:hAnsi="仿宋_GB2312" w:eastAsia="仿宋_GB2312" w:cs="仿宋_GB2312"/>
          <w:sz w:val="28"/>
          <w:szCs w:val="28"/>
          <w:lang w:val="en-US" w:eastAsia="zh-CN"/>
        </w:rPr>
        <w:t>具有与本比选项目相应的法律服务能力，并指派至少3名符合项目需求的专职执业律师承办本案。</w:t>
      </w:r>
    </w:p>
    <w:p w14:paraId="1103AE6B">
      <w:pPr>
        <w:keepNext w:val="0"/>
        <w:keepLines w:val="0"/>
        <w:pageBreakBefore w:val="0"/>
        <w:widowControl/>
        <w:numPr>
          <w:ilvl w:val="-1"/>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u w:val="single"/>
          <w:lang w:val="en-US" w:eastAsia="zh-CN"/>
        </w:rPr>
        <w:t xml:space="preserve">（参选人名称） </w:t>
      </w:r>
      <w:r>
        <w:rPr>
          <w:rFonts w:hint="eastAsia" w:ascii="仿宋_GB2312" w:hAnsi="仿宋_GB2312" w:eastAsia="仿宋_GB2312" w:cs="仿宋_GB2312"/>
          <w:sz w:val="28"/>
          <w:szCs w:val="28"/>
          <w:lang w:val="en-US" w:eastAsia="zh-CN"/>
        </w:rPr>
        <w:t>比选为非联合体参与。</w:t>
      </w:r>
    </w:p>
    <w:p w14:paraId="04E6BE0D">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lang w:val="en-US" w:eastAsia="zh-CN"/>
        </w:rPr>
      </w:pPr>
    </w:p>
    <w:p w14:paraId="2F69B4BE">
      <w:pPr>
        <w:pStyle w:val="2"/>
        <w:rPr>
          <w:rFonts w:hint="eastAsia"/>
          <w:lang w:val="en-US" w:eastAsia="zh-CN"/>
        </w:rPr>
      </w:pPr>
    </w:p>
    <w:p w14:paraId="210F844B">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lang w:val="en-US" w:eastAsia="zh-CN"/>
        </w:rPr>
      </w:pPr>
    </w:p>
    <w:p w14:paraId="1A5777F3">
      <w:pPr>
        <w:keepNext w:val="0"/>
        <w:keepLines w:val="0"/>
        <w:pageBreakBefore w:val="0"/>
        <w:widowControl/>
        <w:kinsoku/>
        <w:wordWrap/>
        <w:overflowPunct/>
        <w:topLinePunct w:val="0"/>
        <w:autoSpaceDE/>
        <w:autoSpaceDN/>
        <w:bidi w:val="0"/>
        <w:adjustRightInd w:val="0"/>
        <w:snapToGrid w:val="0"/>
        <w:spacing w:after="0" w:line="560" w:lineRule="exact"/>
        <w:ind w:left="3914" w:leftChars="1270" w:hanging="1120" w:hangingChars="400"/>
        <w:textAlignment w:val="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承诺人(参选人名称)</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（盖章）        </w:t>
      </w:r>
    </w:p>
    <w:p w14:paraId="3D24C01A">
      <w:pPr>
        <w:keepNext w:val="0"/>
        <w:keepLines w:val="0"/>
        <w:pageBreakBefore w:val="0"/>
        <w:widowControl/>
        <w:kinsoku/>
        <w:wordWrap/>
        <w:overflowPunct/>
        <w:topLinePunct w:val="0"/>
        <w:autoSpaceDE/>
        <w:autoSpaceDN/>
        <w:bidi w:val="0"/>
        <w:adjustRightInd w:val="0"/>
        <w:snapToGrid w:val="0"/>
        <w:spacing w:after="0" w:line="560" w:lineRule="exact"/>
        <w:ind w:left="3912" w:leftChars="1778" w:firstLine="2800" w:firstLineChars="10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年   月   日</w:t>
      </w:r>
    </w:p>
    <w:p w14:paraId="3AAF1615">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lang w:val="en-US" w:eastAsia="zh-CN"/>
        </w:rPr>
      </w:pPr>
    </w:p>
    <w:p w14:paraId="06B2ADC6">
      <w:pPr>
        <w:keepNext w:val="0"/>
        <w:keepLines w:val="0"/>
        <w:pageBreakBefore w:val="0"/>
        <w:numPr>
          <w:ilvl w:val="0"/>
          <w:numId w:val="0"/>
        </w:numPr>
        <w:kinsoku/>
        <w:wordWrap/>
        <w:overflowPunct/>
        <w:topLinePunct w:val="0"/>
        <w:autoSpaceDE/>
        <w:autoSpaceDN/>
        <w:bidi w:val="0"/>
        <w:spacing w:after="0" w:line="560" w:lineRule="exact"/>
        <w:textAlignment w:val="auto"/>
        <w:rPr>
          <w:rFonts w:hint="eastAsia"/>
          <w:lang w:val="en-US" w:eastAsia="zh-CN"/>
        </w:rPr>
      </w:pPr>
    </w:p>
    <w:p w14:paraId="5D187EB6">
      <w:pPr>
        <w:numPr>
          <w:ilvl w:val="0"/>
          <w:numId w:val="0"/>
        </w:numPr>
        <w:spacing w:after="0" w:line="560" w:lineRule="exact"/>
        <w:rPr>
          <w:rFonts w:hint="default"/>
          <w:lang w:val="en-US" w:eastAsia="zh-CN"/>
        </w:rPr>
        <w:sectPr>
          <w:pgSz w:w="12240" w:h="15840"/>
          <w:pgMar w:top="2098" w:right="1474" w:bottom="1984" w:left="1587" w:header="720" w:footer="720" w:gutter="0"/>
          <w:cols w:space="720" w:num="1"/>
        </w:sectPr>
      </w:pPr>
    </w:p>
    <w:p w14:paraId="18281F10">
      <w:pPr>
        <w:numPr>
          <w:ilvl w:val="0"/>
          <w:numId w:val="0"/>
        </w:numPr>
        <w:rPr>
          <w:rFonts w:hint="default"/>
          <w:lang w:val="en-US" w:eastAsia="zh-CN"/>
        </w:rPr>
      </w:pPr>
    </w:p>
    <w:p w14:paraId="7298AE07">
      <w:pPr>
        <w:pStyle w:val="5"/>
        <w:spacing w:after="0" w:line="360" w:lineRule="auto"/>
        <w:ind w:left="0" w:right="0" w:firstLine="0"/>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七</w:t>
      </w:r>
      <w:r>
        <w:rPr>
          <w:rFonts w:ascii="仿宋" w:hAnsi="仿宋" w:eastAsia="仿宋" w:cs="Times New Roman"/>
          <w:color w:val="auto"/>
          <w:sz w:val="32"/>
          <w:szCs w:val="32"/>
          <w:highlight w:val="none"/>
        </w:rPr>
        <w:t>、服务方案</w:t>
      </w:r>
    </w:p>
    <w:p w14:paraId="4B83FF2B">
      <w:pPr>
        <w:spacing w:after="0" w:line="240" w:lineRule="auto"/>
        <w:jc w:val="center"/>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（格式自拟）</w:t>
      </w:r>
    </w:p>
    <w:p w14:paraId="77EC43A4">
      <w:pPr>
        <w:spacing w:after="0" w:line="240" w:lineRule="auto"/>
        <w:jc w:val="both"/>
        <w:rPr>
          <w:rFonts w:ascii="仿宋" w:hAnsi="仿宋" w:eastAsia="仿宋" w:cs="Times New Roman"/>
          <w:b/>
          <w:bCs/>
          <w:color w:val="auto"/>
          <w:sz w:val="36"/>
          <w:szCs w:val="36"/>
          <w:highlight w:val="none"/>
        </w:rPr>
      </w:pPr>
    </w:p>
    <w:p w14:paraId="6DB05C3E">
      <w:pPr>
        <w:spacing w:after="0" w:line="240" w:lineRule="auto"/>
        <w:jc w:val="both"/>
        <w:rPr>
          <w:rFonts w:ascii="仿宋" w:hAnsi="仿宋" w:eastAsia="仿宋" w:cs="Times New Roman"/>
          <w:b/>
          <w:bCs/>
          <w:color w:val="auto"/>
          <w:sz w:val="36"/>
          <w:szCs w:val="36"/>
          <w:highlight w:val="none"/>
        </w:rPr>
      </w:pPr>
    </w:p>
    <w:p w14:paraId="62840889">
      <w:pPr>
        <w:spacing w:after="0" w:line="240" w:lineRule="auto"/>
        <w:jc w:val="both"/>
        <w:rPr>
          <w:rFonts w:ascii="仿宋" w:hAnsi="仿宋" w:eastAsia="仿宋" w:cs="Times New Roman"/>
          <w:b/>
          <w:bCs/>
          <w:color w:val="auto"/>
          <w:sz w:val="36"/>
          <w:szCs w:val="36"/>
          <w:highlight w:val="none"/>
        </w:rPr>
      </w:pPr>
    </w:p>
    <w:p w14:paraId="609D385F">
      <w:pPr>
        <w:spacing w:after="0" w:line="240" w:lineRule="auto"/>
        <w:jc w:val="both"/>
        <w:rPr>
          <w:rFonts w:ascii="仿宋" w:hAnsi="仿宋" w:eastAsia="仿宋" w:cs="Times New Roman"/>
          <w:b/>
          <w:bCs/>
          <w:color w:val="auto"/>
          <w:sz w:val="36"/>
          <w:szCs w:val="36"/>
          <w:highlight w:val="none"/>
        </w:rPr>
      </w:pPr>
    </w:p>
    <w:p w14:paraId="3844CD5E">
      <w:pPr>
        <w:spacing w:after="0" w:line="240" w:lineRule="auto"/>
        <w:jc w:val="both"/>
        <w:rPr>
          <w:rFonts w:ascii="仿宋" w:hAnsi="仿宋" w:eastAsia="仿宋" w:cs="Times New Roman"/>
          <w:b/>
          <w:bCs/>
          <w:color w:val="auto"/>
          <w:sz w:val="36"/>
          <w:szCs w:val="36"/>
          <w:highlight w:val="none"/>
        </w:rPr>
      </w:pPr>
    </w:p>
    <w:p w14:paraId="795FA26B">
      <w:pPr>
        <w:spacing w:after="0" w:line="240" w:lineRule="auto"/>
        <w:jc w:val="both"/>
        <w:rPr>
          <w:rFonts w:ascii="仿宋" w:hAnsi="仿宋" w:eastAsia="仿宋" w:cs="Times New Roman"/>
          <w:b/>
          <w:bCs/>
          <w:color w:val="auto"/>
          <w:sz w:val="36"/>
          <w:szCs w:val="36"/>
          <w:highlight w:val="none"/>
        </w:rPr>
      </w:pPr>
    </w:p>
    <w:p w14:paraId="5014F7B4">
      <w:pPr>
        <w:spacing w:after="0" w:line="240" w:lineRule="auto"/>
        <w:jc w:val="both"/>
        <w:rPr>
          <w:rFonts w:ascii="仿宋" w:hAnsi="仿宋" w:eastAsia="仿宋" w:cs="Times New Roman"/>
          <w:b/>
          <w:bCs/>
          <w:color w:val="auto"/>
          <w:sz w:val="36"/>
          <w:szCs w:val="36"/>
          <w:highlight w:val="none"/>
        </w:rPr>
      </w:pPr>
    </w:p>
    <w:p w14:paraId="3780912A">
      <w:pPr>
        <w:spacing w:after="0" w:line="240" w:lineRule="auto"/>
        <w:jc w:val="both"/>
        <w:rPr>
          <w:rFonts w:ascii="仿宋" w:hAnsi="仿宋" w:eastAsia="仿宋" w:cs="Times New Roman"/>
          <w:b/>
          <w:bCs/>
          <w:color w:val="auto"/>
          <w:sz w:val="36"/>
          <w:szCs w:val="36"/>
          <w:highlight w:val="none"/>
        </w:rPr>
      </w:pPr>
    </w:p>
    <w:p w14:paraId="6E34C983">
      <w:pPr>
        <w:spacing w:after="0" w:line="240" w:lineRule="auto"/>
        <w:jc w:val="both"/>
        <w:rPr>
          <w:rFonts w:ascii="仿宋" w:hAnsi="仿宋" w:eastAsia="仿宋" w:cs="Times New Roman"/>
          <w:b/>
          <w:bCs/>
          <w:color w:val="auto"/>
          <w:sz w:val="36"/>
          <w:szCs w:val="36"/>
          <w:highlight w:val="none"/>
        </w:rPr>
      </w:pPr>
    </w:p>
    <w:p w14:paraId="05A67A8A">
      <w:pPr>
        <w:spacing w:after="0" w:line="240" w:lineRule="auto"/>
        <w:jc w:val="both"/>
        <w:rPr>
          <w:rFonts w:ascii="仿宋" w:hAnsi="仿宋" w:eastAsia="仿宋" w:cs="Times New Roman"/>
          <w:b/>
          <w:bCs/>
          <w:color w:val="auto"/>
          <w:sz w:val="36"/>
          <w:szCs w:val="36"/>
          <w:highlight w:val="none"/>
        </w:rPr>
      </w:pPr>
    </w:p>
    <w:p w14:paraId="357D2CB7">
      <w:pPr>
        <w:spacing w:after="0" w:line="240" w:lineRule="auto"/>
        <w:jc w:val="both"/>
        <w:rPr>
          <w:rFonts w:ascii="仿宋" w:hAnsi="仿宋" w:eastAsia="仿宋" w:cs="Times New Roman"/>
          <w:b/>
          <w:bCs/>
          <w:color w:val="auto"/>
          <w:sz w:val="36"/>
          <w:szCs w:val="36"/>
          <w:highlight w:val="none"/>
        </w:rPr>
      </w:pPr>
    </w:p>
    <w:p w14:paraId="6B0F2ADC">
      <w:pPr>
        <w:spacing w:after="0" w:line="240" w:lineRule="auto"/>
        <w:jc w:val="both"/>
        <w:rPr>
          <w:rFonts w:ascii="仿宋" w:hAnsi="仿宋" w:eastAsia="仿宋" w:cs="Times New Roman"/>
          <w:b/>
          <w:bCs/>
          <w:color w:val="auto"/>
          <w:sz w:val="36"/>
          <w:szCs w:val="36"/>
          <w:highlight w:val="none"/>
        </w:rPr>
      </w:pPr>
    </w:p>
    <w:p w14:paraId="5BB82BD6">
      <w:pPr>
        <w:spacing w:after="0" w:line="240" w:lineRule="auto"/>
        <w:jc w:val="both"/>
        <w:rPr>
          <w:rFonts w:ascii="仿宋" w:hAnsi="仿宋" w:eastAsia="仿宋" w:cs="Times New Roman"/>
          <w:b/>
          <w:bCs/>
          <w:color w:val="auto"/>
          <w:sz w:val="36"/>
          <w:szCs w:val="36"/>
          <w:highlight w:val="none"/>
        </w:rPr>
      </w:pPr>
    </w:p>
    <w:p w14:paraId="6E432439">
      <w:pPr>
        <w:spacing w:after="0" w:line="240" w:lineRule="auto"/>
        <w:jc w:val="both"/>
        <w:rPr>
          <w:rFonts w:ascii="仿宋" w:hAnsi="仿宋" w:eastAsia="仿宋" w:cs="Times New Roman"/>
          <w:b/>
          <w:bCs/>
          <w:color w:val="auto"/>
          <w:sz w:val="36"/>
          <w:szCs w:val="36"/>
          <w:highlight w:val="none"/>
        </w:rPr>
      </w:pPr>
    </w:p>
    <w:p w14:paraId="587CCE84">
      <w:pPr>
        <w:spacing w:after="0" w:line="240" w:lineRule="auto"/>
        <w:jc w:val="both"/>
        <w:rPr>
          <w:rFonts w:ascii="仿宋" w:hAnsi="仿宋" w:eastAsia="仿宋" w:cs="Times New Roman"/>
          <w:b/>
          <w:bCs/>
          <w:color w:val="auto"/>
          <w:sz w:val="36"/>
          <w:szCs w:val="36"/>
          <w:highlight w:val="none"/>
        </w:rPr>
      </w:pPr>
    </w:p>
    <w:p w14:paraId="3A172D28">
      <w:pPr>
        <w:spacing w:after="0" w:line="240" w:lineRule="auto"/>
        <w:jc w:val="both"/>
        <w:rPr>
          <w:rFonts w:ascii="仿宋" w:hAnsi="仿宋" w:eastAsia="仿宋" w:cs="Times New Roman"/>
          <w:b/>
          <w:bCs/>
          <w:color w:val="auto"/>
          <w:sz w:val="36"/>
          <w:szCs w:val="36"/>
          <w:highlight w:val="none"/>
        </w:rPr>
        <w:sectPr>
          <w:pgSz w:w="12240" w:h="15840"/>
          <w:pgMar w:top="2098" w:right="1474" w:bottom="1984" w:left="1587" w:header="720" w:footer="720" w:gutter="0"/>
          <w:cols w:space="720" w:num="1"/>
        </w:sectPr>
      </w:pPr>
    </w:p>
    <w:p w14:paraId="7DF8DA33">
      <w:pPr>
        <w:pStyle w:val="2"/>
      </w:pPr>
    </w:p>
    <w:p w14:paraId="3FC95ECD">
      <w:pPr>
        <w:pStyle w:val="5"/>
        <w:spacing w:after="0" w:line="360" w:lineRule="auto"/>
        <w:ind w:left="0" w:right="0" w:firstLine="0"/>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八</w:t>
      </w:r>
      <w:r>
        <w:rPr>
          <w:rFonts w:ascii="仿宋" w:hAnsi="仿宋" w:eastAsia="仿宋" w:cs="Times New Roman"/>
          <w:color w:val="auto"/>
          <w:sz w:val="32"/>
          <w:szCs w:val="32"/>
          <w:highlight w:val="none"/>
        </w:rPr>
        <w:t>、其他资料（如有）</w:t>
      </w:r>
    </w:p>
    <w:p w14:paraId="2A87F269">
      <w:pPr>
        <w:adjustRightInd w:val="0"/>
        <w:snapToGrid w:val="0"/>
        <w:spacing w:after="0"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注：比选文件要求提交的其他文件或参选人认为需补充说明的资料。</w:t>
      </w:r>
    </w:p>
    <w:sectPr>
      <w:pgSz w:w="12240" w:h="15840"/>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宋?">
    <w:altName w:val="宋体"/>
    <w:panose1 w:val="020B0604020202020204"/>
    <w:charset w:val="81"/>
    <w:family w:val="roman"/>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embedRegular r:id="rId1" w:fontKey="{1DE1F0AB-9D4A-4E44-9FE8-8E84735A9C71}"/>
  </w:font>
  <w:font w:name="小标宋">
    <w:altName w:val="方正小标宋简体"/>
    <w:panose1 w:val="020B0604020202020204"/>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657AC9FB-5059-416C-A025-4BBCED180FD3}"/>
  </w:font>
  <w:font w:name="仿宋">
    <w:panose1 w:val="02010609060101010101"/>
    <w:charset w:val="86"/>
    <w:family w:val="modern"/>
    <w:pitch w:val="default"/>
    <w:sig w:usb0="800002BF" w:usb1="38CF7CFA" w:usb2="00000016" w:usb3="00000000" w:csb0="00040001" w:csb1="00000000"/>
    <w:embedRegular r:id="rId3" w:fontKey="{82FC3018-12E4-4A81-9DDC-18EF696BBB5E}"/>
  </w:font>
  <w:font w:name="仿宋_GB2312">
    <w:panose1 w:val="02010609030101010101"/>
    <w:charset w:val="86"/>
    <w:family w:val="auto"/>
    <w:pitch w:val="default"/>
    <w:sig w:usb0="00000001" w:usb1="080E0000" w:usb2="00000000" w:usb3="00000000" w:csb0="00040000" w:csb1="00000000"/>
    <w:embedRegular r:id="rId4" w:fontKey="{53447F32-27FC-4659-B483-2102754D21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9415F">
    <w:pPr>
      <w:spacing w:after="0"/>
      <w:rPr>
        <w:rFonts w:eastAsiaTheme="minor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661A4">
    <w:pPr>
      <w:spacing w:after="0"/>
      <w:rPr>
        <w:rFonts w:eastAsiaTheme="minor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B8E4A">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33B8E4A">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B9DB7">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29662">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F929662">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7294B">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37DF5">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3537DF5">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4F23">
    <w:pPr>
      <w:pStyle w:val="20"/>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D5324">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00D5324">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p w14:paraId="2262FEB9">
    <w:pPr>
      <w:widowControl w:val="0"/>
      <w:snapToGrid w:val="0"/>
      <w:rPr>
        <w:rFonts w:ascii="Times New Roman" w:hAnsi="Times New Roman" w:eastAsia="仿宋_GB2312"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E75B4B"/>
    <w:multiLevelType w:val="singleLevel"/>
    <w:tmpl w:val="40E75B4B"/>
    <w:lvl w:ilvl="0" w:tentative="0">
      <w:start w:val="1"/>
      <w:numFmt w:val="decimal"/>
      <w:suff w:val="nothing"/>
      <w:lvlText w:val="%1."/>
      <w:lvlJc w:val="left"/>
      <w:pPr>
        <w:ind w:left="0" w:firstLine="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2OTMyNGMyN2EzYzcxNDNmMDdlYzA4ZmI3ZmEyMmYifQ=="/>
  </w:docVars>
  <w:rsids>
    <w:rsidRoot w:val="00172A27"/>
    <w:rsid w:val="0001198A"/>
    <w:rsid w:val="00014D9D"/>
    <w:rsid w:val="00015A06"/>
    <w:rsid w:val="00021E50"/>
    <w:rsid w:val="00027930"/>
    <w:rsid w:val="00044456"/>
    <w:rsid w:val="00054A25"/>
    <w:rsid w:val="000662F6"/>
    <w:rsid w:val="000735AF"/>
    <w:rsid w:val="0007792D"/>
    <w:rsid w:val="00084446"/>
    <w:rsid w:val="00084D91"/>
    <w:rsid w:val="0008672F"/>
    <w:rsid w:val="00090DAE"/>
    <w:rsid w:val="00091A3B"/>
    <w:rsid w:val="000A033F"/>
    <w:rsid w:val="000A36B5"/>
    <w:rsid w:val="000A725D"/>
    <w:rsid w:val="000A7B29"/>
    <w:rsid w:val="000B7599"/>
    <w:rsid w:val="000C002D"/>
    <w:rsid w:val="000C0370"/>
    <w:rsid w:val="000C1FBF"/>
    <w:rsid w:val="000C24D7"/>
    <w:rsid w:val="000C5F6C"/>
    <w:rsid w:val="000D16FA"/>
    <w:rsid w:val="000F502B"/>
    <w:rsid w:val="000F5953"/>
    <w:rsid w:val="000F743F"/>
    <w:rsid w:val="001112E5"/>
    <w:rsid w:val="001113BD"/>
    <w:rsid w:val="001149E1"/>
    <w:rsid w:val="00114CCB"/>
    <w:rsid w:val="0011506F"/>
    <w:rsid w:val="0012211F"/>
    <w:rsid w:val="00130911"/>
    <w:rsid w:val="00130990"/>
    <w:rsid w:val="001323EA"/>
    <w:rsid w:val="00136ADA"/>
    <w:rsid w:val="00143594"/>
    <w:rsid w:val="0014382B"/>
    <w:rsid w:val="00144687"/>
    <w:rsid w:val="00151A29"/>
    <w:rsid w:val="00153B1A"/>
    <w:rsid w:val="00156E11"/>
    <w:rsid w:val="0016622A"/>
    <w:rsid w:val="00172A27"/>
    <w:rsid w:val="00175303"/>
    <w:rsid w:val="0017629B"/>
    <w:rsid w:val="0017753D"/>
    <w:rsid w:val="00181D75"/>
    <w:rsid w:val="00183742"/>
    <w:rsid w:val="001843AE"/>
    <w:rsid w:val="0019084A"/>
    <w:rsid w:val="00192FF1"/>
    <w:rsid w:val="0019619B"/>
    <w:rsid w:val="001A1AE6"/>
    <w:rsid w:val="001A2855"/>
    <w:rsid w:val="001A42E9"/>
    <w:rsid w:val="001B376F"/>
    <w:rsid w:val="001C3602"/>
    <w:rsid w:val="001D3FE7"/>
    <w:rsid w:val="001D6BDB"/>
    <w:rsid w:val="001D6E3D"/>
    <w:rsid w:val="001E39BA"/>
    <w:rsid w:val="001F7125"/>
    <w:rsid w:val="00203D00"/>
    <w:rsid w:val="0020419F"/>
    <w:rsid w:val="00206292"/>
    <w:rsid w:val="00217EF6"/>
    <w:rsid w:val="00225D05"/>
    <w:rsid w:val="00227C14"/>
    <w:rsid w:val="002319EE"/>
    <w:rsid w:val="00232CCF"/>
    <w:rsid w:val="0023500B"/>
    <w:rsid w:val="002353C3"/>
    <w:rsid w:val="00235593"/>
    <w:rsid w:val="0023621F"/>
    <w:rsid w:val="002409E0"/>
    <w:rsid w:val="00245A9E"/>
    <w:rsid w:val="00245D1A"/>
    <w:rsid w:val="002562EC"/>
    <w:rsid w:val="00257260"/>
    <w:rsid w:val="00265544"/>
    <w:rsid w:val="00265934"/>
    <w:rsid w:val="00266701"/>
    <w:rsid w:val="00275703"/>
    <w:rsid w:val="002772AD"/>
    <w:rsid w:val="00282841"/>
    <w:rsid w:val="002876B8"/>
    <w:rsid w:val="002954E1"/>
    <w:rsid w:val="002A42C3"/>
    <w:rsid w:val="002A7229"/>
    <w:rsid w:val="002B07B4"/>
    <w:rsid w:val="002B1B51"/>
    <w:rsid w:val="002B1DB3"/>
    <w:rsid w:val="002B5AF8"/>
    <w:rsid w:val="002B7298"/>
    <w:rsid w:val="002C0AAA"/>
    <w:rsid w:val="002D4BB1"/>
    <w:rsid w:val="002D55CB"/>
    <w:rsid w:val="002D6FAB"/>
    <w:rsid w:val="002D72E3"/>
    <w:rsid w:val="002E5B34"/>
    <w:rsid w:val="002F35E9"/>
    <w:rsid w:val="00304F0E"/>
    <w:rsid w:val="0031007C"/>
    <w:rsid w:val="003113C1"/>
    <w:rsid w:val="003113FA"/>
    <w:rsid w:val="00312557"/>
    <w:rsid w:val="00313871"/>
    <w:rsid w:val="003168CE"/>
    <w:rsid w:val="00331BD9"/>
    <w:rsid w:val="00341E17"/>
    <w:rsid w:val="00342416"/>
    <w:rsid w:val="00345595"/>
    <w:rsid w:val="003456D4"/>
    <w:rsid w:val="00350F41"/>
    <w:rsid w:val="003536AB"/>
    <w:rsid w:val="00355F55"/>
    <w:rsid w:val="00357B2F"/>
    <w:rsid w:val="003601DB"/>
    <w:rsid w:val="0036275B"/>
    <w:rsid w:val="003707A0"/>
    <w:rsid w:val="00386A2B"/>
    <w:rsid w:val="003905B3"/>
    <w:rsid w:val="003914C2"/>
    <w:rsid w:val="0039247F"/>
    <w:rsid w:val="00392FEB"/>
    <w:rsid w:val="00394DCF"/>
    <w:rsid w:val="003A39E1"/>
    <w:rsid w:val="003A75B6"/>
    <w:rsid w:val="003A7FA5"/>
    <w:rsid w:val="003C0331"/>
    <w:rsid w:val="003C2894"/>
    <w:rsid w:val="003D167A"/>
    <w:rsid w:val="003D355B"/>
    <w:rsid w:val="003D40EE"/>
    <w:rsid w:val="003D541E"/>
    <w:rsid w:val="003E136C"/>
    <w:rsid w:val="003F325D"/>
    <w:rsid w:val="0041089E"/>
    <w:rsid w:val="00413AF8"/>
    <w:rsid w:val="00417698"/>
    <w:rsid w:val="004207A9"/>
    <w:rsid w:val="004417EE"/>
    <w:rsid w:val="00442C03"/>
    <w:rsid w:val="00455F24"/>
    <w:rsid w:val="00463BB4"/>
    <w:rsid w:val="004673B9"/>
    <w:rsid w:val="00467CBF"/>
    <w:rsid w:val="00470117"/>
    <w:rsid w:val="0047146D"/>
    <w:rsid w:val="004775A7"/>
    <w:rsid w:val="00480C5D"/>
    <w:rsid w:val="00483C33"/>
    <w:rsid w:val="00486F58"/>
    <w:rsid w:val="00487FF1"/>
    <w:rsid w:val="004929AE"/>
    <w:rsid w:val="00496490"/>
    <w:rsid w:val="00497326"/>
    <w:rsid w:val="004A16D3"/>
    <w:rsid w:val="004A1FD0"/>
    <w:rsid w:val="004A5F86"/>
    <w:rsid w:val="004A7824"/>
    <w:rsid w:val="004B5C62"/>
    <w:rsid w:val="004B7999"/>
    <w:rsid w:val="004C0B5D"/>
    <w:rsid w:val="004C5AA6"/>
    <w:rsid w:val="004C65E0"/>
    <w:rsid w:val="004C76C8"/>
    <w:rsid w:val="004D3E32"/>
    <w:rsid w:val="004D4511"/>
    <w:rsid w:val="004D673E"/>
    <w:rsid w:val="004F0B65"/>
    <w:rsid w:val="004F2B9C"/>
    <w:rsid w:val="004F76CB"/>
    <w:rsid w:val="00501E57"/>
    <w:rsid w:val="005030C5"/>
    <w:rsid w:val="0050331B"/>
    <w:rsid w:val="00503E48"/>
    <w:rsid w:val="005042F1"/>
    <w:rsid w:val="0050641E"/>
    <w:rsid w:val="005071CE"/>
    <w:rsid w:val="005103AA"/>
    <w:rsid w:val="005109AD"/>
    <w:rsid w:val="005111FB"/>
    <w:rsid w:val="00514976"/>
    <w:rsid w:val="0051790D"/>
    <w:rsid w:val="00522817"/>
    <w:rsid w:val="00522837"/>
    <w:rsid w:val="00526051"/>
    <w:rsid w:val="00526FA1"/>
    <w:rsid w:val="00536CA1"/>
    <w:rsid w:val="0054650C"/>
    <w:rsid w:val="00554668"/>
    <w:rsid w:val="00555533"/>
    <w:rsid w:val="0055687C"/>
    <w:rsid w:val="005710D4"/>
    <w:rsid w:val="00573035"/>
    <w:rsid w:val="00583AFB"/>
    <w:rsid w:val="005845EB"/>
    <w:rsid w:val="0059254D"/>
    <w:rsid w:val="00593036"/>
    <w:rsid w:val="005A1E03"/>
    <w:rsid w:val="005A4F33"/>
    <w:rsid w:val="005B3064"/>
    <w:rsid w:val="005B6DD3"/>
    <w:rsid w:val="005C0F6E"/>
    <w:rsid w:val="005C25C4"/>
    <w:rsid w:val="005C28B9"/>
    <w:rsid w:val="005C404E"/>
    <w:rsid w:val="005C56BB"/>
    <w:rsid w:val="005C5AFC"/>
    <w:rsid w:val="005D1C46"/>
    <w:rsid w:val="005D65A7"/>
    <w:rsid w:val="005E120D"/>
    <w:rsid w:val="005F24E8"/>
    <w:rsid w:val="0060061C"/>
    <w:rsid w:val="00602272"/>
    <w:rsid w:val="00605C0C"/>
    <w:rsid w:val="00606B9E"/>
    <w:rsid w:val="00622F00"/>
    <w:rsid w:val="006304A8"/>
    <w:rsid w:val="0064694E"/>
    <w:rsid w:val="0065041A"/>
    <w:rsid w:val="00650D7A"/>
    <w:rsid w:val="00656642"/>
    <w:rsid w:val="00656C32"/>
    <w:rsid w:val="00662BFE"/>
    <w:rsid w:val="006636FF"/>
    <w:rsid w:val="006639D9"/>
    <w:rsid w:val="00667848"/>
    <w:rsid w:val="00677DDC"/>
    <w:rsid w:val="006800B9"/>
    <w:rsid w:val="00680550"/>
    <w:rsid w:val="0068065C"/>
    <w:rsid w:val="006828C6"/>
    <w:rsid w:val="00682C04"/>
    <w:rsid w:val="006904C9"/>
    <w:rsid w:val="006915AC"/>
    <w:rsid w:val="006A22F3"/>
    <w:rsid w:val="006A5168"/>
    <w:rsid w:val="006B03DF"/>
    <w:rsid w:val="006B7F17"/>
    <w:rsid w:val="006C1756"/>
    <w:rsid w:val="006C7E97"/>
    <w:rsid w:val="006D2124"/>
    <w:rsid w:val="006D543C"/>
    <w:rsid w:val="006E3DB4"/>
    <w:rsid w:val="006F1D5C"/>
    <w:rsid w:val="006F623D"/>
    <w:rsid w:val="00704597"/>
    <w:rsid w:val="007078A0"/>
    <w:rsid w:val="0071082B"/>
    <w:rsid w:val="00720918"/>
    <w:rsid w:val="00730E1F"/>
    <w:rsid w:val="00731F11"/>
    <w:rsid w:val="0073272E"/>
    <w:rsid w:val="00733BD1"/>
    <w:rsid w:val="0074477D"/>
    <w:rsid w:val="00745590"/>
    <w:rsid w:val="0076190E"/>
    <w:rsid w:val="007645E6"/>
    <w:rsid w:val="007674AB"/>
    <w:rsid w:val="00771CD6"/>
    <w:rsid w:val="007842EC"/>
    <w:rsid w:val="007862B8"/>
    <w:rsid w:val="00787089"/>
    <w:rsid w:val="0078722A"/>
    <w:rsid w:val="007B5A9B"/>
    <w:rsid w:val="007B6755"/>
    <w:rsid w:val="007B7211"/>
    <w:rsid w:val="007C0D3D"/>
    <w:rsid w:val="007C37E2"/>
    <w:rsid w:val="007D0717"/>
    <w:rsid w:val="007D4FE4"/>
    <w:rsid w:val="007E3495"/>
    <w:rsid w:val="007E5528"/>
    <w:rsid w:val="007E6AE0"/>
    <w:rsid w:val="007F3E65"/>
    <w:rsid w:val="00800CDF"/>
    <w:rsid w:val="008020F3"/>
    <w:rsid w:val="008029E1"/>
    <w:rsid w:val="00807CAC"/>
    <w:rsid w:val="00811DF1"/>
    <w:rsid w:val="00813125"/>
    <w:rsid w:val="00814239"/>
    <w:rsid w:val="00817F3D"/>
    <w:rsid w:val="00821C30"/>
    <w:rsid w:val="0082278D"/>
    <w:rsid w:val="00822FD8"/>
    <w:rsid w:val="00826665"/>
    <w:rsid w:val="00826847"/>
    <w:rsid w:val="00830FCF"/>
    <w:rsid w:val="0084590F"/>
    <w:rsid w:val="008472C4"/>
    <w:rsid w:val="00850CFD"/>
    <w:rsid w:val="008552D9"/>
    <w:rsid w:val="0086279F"/>
    <w:rsid w:val="008703D3"/>
    <w:rsid w:val="00890D3E"/>
    <w:rsid w:val="00892FD2"/>
    <w:rsid w:val="008933B6"/>
    <w:rsid w:val="00894F40"/>
    <w:rsid w:val="008A2B4D"/>
    <w:rsid w:val="008B01EB"/>
    <w:rsid w:val="008B47C4"/>
    <w:rsid w:val="008B507D"/>
    <w:rsid w:val="008C0E87"/>
    <w:rsid w:val="008C3E9A"/>
    <w:rsid w:val="008C53C1"/>
    <w:rsid w:val="008D2F09"/>
    <w:rsid w:val="008D5E07"/>
    <w:rsid w:val="008E243C"/>
    <w:rsid w:val="008F0B43"/>
    <w:rsid w:val="008F3CDF"/>
    <w:rsid w:val="008F49ED"/>
    <w:rsid w:val="008F7275"/>
    <w:rsid w:val="008F7BAF"/>
    <w:rsid w:val="00902B12"/>
    <w:rsid w:val="00906786"/>
    <w:rsid w:val="00911707"/>
    <w:rsid w:val="0091290F"/>
    <w:rsid w:val="00913285"/>
    <w:rsid w:val="00916776"/>
    <w:rsid w:val="0091720B"/>
    <w:rsid w:val="009178E1"/>
    <w:rsid w:val="009215C3"/>
    <w:rsid w:val="00922DF6"/>
    <w:rsid w:val="00923F93"/>
    <w:rsid w:val="00926038"/>
    <w:rsid w:val="00927021"/>
    <w:rsid w:val="009366E5"/>
    <w:rsid w:val="00937149"/>
    <w:rsid w:val="00941F62"/>
    <w:rsid w:val="00947AAF"/>
    <w:rsid w:val="00950486"/>
    <w:rsid w:val="00953347"/>
    <w:rsid w:val="0095477B"/>
    <w:rsid w:val="00962445"/>
    <w:rsid w:val="00964788"/>
    <w:rsid w:val="00965655"/>
    <w:rsid w:val="00965BEB"/>
    <w:rsid w:val="00975B47"/>
    <w:rsid w:val="00990281"/>
    <w:rsid w:val="009A73AD"/>
    <w:rsid w:val="009B21B9"/>
    <w:rsid w:val="009D3941"/>
    <w:rsid w:val="009D3D66"/>
    <w:rsid w:val="009D72E6"/>
    <w:rsid w:val="009D7900"/>
    <w:rsid w:val="009E3CD1"/>
    <w:rsid w:val="009F0EB8"/>
    <w:rsid w:val="009F136A"/>
    <w:rsid w:val="009F1EE7"/>
    <w:rsid w:val="009F2016"/>
    <w:rsid w:val="009F64FA"/>
    <w:rsid w:val="009F65D0"/>
    <w:rsid w:val="00A12DCF"/>
    <w:rsid w:val="00A16459"/>
    <w:rsid w:val="00A17129"/>
    <w:rsid w:val="00A21E2B"/>
    <w:rsid w:val="00A32526"/>
    <w:rsid w:val="00A33C7B"/>
    <w:rsid w:val="00A35396"/>
    <w:rsid w:val="00A418A6"/>
    <w:rsid w:val="00A46E2D"/>
    <w:rsid w:val="00A50513"/>
    <w:rsid w:val="00A52C55"/>
    <w:rsid w:val="00A62A04"/>
    <w:rsid w:val="00A767CB"/>
    <w:rsid w:val="00A80DB7"/>
    <w:rsid w:val="00A812B3"/>
    <w:rsid w:val="00A8280F"/>
    <w:rsid w:val="00A8362E"/>
    <w:rsid w:val="00A86915"/>
    <w:rsid w:val="00A935A1"/>
    <w:rsid w:val="00A95BD1"/>
    <w:rsid w:val="00A95D22"/>
    <w:rsid w:val="00AA224F"/>
    <w:rsid w:val="00AB7A64"/>
    <w:rsid w:val="00AC4FB2"/>
    <w:rsid w:val="00AC7B97"/>
    <w:rsid w:val="00AD1F92"/>
    <w:rsid w:val="00AD21B0"/>
    <w:rsid w:val="00AD5DE0"/>
    <w:rsid w:val="00AD74EB"/>
    <w:rsid w:val="00AE10BB"/>
    <w:rsid w:val="00AE2EBA"/>
    <w:rsid w:val="00AE5382"/>
    <w:rsid w:val="00AF4A8A"/>
    <w:rsid w:val="00B010A3"/>
    <w:rsid w:val="00B045C5"/>
    <w:rsid w:val="00B0528B"/>
    <w:rsid w:val="00B10050"/>
    <w:rsid w:val="00B1482C"/>
    <w:rsid w:val="00B2277D"/>
    <w:rsid w:val="00B25178"/>
    <w:rsid w:val="00B2564C"/>
    <w:rsid w:val="00B47BA6"/>
    <w:rsid w:val="00B47FFC"/>
    <w:rsid w:val="00B54199"/>
    <w:rsid w:val="00B559C6"/>
    <w:rsid w:val="00B55FA4"/>
    <w:rsid w:val="00B5683A"/>
    <w:rsid w:val="00B57A40"/>
    <w:rsid w:val="00B66121"/>
    <w:rsid w:val="00B67551"/>
    <w:rsid w:val="00B8519F"/>
    <w:rsid w:val="00B92755"/>
    <w:rsid w:val="00B9437C"/>
    <w:rsid w:val="00B9497C"/>
    <w:rsid w:val="00B97D42"/>
    <w:rsid w:val="00BA70F7"/>
    <w:rsid w:val="00BB101E"/>
    <w:rsid w:val="00BB237A"/>
    <w:rsid w:val="00BC4610"/>
    <w:rsid w:val="00BD1C66"/>
    <w:rsid w:val="00BD3507"/>
    <w:rsid w:val="00BD6111"/>
    <w:rsid w:val="00BE5E2F"/>
    <w:rsid w:val="00BF1259"/>
    <w:rsid w:val="00BF3781"/>
    <w:rsid w:val="00BF415D"/>
    <w:rsid w:val="00BF56E8"/>
    <w:rsid w:val="00BF767D"/>
    <w:rsid w:val="00C019D5"/>
    <w:rsid w:val="00C1235A"/>
    <w:rsid w:val="00C232A0"/>
    <w:rsid w:val="00C266BD"/>
    <w:rsid w:val="00C32EAF"/>
    <w:rsid w:val="00C3412D"/>
    <w:rsid w:val="00C40FDF"/>
    <w:rsid w:val="00C45BFF"/>
    <w:rsid w:val="00C47882"/>
    <w:rsid w:val="00C5147F"/>
    <w:rsid w:val="00C574FD"/>
    <w:rsid w:val="00C6697C"/>
    <w:rsid w:val="00C67D86"/>
    <w:rsid w:val="00C724EA"/>
    <w:rsid w:val="00C825DC"/>
    <w:rsid w:val="00C84CA6"/>
    <w:rsid w:val="00C91393"/>
    <w:rsid w:val="00C9229B"/>
    <w:rsid w:val="00C9296F"/>
    <w:rsid w:val="00C94B43"/>
    <w:rsid w:val="00C95E66"/>
    <w:rsid w:val="00C96AD4"/>
    <w:rsid w:val="00C96B57"/>
    <w:rsid w:val="00CA3162"/>
    <w:rsid w:val="00CA4B97"/>
    <w:rsid w:val="00CA64EE"/>
    <w:rsid w:val="00CB0412"/>
    <w:rsid w:val="00CB69FD"/>
    <w:rsid w:val="00CB6B3A"/>
    <w:rsid w:val="00CC4C62"/>
    <w:rsid w:val="00CD0EF3"/>
    <w:rsid w:val="00CE00B1"/>
    <w:rsid w:val="00CE1687"/>
    <w:rsid w:val="00CE55E5"/>
    <w:rsid w:val="00CE7225"/>
    <w:rsid w:val="00CF2B52"/>
    <w:rsid w:val="00CF4DBD"/>
    <w:rsid w:val="00CF6A9D"/>
    <w:rsid w:val="00D056CE"/>
    <w:rsid w:val="00D2127B"/>
    <w:rsid w:val="00D214A5"/>
    <w:rsid w:val="00D225E9"/>
    <w:rsid w:val="00D229F0"/>
    <w:rsid w:val="00D302C6"/>
    <w:rsid w:val="00D410F3"/>
    <w:rsid w:val="00D41EEC"/>
    <w:rsid w:val="00D516AD"/>
    <w:rsid w:val="00D53234"/>
    <w:rsid w:val="00D54BDF"/>
    <w:rsid w:val="00D605DB"/>
    <w:rsid w:val="00D70AEA"/>
    <w:rsid w:val="00D710A6"/>
    <w:rsid w:val="00D72889"/>
    <w:rsid w:val="00D73D43"/>
    <w:rsid w:val="00D763FA"/>
    <w:rsid w:val="00D926BA"/>
    <w:rsid w:val="00D932EE"/>
    <w:rsid w:val="00DA166A"/>
    <w:rsid w:val="00DB28BE"/>
    <w:rsid w:val="00DC1ABC"/>
    <w:rsid w:val="00DC2466"/>
    <w:rsid w:val="00DC26EB"/>
    <w:rsid w:val="00DC3BC8"/>
    <w:rsid w:val="00DC4467"/>
    <w:rsid w:val="00DC63C0"/>
    <w:rsid w:val="00DC7314"/>
    <w:rsid w:val="00DC7542"/>
    <w:rsid w:val="00DD4480"/>
    <w:rsid w:val="00DD58F4"/>
    <w:rsid w:val="00DE306D"/>
    <w:rsid w:val="00DF0263"/>
    <w:rsid w:val="00E00410"/>
    <w:rsid w:val="00E017AC"/>
    <w:rsid w:val="00E037CE"/>
    <w:rsid w:val="00E03CF0"/>
    <w:rsid w:val="00E12901"/>
    <w:rsid w:val="00E23293"/>
    <w:rsid w:val="00E24BF9"/>
    <w:rsid w:val="00E25647"/>
    <w:rsid w:val="00E340D1"/>
    <w:rsid w:val="00E42DFF"/>
    <w:rsid w:val="00E461A9"/>
    <w:rsid w:val="00E47515"/>
    <w:rsid w:val="00E51F2C"/>
    <w:rsid w:val="00E53D03"/>
    <w:rsid w:val="00E64236"/>
    <w:rsid w:val="00E65F9E"/>
    <w:rsid w:val="00E74CD4"/>
    <w:rsid w:val="00E753B2"/>
    <w:rsid w:val="00E86736"/>
    <w:rsid w:val="00E934B3"/>
    <w:rsid w:val="00E9661C"/>
    <w:rsid w:val="00E97B22"/>
    <w:rsid w:val="00EA7199"/>
    <w:rsid w:val="00EB56A3"/>
    <w:rsid w:val="00ED7409"/>
    <w:rsid w:val="00EF6644"/>
    <w:rsid w:val="00F02F59"/>
    <w:rsid w:val="00F07F70"/>
    <w:rsid w:val="00F11B20"/>
    <w:rsid w:val="00F1515C"/>
    <w:rsid w:val="00F15BCC"/>
    <w:rsid w:val="00F17325"/>
    <w:rsid w:val="00F20D29"/>
    <w:rsid w:val="00F24CAF"/>
    <w:rsid w:val="00F25A64"/>
    <w:rsid w:val="00F32195"/>
    <w:rsid w:val="00F34F50"/>
    <w:rsid w:val="00F422A9"/>
    <w:rsid w:val="00F46788"/>
    <w:rsid w:val="00F517F1"/>
    <w:rsid w:val="00F52478"/>
    <w:rsid w:val="00F528D8"/>
    <w:rsid w:val="00F537F3"/>
    <w:rsid w:val="00F547DA"/>
    <w:rsid w:val="00F66C86"/>
    <w:rsid w:val="00F70969"/>
    <w:rsid w:val="00F72786"/>
    <w:rsid w:val="00F80918"/>
    <w:rsid w:val="00F81B5F"/>
    <w:rsid w:val="00F83F14"/>
    <w:rsid w:val="00F86CBA"/>
    <w:rsid w:val="00F8713F"/>
    <w:rsid w:val="00F917C6"/>
    <w:rsid w:val="00F95FFB"/>
    <w:rsid w:val="00F96741"/>
    <w:rsid w:val="00FA040E"/>
    <w:rsid w:val="00FA22C0"/>
    <w:rsid w:val="00FB5B53"/>
    <w:rsid w:val="00FB7993"/>
    <w:rsid w:val="00FC2CD2"/>
    <w:rsid w:val="00FC6FFE"/>
    <w:rsid w:val="00FE4654"/>
    <w:rsid w:val="00FE7B94"/>
    <w:rsid w:val="00FF0024"/>
    <w:rsid w:val="00FF0B28"/>
    <w:rsid w:val="00FF0C82"/>
    <w:rsid w:val="00FF0E1B"/>
    <w:rsid w:val="00FF2F99"/>
    <w:rsid w:val="00FF6825"/>
    <w:rsid w:val="010B405F"/>
    <w:rsid w:val="01362446"/>
    <w:rsid w:val="013B2B96"/>
    <w:rsid w:val="013F35AE"/>
    <w:rsid w:val="01470E5E"/>
    <w:rsid w:val="015B7B3A"/>
    <w:rsid w:val="01604C53"/>
    <w:rsid w:val="016F0A91"/>
    <w:rsid w:val="01A30F67"/>
    <w:rsid w:val="01A96691"/>
    <w:rsid w:val="01AE594C"/>
    <w:rsid w:val="01B82438"/>
    <w:rsid w:val="01D246D6"/>
    <w:rsid w:val="01D81EA2"/>
    <w:rsid w:val="01D851C8"/>
    <w:rsid w:val="01DA342E"/>
    <w:rsid w:val="01F33470"/>
    <w:rsid w:val="02096A91"/>
    <w:rsid w:val="0216041D"/>
    <w:rsid w:val="02265E3C"/>
    <w:rsid w:val="02377801"/>
    <w:rsid w:val="02452B62"/>
    <w:rsid w:val="025C7A9A"/>
    <w:rsid w:val="026003DA"/>
    <w:rsid w:val="0269599F"/>
    <w:rsid w:val="029562D6"/>
    <w:rsid w:val="02B26E88"/>
    <w:rsid w:val="02BA039B"/>
    <w:rsid w:val="02FE031F"/>
    <w:rsid w:val="0310487F"/>
    <w:rsid w:val="031D432A"/>
    <w:rsid w:val="032D7D1B"/>
    <w:rsid w:val="03356FA3"/>
    <w:rsid w:val="034D28E2"/>
    <w:rsid w:val="035D3297"/>
    <w:rsid w:val="03607F3E"/>
    <w:rsid w:val="03674F52"/>
    <w:rsid w:val="036839EA"/>
    <w:rsid w:val="036C1719"/>
    <w:rsid w:val="0374413D"/>
    <w:rsid w:val="037B371D"/>
    <w:rsid w:val="03870314"/>
    <w:rsid w:val="039447DF"/>
    <w:rsid w:val="0397679F"/>
    <w:rsid w:val="039F618C"/>
    <w:rsid w:val="03B92498"/>
    <w:rsid w:val="03CA0DF8"/>
    <w:rsid w:val="03D35307"/>
    <w:rsid w:val="03F0685D"/>
    <w:rsid w:val="03F86B1C"/>
    <w:rsid w:val="03FC58C4"/>
    <w:rsid w:val="03FF1C76"/>
    <w:rsid w:val="040A0062"/>
    <w:rsid w:val="041F1AE4"/>
    <w:rsid w:val="04221DEB"/>
    <w:rsid w:val="042E253E"/>
    <w:rsid w:val="042F398A"/>
    <w:rsid w:val="044E5A9E"/>
    <w:rsid w:val="04533AA9"/>
    <w:rsid w:val="045C67C3"/>
    <w:rsid w:val="048207CA"/>
    <w:rsid w:val="04D035F5"/>
    <w:rsid w:val="04D70C66"/>
    <w:rsid w:val="04E36D10"/>
    <w:rsid w:val="04E86B91"/>
    <w:rsid w:val="051B2A62"/>
    <w:rsid w:val="056F6B8D"/>
    <w:rsid w:val="0582595C"/>
    <w:rsid w:val="05A4392C"/>
    <w:rsid w:val="05D15877"/>
    <w:rsid w:val="05DB60EB"/>
    <w:rsid w:val="05DC2518"/>
    <w:rsid w:val="05F253D7"/>
    <w:rsid w:val="05FA7288"/>
    <w:rsid w:val="06101E5C"/>
    <w:rsid w:val="06256B3D"/>
    <w:rsid w:val="062C0CFF"/>
    <w:rsid w:val="06493D58"/>
    <w:rsid w:val="066233F4"/>
    <w:rsid w:val="067A1E38"/>
    <w:rsid w:val="067B57E2"/>
    <w:rsid w:val="068817C6"/>
    <w:rsid w:val="069B6288"/>
    <w:rsid w:val="06E8731C"/>
    <w:rsid w:val="06E96BF0"/>
    <w:rsid w:val="07061550"/>
    <w:rsid w:val="071214CA"/>
    <w:rsid w:val="072B0FB7"/>
    <w:rsid w:val="073C31C4"/>
    <w:rsid w:val="074526C1"/>
    <w:rsid w:val="075F1779"/>
    <w:rsid w:val="07770F35"/>
    <w:rsid w:val="07866B35"/>
    <w:rsid w:val="0788748C"/>
    <w:rsid w:val="078F59E9"/>
    <w:rsid w:val="07925E5E"/>
    <w:rsid w:val="07C65825"/>
    <w:rsid w:val="07D13938"/>
    <w:rsid w:val="07D31ACD"/>
    <w:rsid w:val="07D4164E"/>
    <w:rsid w:val="07F76A43"/>
    <w:rsid w:val="08023775"/>
    <w:rsid w:val="0817778D"/>
    <w:rsid w:val="081B54CF"/>
    <w:rsid w:val="082C4FE6"/>
    <w:rsid w:val="085E4B0D"/>
    <w:rsid w:val="08732C15"/>
    <w:rsid w:val="08737129"/>
    <w:rsid w:val="08A52FEB"/>
    <w:rsid w:val="08BF2B60"/>
    <w:rsid w:val="08BF5E5A"/>
    <w:rsid w:val="08C94F2B"/>
    <w:rsid w:val="08D00067"/>
    <w:rsid w:val="091F5D9E"/>
    <w:rsid w:val="09380277"/>
    <w:rsid w:val="097F0EFE"/>
    <w:rsid w:val="09A25295"/>
    <w:rsid w:val="09C035C1"/>
    <w:rsid w:val="09C868A5"/>
    <w:rsid w:val="09CD5025"/>
    <w:rsid w:val="09D36705"/>
    <w:rsid w:val="09DE2475"/>
    <w:rsid w:val="09E162A4"/>
    <w:rsid w:val="09E54078"/>
    <w:rsid w:val="09E60BE3"/>
    <w:rsid w:val="09FB7366"/>
    <w:rsid w:val="0A0202F6"/>
    <w:rsid w:val="0A110F86"/>
    <w:rsid w:val="0A1B5312"/>
    <w:rsid w:val="0A393FBA"/>
    <w:rsid w:val="0A4B3DA4"/>
    <w:rsid w:val="0A4E7E27"/>
    <w:rsid w:val="0A7B2255"/>
    <w:rsid w:val="0A8F5765"/>
    <w:rsid w:val="0A9B46A5"/>
    <w:rsid w:val="0AA31D59"/>
    <w:rsid w:val="0AB10FD5"/>
    <w:rsid w:val="0AB67731"/>
    <w:rsid w:val="0AF50259"/>
    <w:rsid w:val="0AFB467B"/>
    <w:rsid w:val="0B032EC3"/>
    <w:rsid w:val="0B057D70"/>
    <w:rsid w:val="0B106E41"/>
    <w:rsid w:val="0B1701D0"/>
    <w:rsid w:val="0B245710"/>
    <w:rsid w:val="0B2941F9"/>
    <w:rsid w:val="0B4765DB"/>
    <w:rsid w:val="0B4E7969"/>
    <w:rsid w:val="0B52202C"/>
    <w:rsid w:val="0B6E1DBA"/>
    <w:rsid w:val="0B6E6353"/>
    <w:rsid w:val="0B7E674B"/>
    <w:rsid w:val="0BB53545"/>
    <w:rsid w:val="0BD06CE1"/>
    <w:rsid w:val="0BD75BB1"/>
    <w:rsid w:val="0BDD4300"/>
    <w:rsid w:val="0BE744EB"/>
    <w:rsid w:val="0C014ED8"/>
    <w:rsid w:val="0C203B45"/>
    <w:rsid w:val="0C4548C9"/>
    <w:rsid w:val="0C6D76D9"/>
    <w:rsid w:val="0C6F5DE9"/>
    <w:rsid w:val="0C8D626F"/>
    <w:rsid w:val="0CB25896"/>
    <w:rsid w:val="0CCB24AB"/>
    <w:rsid w:val="0CD81BE1"/>
    <w:rsid w:val="0CDA3E5A"/>
    <w:rsid w:val="0CF54541"/>
    <w:rsid w:val="0CF60E20"/>
    <w:rsid w:val="0D00275D"/>
    <w:rsid w:val="0D002EE5"/>
    <w:rsid w:val="0D004C93"/>
    <w:rsid w:val="0D0E5602"/>
    <w:rsid w:val="0D124240"/>
    <w:rsid w:val="0D220C2C"/>
    <w:rsid w:val="0D30650C"/>
    <w:rsid w:val="0D4A7260"/>
    <w:rsid w:val="0D523741"/>
    <w:rsid w:val="0D5F2EF8"/>
    <w:rsid w:val="0D6071CB"/>
    <w:rsid w:val="0D6E006D"/>
    <w:rsid w:val="0D7F317F"/>
    <w:rsid w:val="0D887163"/>
    <w:rsid w:val="0D8D1EA9"/>
    <w:rsid w:val="0DAB71F9"/>
    <w:rsid w:val="0DC210EB"/>
    <w:rsid w:val="0DD07E8E"/>
    <w:rsid w:val="0DD979BE"/>
    <w:rsid w:val="0E603C3C"/>
    <w:rsid w:val="0E614144"/>
    <w:rsid w:val="0E6F3E7F"/>
    <w:rsid w:val="0E724950"/>
    <w:rsid w:val="0E7616B1"/>
    <w:rsid w:val="0E7B6CC7"/>
    <w:rsid w:val="0E903DF5"/>
    <w:rsid w:val="0EA31D7A"/>
    <w:rsid w:val="0EA57089"/>
    <w:rsid w:val="0EA66EBA"/>
    <w:rsid w:val="0EB36461"/>
    <w:rsid w:val="0EBA37C8"/>
    <w:rsid w:val="0ECD7250"/>
    <w:rsid w:val="0EED1247"/>
    <w:rsid w:val="0F136F00"/>
    <w:rsid w:val="0F2B1CE3"/>
    <w:rsid w:val="0F2C7FC2"/>
    <w:rsid w:val="0F587D43"/>
    <w:rsid w:val="0F810306"/>
    <w:rsid w:val="0F98501B"/>
    <w:rsid w:val="0FA43FFC"/>
    <w:rsid w:val="0FCE2E27"/>
    <w:rsid w:val="0FD74FBF"/>
    <w:rsid w:val="0FFE087C"/>
    <w:rsid w:val="0FFE5298"/>
    <w:rsid w:val="100C4AAB"/>
    <w:rsid w:val="100D1EE7"/>
    <w:rsid w:val="10223A25"/>
    <w:rsid w:val="10265676"/>
    <w:rsid w:val="102F2C87"/>
    <w:rsid w:val="10352EA6"/>
    <w:rsid w:val="1041184B"/>
    <w:rsid w:val="105831DB"/>
    <w:rsid w:val="105A46BB"/>
    <w:rsid w:val="105B31DD"/>
    <w:rsid w:val="106A6B29"/>
    <w:rsid w:val="10833EBF"/>
    <w:rsid w:val="10E01064"/>
    <w:rsid w:val="10E16B8A"/>
    <w:rsid w:val="10E679CD"/>
    <w:rsid w:val="10E96997"/>
    <w:rsid w:val="10FE200C"/>
    <w:rsid w:val="11050ACA"/>
    <w:rsid w:val="110C3C07"/>
    <w:rsid w:val="11177258"/>
    <w:rsid w:val="112223C0"/>
    <w:rsid w:val="11391602"/>
    <w:rsid w:val="11904838"/>
    <w:rsid w:val="1193257A"/>
    <w:rsid w:val="119A3D1B"/>
    <w:rsid w:val="11B76014"/>
    <w:rsid w:val="11BC31DC"/>
    <w:rsid w:val="11CB3AC2"/>
    <w:rsid w:val="11CF2823"/>
    <w:rsid w:val="11E11FBC"/>
    <w:rsid w:val="11F013EE"/>
    <w:rsid w:val="11F320DD"/>
    <w:rsid w:val="12053590"/>
    <w:rsid w:val="12212E7A"/>
    <w:rsid w:val="122B27B2"/>
    <w:rsid w:val="122E5DFF"/>
    <w:rsid w:val="12311844"/>
    <w:rsid w:val="12311F7A"/>
    <w:rsid w:val="1231532C"/>
    <w:rsid w:val="12343EB7"/>
    <w:rsid w:val="124619C1"/>
    <w:rsid w:val="124A70DD"/>
    <w:rsid w:val="12577104"/>
    <w:rsid w:val="12661B9C"/>
    <w:rsid w:val="126F02F1"/>
    <w:rsid w:val="127A1E00"/>
    <w:rsid w:val="12A025A3"/>
    <w:rsid w:val="12CB18A0"/>
    <w:rsid w:val="12E54456"/>
    <w:rsid w:val="12EF2E66"/>
    <w:rsid w:val="12F32AEA"/>
    <w:rsid w:val="13031039"/>
    <w:rsid w:val="136631C3"/>
    <w:rsid w:val="1386257C"/>
    <w:rsid w:val="13A04ADA"/>
    <w:rsid w:val="13C92283"/>
    <w:rsid w:val="13E12070"/>
    <w:rsid w:val="13E56991"/>
    <w:rsid w:val="13E9022F"/>
    <w:rsid w:val="13EB1D7F"/>
    <w:rsid w:val="13EB21F9"/>
    <w:rsid w:val="140245A5"/>
    <w:rsid w:val="142816C8"/>
    <w:rsid w:val="142B717A"/>
    <w:rsid w:val="142D7813"/>
    <w:rsid w:val="14514E3F"/>
    <w:rsid w:val="1457163D"/>
    <w:rsid w:val="145F4995"/>
    <w:rsid w:val="147D29CC"/>
    <w:rsid w:val="14852E6A"/>
    <w:rsid w:val="14894C14"/>
    <w:rsid w:val="149C1746"/>
    <w:rsid w:val="14A14FAE"/>
    <w:rsid w:val="14A55588"/>
    <w:rsid w:val="14AB7BDB"/>
    <w:rsid w:val="14B372C5"/>
    <w:rsid w:val="14E60336"/>
    <w:rsid w:val="14E76E65"/>
    <w:rsid w:val="14E86739"/>
    <w:rsid w:val="14F61533"/>
    <w:rsid w:val="150C2B4E"/>
    <w:rsid w:val="152B2105"/>
    <w:rsid w:val="1537321C"/>
    <w:rsid w:val="15396F94"/>
    <w:rsid w:val="153E377C"/>
    <w:rsid w:val="155913E5"/>
    <w:rsid w:val="156009C5"/>
    <w:rsid w:val="156264EB"/>
    <w:rsid w:val="15923843"/>
    <w:rsid w:val="159D5777"/>
    <w:rsid w:val="15D00760"/>
    <w:rsid w:val="15D434E4"/>
    <w:rsid w:val="15FF261B"/>
    <w:rsid w:val="16081981"/>
    <w:rsid w:val="16380135"/>
    <w:rsid w:val="163910F2"/>
    <w:rsid w:val="163A2FC4"/>
    <w:rsid w:val="163F682C"/>
    <w:rsid w:val="16573B76"/>
    <w:rsid w:val="16604009"/>
    <w:rsid w:val="166167A3"/>
    <w:rsid w:val="16731C0F"/>
    <w:rsid w:val="169E62B8"/>
    <w:rsid w:val="169F1079"/>
    <w:rsid w:val="16A5740C"/>
    <w:rsid w:val="16AE2ECC"/>
    <w:rsid w:val="16B5089D"/>
    <w:rsid w:val="16BA29D5"/>
    <w:rsid w:val="16BA5F72"/>
    <w:rsid w:val="16D161DC"/>
    <w:rsid w:val="16DA7395"/>
    <w:rsid w:val="16DA7BD2"/>
    <w:rsid w:val="16E86EC4"/>
    <w:rsid w:val="16EB2510"/>
    <w:rsid w:val="16F67CE9"/>
    <w:rsid w:val="1700420E"/>
    <w:rsid w:val="17021357"/>
    <w:rsid w:val="17252CA2"/>
    <w:rsid w:val="172B0B5F"/>
    <w:rsid w:val="17304A11"/>
    <w:rsid w:val="173A7524"/>
    <w:rsid w:val="174A21CC"/>
    <w:rsid w:val="17884203"/>
    <w:rsid w:val="178A12FB"/>
    <w:rsid w:val="178A3129"/>
    <w:rsid w:val="17913EDE"/>
    <w:rsid w:val="17982698"/>
    <w:rsid w:val="179C3722"/>
    <w:rsid w:val="17D03946"/>
    <w:rsid w:val="17D912A0"/>
    <w:rsid w:val="17D9680D"/>
    <w:rsid w:val="17E9720E"/>
    <w:rsid w:val="18032795"/>
    <w:rsid w:val="1840063A"/>
    <w:rsid w:val="18491BE4"/>
    <w:rsid w:val="184A3267"/>
    <w:rsid w:val="18633AD6"/>
    <w:rsid w:val="189A41EE"/>
    <w:rsid w:val="18A961DF"/>
    <w:rsid w:val="18B57973"/>
    <w:rsid w:val="18BA2642"/>
    <w:rsid w:val="18BA4890"/>
    <w:rsid w:val="18CF1CD4"/>
    <w:rsid w:val="18DA283C"/>
    <w:rsid w:val="18E11E1D"/>
    <w:rsid w:val="18F91B53"/>
    <w:rsid w:val="19066BB7"/>
    <w:rsid w:val="191E6BCD"/>
    <w:rsid w:val="193F08F1"/>
    <w:rsid w:val="194F0D3F"/>
    <w:rsid w:val="195F5F86"/>
    <w:rsid w:val="19646D86"/>
    <w:rsid w:val="196547FC"/>
    <w:rsid w:val="19781CCC"/>
    <w:rsid w:val="198416B0"/>
    <w:rsid w:val="19960E59"/>
    <w:rsid w:val="199D6EBF"/>
    <w:rsid w:val="19A82A4A"/>
    <w:rsid w:val="19AA220F"/>
    <w:rsid w:val="19CE0BFB"/>
    <w:rsid w:val="19E714A4"/>
    <w:rsid w:val="19EA2F53"/>
    <w:rsid w:val="19F52564"/>
    <w:rsid w:val="1A07140F"/>
    <w:rsid w:val="1A1E51B1"/>
    <w:rsid w:val="1A3637BB"/>
    <w:rsid w:val="1A3A40CE"/>
    <w:rsid w:val="1A3A6D2A"/>
    <w:rsid w:val="1A3D12D5"/>
    <w:rsid w:val="1A416449"/>
    <w:rsid w:val="1A421F81"/>
    <w:rsid w:val="1A425633"/>
    <w:rsid w:val="1A660F6A"/>
    <w:rsid w:val="1A676352"/>
    <w:rsid w:val="1A8C6C9A"/>
    <w:rsid w:val="1AA555D7"/>
    <w:rsid w:val="1AD42284"/>
    <w:rsid w:val="1AE9461B"/>
    <w:rsid w:val="1AF677AA"/>
    <w:rsid w:val="1AFD0C1D"/>
    <w:rsid w:val="1B010F0F"/>
    <w:rsid w:val="1B107F27"/>
    <w:rsid w:val="1B3430F7"/>
    <w:rsid w:val="1B485264"/>
    <w:rsid w:val="1B495A57"/>
    <w:rsid w:val="1B4E306E"/>
    <w:rsid w:val="1B6D1B01"/>
    <w:rsid w:val="1B7E7DF7"/>
    <w:rsid w:val="1B943177"/>
    <w:rsid w:val="1B976543"/>
    <w:rsid w:val="1BAA0860"/>
    <w:rsid w:val="1BC11A92"/>
    <w:rsid w:val="1BE07C46"/>
    <w:rsid w:val="1BFE03CE"/>
    <w:rsid w:val="1C2B3C14"/>
    <w:rsid w:val="1C2D73AE"/>
    <w:rsid w:val="1C3B5886"/>
    <w:rsid w:val="1C484471"/>
    <w:rsid w:val="1C626DD1"/>
    <w:rsid w:val="1C632ED1"/>
    <w:rsid w:val="1C6F14EE"/>
    <w:rsid w:val="1C816AA4"/>
    <w:rsid w:val="1C857A40"/>
    <w:rsid w:val="1C9176B6"/>
    <w:rsid w:val="1C994E1D"/>
    <w:rsid w:val="1C9C22AB"/>
    <w:rsid w:val="1CA27B15"/>
    <w:rsid w:val="1CB91376"/>
    <w:rsid w:val="1CBE341B"/>
    <w:rsid w:val="1CC510A1"/>
    <w:rsid w:val="1D115DFE"/>
    <w:rsid w:val="1D175E0D"/>
    <w:rsid w:val="1D1B344A"/>
    <w:rsid w:val="1D1D31FD"/>
    <w:rsid w:val="1D525097"/>
    <w:rsid w:val="1D5B57FB"/>
    <w:rsid w:val="1D5D1CD8"/>
    <w:rsid w:val="1D660B43"/>
    <w:rsid w:val="1D6628F1"/>
    <w:rsid w:val="1D74500E"/>
    <w:rsid w:val="1D9B5A75"/>
    <w:rsid w:val="1DAA7B30"/>
    <w:rsid w:val="1DDE692B"/>
    <w:rsid w:val="1DE25B8E"/>
    <w:rsid w:val="1DF12B02"/>
    <w:rsid w:val="1E206F43"/>
    <w:rsid w:val="1E2337FC"/>
    <w:rsid w:val="1E470974"/>
    <w:rsid w:val="1E5E181A"/>
    <w:rsid w:val="1E666517"/>
    <w:rsid w:val="1E68518D"/>
    <w:rsid w:val="1E6F48C2"/>
    <w:rsid w:val="1E746936"/>
    <w:rsid w:val="1E841676"/>
    <w:rsid w:val="1E8A5647"/>
    <w:rsid w:val="1E8E20FF"/>
    <w:rsid w:val="1EAE454F"/>
    <w:rsid w:val="1EC57AEB"/>
    <w:rsid w:val="1ECE4FD1"/>
    <w:rsid w:val="1ECE7234"/>
    <w:rsid w:val="1EDB63FA"/>
    <w:rsid w:val="1EFC60A0"/>
    <w:rsid w:val="1F182311"/>
    <w:rsid w:val="1F6D3A27"/>
    <w:rsid w:val="1F75506D"/>
    <w:rsid w:val="1F9951FF"/>
    <w:rsid w:val="1F9F033C"/>
    <w:rsid w:val="1FA859FD"/>
    <w:rsid w:val="1FC16504"/>
    <w:rsid w:val="1FC3402A"/>
    <w:rsid w:val="1FCA1DA7"/>
    <w:rsid w:val="1FCA360B"/>
    <w:rsid w:val="1FE10049"/>
    <w:rsid w:val="20131886"/>
    <w:rsid w:val="2040567B"/>
    <w:rsid w:val="204B40BD"/>
    <w:rsid w:val="20607ACB"/>
    <w:rsid w:val="206155F1"/>
    <w:rsid w:val="20735A50"/>
    <w:rsid w:val="208B2F0D"/>
    <w:rsid w:val="208C08C0"/>
    <w:rsid w:val="20967991"/>
    <w:rsid w:val="20B53DB9"/>
    <w:rsid w:val="210A0E5B"/>
    <w:rsid w:val="21145D8F"/>
    <w:rsid w:val="2136405D"/>
    <w:rsid w:val="2163106E"/>
    <w:rsid w:val="21676C37"/>
    <w:rsid w:val="218965AC"/>
    <w:rsid w:val="21A0181F"/>
    <w:rsid w:val="21C05721"/>
    <w:rsid w:val="21CF3036"/>
    <w:rsid w:val="21E708E7"/>
    <w:rsid w:val="21F81FF0"/>
    <w:rsid w:val="22081361"/>
    <w:rsid w:val="22170948"/>
    <w:rsid w:val="222A65E3"/>
    <w:rsid w:val="22314E39"/>
    <w:rsid w:val="22687B5E"/>
    <w:rsid w:val="226A697C"/>
    <w:rsid w:val="22AF7CE1"/>
    <w:rsid w:val="22B42350"/>
    <w:rsid w:val="22CE51C0"/>
    <w:rsid w:val="22DF0308"/>
    <w:rsid w:val="22E06DFF"/>
    <w:rsid w:val="231632C0"/>
    <w:rsid w:val="231D6147"/>
    <w:rsid w:val="231E1718"/>
    <w:rsid w:val="233F38A6"/>
    <w:rsid w:val="234B6811"/>
    <w:rsid w:val="2358708E"/>
    <w:rsid w:val="23597F78"/>
    <w:rsid w:val="23690370"/>
    <w:rsid w:val="23713D9D"/>
    <w:rsid w:val="23846516"/>
    <w:rsid w:val="23955CDE"/>
    <w:rsid w:val="23B5012E"/>
    <w:rsid w:val="23C334C2"/>
    <w:rsid w:val="23D20365"/>
    <w:rsid w:val="23E822B1"/>
    <w:rsid w:val="23EB6D8E"/>
    <w:rsid w:val="23F21382"/>
    <w:rsid w:val="24044C11"/>
    <w:rsid w:val="241C63FF"/>
    <w:rsid w:val="24271A83"/>
    <w:rsid w:val="24396EEF"/>
    <w:rsid w:val="243D5EF1"/>
    <w:rsid w:val="245142FB"/>
    <w:rsid w:val="24517416"/>
    <w:rsid w:val="245711E5"/>
    <w:rsid w:val="245F611A"/>
    <w:rsid w:val="246413D6"/>
    <w:rsid w:val="24681F86"/>
    <w:rsid w:val="247E617E"/>
    <w:rsid w:val="248F3D6A"/>
    <w:rsid w:val="24976729"/>
    <w:rsid w:val="24AA3A0B"/>
    <w:rsid w:val="24C71FE5"/>
    <w:rsid w:val="24E17DBE"/>
    <w:rsid w:val="24E34FD5"/>
    <w:rsid w:val="24EA2464"/>
    <w:rsid w:val="250D59BB"/>
    <w:rsid w:val="25331C52"/>
    <w:rsid w:val="255313A6"/>
    <w:rsid w:val="255C45DD"/>
    <w:rsid w:val="25695674"/>
    <w:rsid w:val="25770D95"/>
    <w:rsid w:val="257D00DA"/>
    <w:rsid w:val="257F4191"/>
    <w:rsid w:val="2580476C"/>
    <w:rsid w:val="258277C2"/>
    <w:rsid w:val="25894E86"/>
    <w:rsid w:val="25B271E9"/>
    <w:rsid w:val="25B82157"/>
    <w:rsid w:val="25E60E47"/>
    <w:rsid w:val="25EA424B"/>
    <w:rsid w:val="25EA4C74"/>
    <w:rsid w:val="25F50CB6"/>
    <w:rsid w:val="25FC0296"/>
    <w:rsid w:val="260D24A3"/>
    <w:rsid w:val="263E0B11"/>
    <w:rsid w:val="26446FDF"/>
    <w:rsid w:val="264855E4"/>
    <w:rsid w:val="265F25D3"/>
    <w:rsid w:val="26B20EC6"/>
    <w:rsid w:val="26BC17D3"/>
    <w:rsid w:val="27075337"/>
    <w:rsid w:val="27122C1B"/>
    <w:rsid w:val="271D04C4"/>
    <w:rsid w:val="2724211A"/>
    <w:rsid w:val="27302737"/>
    <w:rsid w:val="27612A66"/>
    <w:rsid w:val="27624129"/>
    <w:rsid w:val="27663DE1"/>
    <w:rsid w:val="276E6F72"/>
    <w:rsid w:val="277D71B5"/>
    <w:rsid w:val="27851DB4"/>
    <w:rsid w:val="27982240"/>
    <w:rsid w:val="27D765EE"/>
    <w:rsid w:val="27F40B59"/>
    <w:rsid w:val="27FA6A57"/>
    <w:rsid w:val="2800346A"/>
    <w:rsid w:val="28046B9A"/>
    <w:rsid w:val="281A2AED"/>
    <w:rsid w:val="281F281F"/>
    <w:rsid w:val="28224B83"/>
    <w:rsid w:val="283C7070"/>
    <w:rsid w:val="2843570A"/>
    <w:rsid w:val="28607A60"/>
    <w:rsid w:val="28667C49"/>
    <w:rsid w:val="286872E1"/>
    <w:rsid w:val="28880F97"/>
    <w:rsid w:val="28991DCC"/>
    <w:rsid w:val="28BA252D"/>
    <w:rsid w:val="28CA6715"/>
    <w:rsid w:val="28D15A0A"/>
    <w:rsid w:val="28E374EB"/>
    <w:rsid w:val="28FE4325"/>
    <w:rsid w:val="290838BC"/>
    <w:rsid w:val="29283150"/>
    <w:rsid w:val="294C757A"/>
    <w:rsid w:val="296028EA"/>
    <w:rsid w:val="298A5BB9"/>
    <w:rsid w:val="29AD63FD"/>
    <w:rsid w:val="29B53305"/>
    <w:rsid w:val="29BB753F"/>
    <w:rsid w:val="29C309DF"/>
    <w:rsid w:val="29C63095"/>
    <w:rsid w:val="29FF21BF"/>
    <w:rsid w:val="2A0539F9"/>
    <w:rsid w:val="2A0911D4"/>
    <w:rsid w:val="2A1738F0"/>
    <w:rsid w:val="2A1A6F3D"/>
    <w:rsid w:val="2A2B114A"/>
    <w:rsid w:val="2A3529F7"/>
    <w:rsid w:val="2A626B71"/>
    <w:rsid w:val="2A69012A"/>
    <w:rsid w:val="2AB04B25"/>
    <w:rsid w:val="2AB54EB7"/>
    <w:rsid w:val="2AC51F3F"/>
    <w:rsid w:val="2AC82E3D"/>
    <w:rsid w:val="2ADA1568"/>
    <w:rsid w:val="2ADC73AA"/>
    <w:rsid w:val="2ADD3DEE"/>
    <w:rsid w:val="2AE15CAC"/>
    <w:rsid w:val="2AFB6D6E"/>
    <w:rsid w:val="2B057D63"/>
    <w:rsid w:val="2B0E138B"/>
    <w:rsid w:val="2B195446"/>
    <w:rsid w:val="2B1D34FD"/>
    <w:rsid w:val="2B39152A"/>
    <w:rsid w:val="2B481888"/>
    <w:rsid w:val="2B6C0686"/>
    <w:rsid w:val="2B795DEE"/>
    <w:rsid w:val="2B7B5E0E"/>
    <w:rsid w:val="2B8A25D7"/>
    <w:rsid w:val="2BA47406"/>
    <w:rsid w:val="2BB5313E"/>
    <w:rsid w:val="2BCA04EF"/>
    <w:rsid w:val="2BE21CDC"/>
    <w:rsid w:val="2BE5344F"/>
    <w:rsid w:val="2BEE5E0A"/>
    <w:rsid w:val="2BF817B2"/>
    <w:rsid w:val="2C0C6D59"/>
    <w:rsid w:val="2C271DE5"/>
    <w:rsid w:val="2C471EA2"/>
    <w:rsid w:val="2C7A0167"/>
    <w:rsid w:val="2C840FE5"/>
    <w:rsid w:val="2C932FD6"/>
    <w:rsid w:val="2CBC252D"/>
    <w:rsid w:val="2CBC739B"/>
    <w:rsid w:val="2CD535EF"/>
    <w:rsid w:val="2CDA6E57"/>
    <w:rsid w:val="2CE132A0"/>
    <w:rsid w:val="2CED6B8B"/>
    <w:rsid w:val="2CF03F85"/>
    <w:rsid w:val="2CF2792E"/>
    <w:rsid w:val="2CF955D6"/>
    <w:rsid w:val="2CFF1D81"/>
    <w:rsid w:val="2D0006F8"/>
    <w:rsid w:val="2D00218E"/>
    <w:rsid w:val="2D0E7D49"/>
    <w:rsid w:val="2D186B22"/>
    <w:rsid w:val="2D244E23"/>
    <w:rsid w:val="2D346567"/>
    <w:rsid w:val="2D4471BB"/>
    <w:rsid w:val="2D4A3D56"/>
    <w:rsid w:val="2D4F065D"/>
    <w:rsid w:val="2D684465"/>
    <w:rsid w:val="2D7409BD"/>
    <w:rsid w:val="2D76092E"/>
    <w:rsid w:val="2D7E5A35"/>
    <w:rsid w:val="2D8B5740"/>
    <w:rsid w:val="2D8E211C"/>
    <w:rsid w:val="2D962D7E"/>
    <w:rsid w:val="2DDA3165"/>
    <w:rsid w:val="2DDA61E1"/>
    <w:rsid w:val="2DF67CC1"/>
    <w:rsid w:val="2E2062B1"/>
    <w:rsid w:val="2E2B67F4"/>
    <w:rsid w:val="2E30703B"/>
    <w:rsid w:val="2E4E5407"/>
    <w:rsid w:val="2E5B74F6"/>
    <w:rsid w:val="2E660784"/>
    <w:rsid w:val="2E9D72A1"/>
    <w:rsid w:val="2EA4771D"/>
    <w:rsid w:val="2EB20AE4"/>
    <w:rsid w:val="2EB8715F"/>
    <w:rsid w:val="2EC60A4A"/>
    <w:rsid w:val="2EC83DAD"/>
    <w:rsid w:val="2F1E6861"/>
    <w:rsid w:val="2F487E5C"/>
    <w:rsid w:val="2F601896"/>
    <w:rsid w:val="2F63720A"/>
    <w:rsid w:val="2F740E9D"/>
    <w:rsid w:val="2F780088"/>
    <w:rsid w:val="2F854125"/>
    <w:rsid w:val="2F874559"/>
    <w:rsid w:val="2F990904"/>
    <w:rsid w:val="2FA31782"/>
    <w:rsid w:val="2FB27C17"/>
    <w:rsid w:val="2FBE373E"/>
    <w:rsid w:val="2FC031AF"/>
    <w:rsid w:val="2FCE2CA3"/>
    <w:rsid w:val="2FD22097"/>
    <w:rsid w:val="2FD53E0F"/>
    <w:rsid w:val="2FDB53C0"/>
    <w:rsid w:val="2FDD4C94"/>
    <w:rsid w:val="2FE96F27"/>
    <w:rsid w:val="300A0177"/>
    <w:rsid w:val="3020423D"/>
    <w:rsid w:val="30495F76"/>
    <w:rsid w:val="305C2BB0"/>
    <w:rsid w:val="3065119A"/>
    <w:rsid w:val="307C04C0"/>
    <w:rsid w:val="30A06426"/>
    <w:rsid w:val="30B8300C"/>
    <w:rsid w:val="30C057BA"/>
    <w:rsid w:val="30D616E4"/>
    <w:rsid w:val="30DE72D9"/>
    <w:rsid w:val="30E33E31"/>
    <w:rsid w:val="30F71D86"/>
    <w:rsid w:val="31235140"/>
    <w:rsid w:val="312468F3"/>
    <w:rsid w:val="313266FA"/>
    <w:rsid w:val="313B1717"/>
    <w:rsid w:val="313E4DC4"/>
    <w:rsid w:val="315E2BC5"/>
    <w:rsid w:val="316D73C0"/>
    <w:rsid w:val="31702EF2"/>
    <w:rsid w:val="317071E6"/>
    <w:rsid w:val="317E4255"/>
    <w:rsid w:val="317F3B29"/>
    <w:rsid w:val="31801D4F"/>
    <w:rsid w:val="31972AA8"/>
    <w:rsid w:val="31A65C70"/>
    <w:rsid w:val="31AE3C91"/>
    <w:rsid w:val="31DB16A7"/>
    <w:rsid w:val="323B52B4"/>
    <w:rsid w:val="32452FA9"/>
    <w:rsid w:val="32513718"/>
    <w:rsid w:val="3254446B"/>
    <w:rsid w:val="3259088E"/>
    <w:rsid w:val="327B2543"/>
    <w:rsid w:val="329652B3"/>
    <w:rsid w:val="329A025A"/>
    <w:rsid w:val="329A395E"/>
    <w:rsid w:val="32A45F3D"/>
    <w:rsid w:val="32AA2E28"/>
    <w:rsid w:val="32B113B0"/>
    <w:rsid w:val="32B31CDC"/>
    <w:rsid w:val="32C969F8"/>
    <w:rsid w:val="32E74748"/>
    <w:rsid w:val="32ED1692"/>
    <w:rsid w:val="33020CC1"/>
    <w:rsid w:val="33233306"/>
    <w:rsid w:val="335975A0"/>
    <w:rsid w:val="33666E2C"/>
    <w:rsid w:val="33711FA1"/>
    <w:rsid w:val="33784CD4"/>
    <w:rsid w:val="337C47C4"/>
    <w:rsid w:val="339A10EE"/>
    <w:rsid w:val="339E7B3C"/>
    <w:rsid w:val="33AB06FF"/>
    <w:rsid w:val="33AD5F50"/>
    <w:rsid w:val="33B66B8B"/>
    <w:rsid w:val="34037ADA"/>
    <w:rsid w:val="342A34C2"/>
    <w:rsid w:val="344D6161"/>
    <w:rsid w:val="34586FDF"/>
    <w:rsid w:val="347B4711"/>
    <w:rsid w:val="3482405C"/>
    <w:rsid w:val="348267AB"/>
    <w:rsid w:val="34DF14AF"/>
    <w:rsid w:val="34FD1935"/>
    <w:rsid w:val="351C69FF"/>
    <w:rsid w:val="3553087F"/>
    <w:rsid w:val="35717C54"/>
    <w:rsid w:val="35777939"/>
    <w:rsid w:val="357E2AE3"/>
    <w:rsid w:val="359A47E3"/>
    <w:rsid w:val="35AF1C4F"/>
    <w:rsid w:val="35B30926"/>
    <w:rsid w:val="35DA6F8D"/>
    <w:rsid w:val="35DC779C"/>
    <w:rsid w:val="35DF434D"/>
    <w:rsid w:val="35E81328"/>
    <w:rsid w:val="35EF5721"/>
    <w:rsid w:val="35F5085E"/>
    <w:rsid w:val="35FE3BB6"/>
    <w:rsid w:val="361909F0"/>
    <w:rsid w:val="361978A4"/>
    <w:rsid w:val="3627310D"/>
    <w:rsid w:val="36462E68"/>
    <w:rsid w:val="364C2F9C"/>
    <w:rsid w:val="365307CA"/>
    <w:rsid w:val="3659703F"/>
    <w:rsid w:val="368A1F78"/>
    <w:rsid w:val="36963DEF"/>
    <w:rsid w:val="36A91D74"/>
    <w:rsid w:val="36BB098A"/>
    <w:rsid w:val="36E74BCF"/>
    <w:rsid w:val="36F56D67"/>
    <w:rsid w:val="3709636F"/>
    <w:rsid w:val="37167153"/>
    <w:rsid w:val="372F7B9E"/>
    <w:rsid w:val="37487677"/>
    <w:rsid w:val="376E1D1A"/>
    <w:rsid w:val="376E20F1"/>
    <w:rsid w:val="378400B8"/>
    <w:rsid w:val="379F4582"/>
    <w:rsid w:val="37A95131"/>
    <w:rsid w:val="37DC6912"/>
    <w:rsid w:val="37F21986"/>
    <w:rsid w:val="37FE7E9E"/>
    <w:rsid w:val="38003C16"/>
    <w:rsid w:val="381A0BE8"/>
    <w:rsid w:val="384B4725"/>
    <w:rsid w:val="38566C42"/>
    <w:rsid w:val="3857135C"/>
    <w:rsid w:val="386374A9"/>
    <w:rsid w:val="3875343D"/>
    <w:rsid w:val="3882287D"/>
    <w:rsid w:val="38B8203E"/>
    <w:rsid w:val="38C31435"/>
    <w:rsid w:val="38C842C0"/>
    <w:rsid w:val="38C85C77"/>
    <w:rsid w:val="38CA1127"/>
    <w:rsid w:val="38E273AD"/>
    <w:rsid w:val="38E80323"/>
    <w:rsid w:val="38F4304F"/>
    <w:rsid w:val="3901698C"/>
    <w:rsid w:val="390A097A"/>
    <w:rsid w:val="391D1F43"/>
    <w:rsid w:val="39241B86"/>
    <w:rsid w:val="393D67A4"/>
    <w:rsid w:val="394538AA"/>
    <w:rsid w:val="394638C2"/>
    <w:rsid w:val="394C2E8B"/>
    <w:rsid w:val="395104A1"/>
    <w:rsid w:val="3967764F"/>
    <w:rsid w:val="39810D86"/>
    <w:rsid w:val="3986639D"/>
    <w:rsid w:val="398D4BEA"/>
    <w:rsid w:val="39AE31FE"/>
    <w:rsid w:val="39BF3A57"/>
    <w:rsid w:val="39F23A32"/>
    <w:rsid w:val="3A007735"/>
    <w:rsid w:val="3A053765"/>
    <w:rsid w:val="3A0C601B"/>
    <w:rsid w:val="3A1428E9"/>
    <w:rsid w:val="3A1675B4"/>
    <w:rsid w:val="3A3312D0"/>
    <w:rsid w:val="3A4F678F"/>
    <w:rsid w:val="3A5730C6"/>
    <w:rsid w:val="3A661829"/>
    <w:rsid w:val="3A744447"/>
    <w:rsid w:val="3A8B1791"/>
    <w:rsid w:val="3A8C79E3"/>
    <w:rsid w:val="3AA50161"/>
    <w:rsid w:val="3AA967C0"/>
    <w:rsid w:val="3AAD6186"/>
    <w:rsid w:val="3AB92C9A"/>
    <w:rsid w:val="3AC86B62"/>
    <w:rsid w:val="3ACE7FFB"/>
    <w:rsid w:val="3ADE5C5A"/>
    <w:rsid w:val="3AE113B1"/>
    <w:rsid w:val="3AE1523B"/>
    <w:rsid w:val="3AF630AE"/>
    <w:rsid w:val="3AFA53D4"/>
    <w:rsid w:val="3B055D6E"/>
    <w:rsid w:val="3B0C4680"/>
    <w:rsid w:val="3B0F4091"/>
    <w:rsid w:val="3B201438"/>
    <w:rsid w:val="3B247C1B"/>
    <w:rsid w:val="3B582D78"/>
    <w:rsid w:val="3B7B5437"/>
    <w:rsid w:val="3B8732EB"/>
    <w:rsid w:val="3BA070C9"/>
    <w:rsid w:val="3BB645EB"/>
    <w:rsid w:val="3BC17ED2"/>
    <w:rsid w:val="3BC66F24"/>
    <w:rsid w:val="3BD11425"/>
    <w:rsid w:val="3BD66A3C"/>
    <w:rsid w:val="3BFD7F8A"/>
    <w:rsid w:val="3C1C4D96"/>
    <w:rsid w:val="3C285B15"/>
    <w:rsid w:val="3C652026"/>
    <w:rsid w:val="3C7474B8"/>
    <w:rsid w:val="3C77021F"/>
    <w:rsid w:val="3C8816F0"/>
    <w:rsid w:val="3C8C0310"/>
    <w:rsid w:val="3CDE2DEC"/>
    <w:rsid w:val="3CDE59B5"/>
    <w:rsid w:val="3CE31410"/>
    <w:rsid w:val="3CE533DA"/>
    <w:rsid w:val="3D141F11"/>
    <w:rsid w:val="3D1B7D86"/>
    <w:rsid w:val="3D2A6DEF"/>
    <w:rsid w:val="3D3C30A2"/>
    <w:rsid w:val="3D40624D"/>
    <w:rsid w:val="3D440087"/>
    <w:rsid w:val="3D4E1562"/>
    <w:rsid w:val="3D4F4CF8"/>
    <w:rsid w:val="3D5051DA"/>
    <w:rsid w:val="3D94095C"/>
    <w:rsid w:val="3DA652FE"/>
    <w:rsid w:val="3DCE0312"/>
    <w:rsid w:val="3DD60F75"/>
    <w:rsid w:val="3DF12C27"/>
    <w:rsid w:val="3DFB09DB"/>
    <w:rsid w:val="3E2607ED"/>
    <w:rsid w:val="3E447D10"/>
    <w:rsid w:val="3E4B54BF"/>
    <w:rsid w:val="3E6622F9"/>
    <w:rsid w:val="3E9A01F4"/>
    <w:rsid w:val="3E9E2257"/>
    <w:rsid w:val="3E9F2ABC"/>
    <w:rsid w:val="3EA0190A"/>
    <w:rsid w:val="3EA3354D"/>
    <w:rsid w:val="3EA51068"/>
    <w:rsid w:val="3EB94B1E"/>
    <w:rsid w:val="3ED8395B"/>
    <w:rsid w:val="3EEA11DF"/>
    <w:rsid w:val="3EF21DDE"/>
    <w:rsid w:val="3F0833B0"/>
    <w:rsid w:val="3F107E00"/>
    <w:rsid w:val="3F134F7F"/>
    <w:rsid w:val="3F590010"/>
    <w:rsid w:val="3F5D0C74"/>
    <w:rsid w:val="3F7F7B16"/>
    <w:rsid w:val="3FAE1904"/>
    <w:rsid w:val="3FB403B2"/>
    <w:rsid w:val="3FC90D91"/>
    <w:rsid w:val="3FE931E1"/>
    <w:rsid w:val="403830AC"/>
    <w:rsid w:val="405014B2"/>
    <w:rsid w:val="40534AFF"/>
    <w:rsid w:val="4062658D"/>
    <w:rsid w:val="406F3341"/>
    <w:rsid w:val="407050F1"/>
    <w:rsid w:val="407F3E20"/>
    <w:rsid w:val="40923879"/>
    <w:rsid w:val="409C567D"/>
    <w:rsid w:val="40A6497D"/>
    <w:rsid w:val="40A84E4B"/>
    <w:rsid w:val="40BC4452"/>
    <w:rsid w:val="40F40090"/>
    <w:rsid w:val="40F45A6F"/>
    <w:rsid w:val="412907A1"/>
    <w:rsid w:val="414D7135"/>
    <w:rsid w:val="41834F07"/>
    <w:rsid w:val="418666BD"/>
    <w:rsid w:val="4187200D"/>
    <w:rsid w:val="41962EF5"/>
    <w:rsid w:val="41995877"/>
    <w:rsid w:val="419A4D13"/>
    <w:rsid w:val="41B33AA7"/>
    <w:rsid w:val="41BF7088"/>
    <w:rsid w:val="421D3616"/>
    <w:rsid w:val="423544BC"/>
    <w:rsid w:val="423B1442"/>
    <w:rsid w:val="42425BDF"/>
    <w:rsid w:val="42576B28"/>
    <w:rsid w:val="42586B91"/>
    <w:rsid w:val="42892057"/>
    <w:rsid w:val="429F1E72"/>
    <w:rsid w:val="429F4065"/>
    <w:rsid w:val="42AB6E74"/>
    <w:rsid w:val="42B03C23"/>
    <w:rsid w:val="42B2465C"/>
    <w:rsid w:val="42D640CA"/>
    <w:rsid w:val="42DC1075"/>
    <w:rsid w:val="42DE0D58"/>
    <w:rsid w:val="42DE7A7B"/>
    <w:rsid w:val="42E10491"/>
    <w:rsid w:val="42F26C2C"/>
    <w:rsid w:val="42F63DE9"/>
    <w:rsid w:val="43574906"/>
    <w:rsid w:val="438A290A"/>
    <w:rsid w:val="43C67F35"/>
    <w:rsid w:val="43C74575"/>
    <w:rsid w:val="43E43739"/>
    <w:rsid w:val="43FAEFD0"/>
    <w:rsid w:val="443B0600"/>
    <w:rsid w:val="4441183E"/>
    <w:rsid w:val="444A4FF2"/>
    <w:rsid w:val="445B2EBA"/>
    <w:rsid w:val="4460035F"/>
    <w:rsid w:val="446C618F"/>
    <w:rsid w:val="446E57D9"/>
    <w:rsid w:val="448266BF"/>
    <w:rsid w:val="449049F8"/>
    <w:rsid w:val="44A86B9B"/>
    <w:rsid w:val="44C45824"/>
    <w:rsid w:val="44CC3BE5"/>
    <w:rsid w:val="44DA57EF"/>
    <w:rsid w:val="44DA759D"/>
    <w:rsid w:val="44DD0E3B"/>
    <w:rsid w:val="44DE7232"/>
    <w:rsid w:val="44DF4BB3"/>
    <w:rsid w:val="44EC572F"/>
    <w:rsid w:val="45074C85"/>
    <w:rsid w:val="45102FBE"/>
    <w:rsid w:val="45664A2B"/>
    <w:rsid w:val="45A5604B"/>
    <w:rsid w:val="45D4223E"/>
    <w:rsid w:val="45F12DF0"/>
    <w:rsid w:val="4602339C"/>
    <w:rsid w:val="46173C9D"/>
    <w:rsid w:val="4632038F"/>
    <w:rsid w:val="46386C71"/>
    <w:rsid w:val="46641814"/>
    <w:rsid w:val="46880436"/>
    <w:rsid w:val="468A301B"/>
    <w:rsid w:val="46925084"/>
    <w:rsid w:val="46935C55"/>
    <w:rsid w:val="46A11BA1"/>
    <w:rsid w:val="46B138F5"/>
    <w:rsid w:val="46D1677D"/>
    <w:rsid w:val="46F44373"/>
    <w:rsid w:val="47025B21"/>
    <w:rsid w:val="470C4453"/>
    <w:rsid w:val="471036C6"/>
    <w:rsid w:val="47305B9A"/>
    <w:rsid w:val="47411B55"/>
    <w:rsid w:val="4746114F"/>
    <w:rsid w:val="4763634B"/>
    <w:rsid w:val="47846991"/>
    <w:rsid w:val="47887784"/>
    <w:rsid w:val="47A05E65"/>
    <w:rsid w:val="47AA6ADF"/>
    <w:rsid w:val="47D12ED9"/>
    <w:rsid w:val="47E606A5"/>
    <w:rsid w:val="47EC047B"/>
    <w:rsid w:val="47EC1AC1"/>
    <w:rsid w:val="47F06548"/>
    <w:rsid w:val="47F172BA"/>
    <w:rsid w:val="47F53C79"/>
    <w:rsid w:val="482974A7"/>
    <w:rsid w:val="48474F49"/>
    <w:rsid w:val="48627FD5"/>
    <w:rsid w:val="4864321A"/>
    <w:rsid w:val="48677399"/>
    <w:rsid w:val="48D52AE9"/>
    <w:rsid w:val="48FD1AAC"/>
    <w:rsid w:val="48FF2105"/>
    <w:rsid w:val="4910358D"/>
    <w:rsid w:val="491155A3"/>
    <w:rsid w:val="491A440C"/>
    <w:rsid w:val="495C35A9"/>
    <w:rsid w:val="496068F3"/>
    <w:rsid w:val="49614F7A"/>
    <w:rsid w:val="49627B61"/>
    <w:rsid w:val="499E3603"/>
    <w:rsid w:val="49CD04E5"/>
    <w:rsid w:val="49CF169A"/>
    <w:rsid w:val="49F15899"/>
    <w:rsid w:val="49FB119D"/>
    <w:rsid w:val="4A070E34"/>
    <w:rsid w:val="4A190B67"/>
    <w:rsid w:val="4A1A5506"/>
    <w:rsid w:val="4A361719"/>
    <w:rsid w:val="4A5D4A86"/>
    <w:rsid w:val="4A657908"/>
    <w:rsid w:val="4A6B76D7"/>
    <w:rsid w:val="4A7933B4"/>
    <w:rsid w:val="4A8823AE"/>
    <w:rsid w:val="4AAF7FE0"/>
    <w:rsid w:val="4AC85640"/>
    <w:rsid w:val="4AD12E5A"/>
    <w:rsid w:val="4AD80FD1"/>
    <w:rsid w:val="4AE271AB"/>
    <w:rsid w:val="4AE66459"/>
    <w:rsid w:val="4B304EE1"/>
    <w:rsid w:val="4B3F63AB"/>
    <w:rsid w:val="4B4E65EF"/>
    <w:rsid w:val="4B55666B"/>
    <w:rsid w:val="4B565BBA"/>
    <w:rsid w:val="4B7F49FA"/>
    <w:rsid w:val="4B954E25"/>
    <w:rsid w:val="4BA651E2"/>
    <w:rsid w:val="4BB5041C"/>
    <w:rsid w:val="4BB77AB2"/>
    <w:rsid w:val="4BD13CFE"/>
    <w:rsid w:val="4BDA60D4"/>
    <w:rsid w:val="4BE45480"/>
    <w:rsid w:val="4BE8256A"/>
    <w:rsid w:val="4C0A0F91"/>
    <w:rsid w:val="4C2A2BB8"/>
    <w:rsid w:val="4C356637"/>
    <w:rsid w:val="4C6111C2"/>
    <w:rsid w:val="4C872721"/>
    <w:rsid w:val="4C9D782D"/>
    <w:rsid w:val="4CE76D9C"/>
    <w:rsid w:val="4D01600E"/>
    <w:rsid w:val="4D021D86"/>
    <w:rsid w:val="4D09629A"/>
    <w:rsid w:val="4D1F46E6"/>
    <w:rsid w:val="4D3844D8"/>
    <w:rsid w:val="4D5C1497"/>
    <w:rsid w:val="4D6F380D"/>
    <w:rsid w:val="4D780890"/>
    <w:rsid w:val="4D8825B5"/>
    <w:rsid w:val="4D8E6CAE"/>
    <w:rsid w:val="4D967D9A"/>
    <w:rsid w:val="4D9D385D"/>
    <w:rsid w:val="4DA92202"/>
    <w:rsid w:val="4DCA69F7"/>
    <w:rsid w:val="4DD13DE5"/>
    <w:rsid w:val="4DF72F6D"/>
    <w:rsid w:val="4DF8457F"/>
    <w:rsid w:val="4E0538DC"/>
    <w:rsid w:val="4E264AF3"/>
    <w:rsid w:val="4E3D5ED8"/>
    <w:rsid w:val="4E3E6DEE"/>
    <w:rsid w:val="4E4F1CA6"/>
    <w:rsid w:val="4E612A80"/>
    <w:rsid w:val="4E6316DE"/>
    <w:rsid w:val="4E742810"/>
    <w:rsid w:val="4E843E1F"/>
    <w:rsid w:val="4E8E2355"/>
    <w:rsid w:val="4EAA342D"/>
    <w:rsid w:val="4EB8094F"/>
    <w:rsid w:val="4EBB6BE8"/>
    <w:rsid w:val="4EC63DDE"/>
    <w:rsid w:val="4ECA2430"/>
    <w:rsid w:val="4ED3189B"/>
    <w:rsid w:val="4EDA5644"/>
    <w:rsid w:val="4EF57642"/>
    <w:rsid w:val="4F032326"/>
    <w:rsid w:val="4F0C0C9A"/>
    <w:rsid w:val="4F0C47F7"/>
    <w:rsid w:val="4F1C5C3C"/>
    <w:rsid w:val="4F202DB6"/>
    <w:rsid w:val="4F35414D"/>
    <w:rsid w:val="4F367AC5"/>
    <w:rsid w:val="4F455F5A"/>
    <w:rsid w:val="4F4E7A72"/>
    <w:rsid w:val="4F524F63"/>
    <w:rsid w:val="4F813436"/>
    <w:rsid w:val="4FC5543D"/>
    <w:rsid w:val="4FC70010"/>
    <w:rsid w:val="4FFB1ABC"/>
    <w:rsid w:val="4FFD5B7C"/>
    <w:rsid w:val="500C0359"/>
    <w:rsid w:val="501567CB"/>
    <w:rsid w:val="50211B71"/>
    <w:rsid w:val="50505565"/>
    <w:rsid w:val="50525C99"/>
    <w:rsid w:val="506D7517"/>
    <w:rsid w:val="50777623"/>
    <w:rsid w:val="50A867A1"/>
    <w:rsid w:val="50AF18DD"/>
    <w:rsid w:val="50B05655"/>
    <w:rsid w:val="50B75056"/>
    <w:rsid w:val="50C25AB5"/>
    <w:rsid w:val="50C91A43"/>
    <w:rsid w:val="50CF4266"/>
    <w:rsid w:val="50F87FAC"/>
    <w:rsid w:val="51330760"/>
    <w:rsid w:val="51453FF0"/>
    <w:rsid w:val="5145631B"/>
    <w:rsid w:val="51620050"/>
    <w:rsid w:val="51713037"/>
    <w:rsid w:val="517261E5"/>
    <w:rsid w:val="519A07DF"/>
    <w:rsid w:val="51BC69A8"/>
    <w:rsid w:val="51BF15E8"/>
    <w:rsid w:val="51E657D3"/>
    <w:rsid w:val="520B1D00"/>
    <w:rsid w:val="52282717"/>
    <w:rsid w:val="529F1132"/>
    <w:rsid w:val="52A378D9"/>
    <w:rsid w:val="52A462E6"/>
    <w:rsid w:val="52BC45D8"/>
    <w:rsid w:val="52EA41C9"/>
    <w:rsid w:val="52F263F9"/>
    <w:rsid w:val="5319725C"/>
    <w:rsid w:val="533E4E87"/>
    <w:rsid w:val="53445747"/>
    <w:rsid w:val="534D324C"/>
    <w:rsid w:val="5365648C"/>
    <w:rsid w:val="5376752B"/>
    <w:rsid w:val="53964FD7"/>
    <w:rsid w:val="539E0D4B"/>
    <w:rsid w:val="53A10DA8"/>
    <w:rsid w:val="53A41AA1"/>
    <w:rsid w:val="53FA37B7"/>
    <w:rsid w:val="5402441A"/>
    <w:rsid w:val="54096145"/>
    <w:rsid w:val="540C46F6"/>
    <w:rsid w:val="5441308C"/>
    <w:rsid w:val="54436F0C"/>
    <w:rsid w:val="54443771"/>
    <w:rsid w:val="544C2923"/>
    <w:rsid w:val="54624338"/>
    <w:rsid w:val="54662BFB"/>
    <w:rsid w:val="546C7BF7"/>
    <w:rsid w:val="547345BE"/>
    <w:rsid w:val="5486329D"/>
    <w:rsid w:val="548D7221"/>
    <w:rsid w:val="54950492"/>
    <w:rsid w:val="549D31C7"/>
    <w:rsid w:val="54A53F79"/>
    <w:rsid w:val="54B23956"/>
    <w:rsid w:val="54D45DB6"/>
    <w:rsid w:val="54DB5397"/>
    <w:rsid w:val="54EA382C"/>
    <w:rsid w:val="54EF2310"/>
    <w:rsid w:val="5504377C"/>
    <w:rsid w:val="55635B60"/>
    <w:rsid w:val="55665DBF"/>
    <w:rsid w:val="556E384F"/>
    <w:rsid w:val="55911B19"/>
    <w:rsid w:val="55AD414C"/>
    <w:rsid w:val="55CF39F8"/>
    <w:rsid w:val="55F304BE"/>
    <w:rsid w:val="56261E47"/>
    <w:rsid w:val="566273F2"/>
    <w:rsid w:val="568A7075"/>
    <w:rsid w:val="5693771B"/>
    <w:rsid w:val="569674D6"/>
    <w:rsid w:val="56B51C18"/>
    <w:rsid w:val="56C1555B"/>
    <w:rsid w:val="56F27583"/>
    <w:rsid w:val="56FC55C5"/>
    <w:rsid w:val="570063CB"/>
    <w:rsid w:val="57122BC6"/>
    <w:rsid w:val="57295041"/>
    <w:rsid w:val="57567F84"/>
    <w:rsid w:val="575B631B"/>
    <w:rsid w:val="576F0018"/>
    <w:rsid w:val="57743881"/>
    <w:rsid w:val="57826565"/>
    <w:rsid w:val="578E0089"/>
    <w:rsid w:val="57A44166"/>
    <w:rsid w:val="57AF59AB"/>
    <w:rsid w:val="57C21D9E"/>
    <w:rsid w:val="57EF409D"/>
    <w:rsid w:val="57F364F1"/>
    <w:rsid w:val="57FC2EEA"/>
    <w:rsid w:val="581643B2"/>
    <w:rsid w:val="583077A8"/>
    <w:rsid w:val="58482C7F"/>
    <w:rsid w:val="584B2834"/>
    <w:rsid w:val="58564D34"/>
    <w:rsid w:val="58666731"/>
    <w:rsid w:val="586E26D1"/>
    <w:rsid w:val="58711BA1"/>
    <w:rsid w:val="589462A5"/>
    <w:rsid w:val="58975A79"/>
    <w:rsid w:val="589917F1"/>
    <w:rsid w:val="58CC2B26"/>
    <w:rsid w:val="58E639D3"/>
    <w:rsid w:val="58F4023A"/>
    <w:rsid w:val="590824D3"/>
    <w:rsid w:val="59106AC1"/>
    <w:rsid w:val="59220479"/>
    <w:rsid w:val="592D1F39"/>
    <w:rsid w:val="593B28A8"/>
    <w:rsid w:val="593B4656"/>
    <w:rsid w:val="59452184"/>
    <w:rsid w:val="5960230F"/>
    <w:rsid w:val="598C3104"/>
    <w:rsid w:val="59A72F18"/>
    <w:rsid w:val="59C52952"/>
    <w:rsid w:val="59CD7278"/>
    <w:rsid w:val="59EC3BA2"/>
    <w:rsid w:val="5A1174AA"/>
    <w:rsid w:val="5A1B73FE"/>
    <w:rsid w:val="5A2F42B8"/>
    <w:rsid w:val="5A380B96"/>
    <w:rsid w:val="5A566545"/>
    <w:rsid w:val="5A5B65D1"/>
    <w:rsid w:val="5A7466C9"/>
    <w:rsid w:val="5A85126D"/>
    <w:rsid w:val="5A89268A"/>
    <w:rsid w:val="5A8B6F17"/>
    <w:rsid w:val="5A8D6C47"/>
    <w:rsid w:val="5A902780"/>
    <w:rsid w:val="5A923AFE"/>
    <w:rsid w:val="5A9545B4"/>
    <w:rsid w:val="5AA3206A"/>
    <w:rsid w:val="5AB02E22"/>
    <w:rsid w:val="5AB36A7C"/>
    <w:rsid w:val="5ABE21A4"/>
    <w:rsid w:val="5AC24903"/>
    <w:rsid w:val="5ACD39D4"/>
    <w:rsid w:val="5AE777FB"/>
    <w:rsid w:val="5B0E18F6"/>
    <w:rsid w:val="5B1A02B0"/>
    <w:rsid w:val="5B1F1D55"/>
    <w:rsid w:val="5B346059"/>
    <w:rsid w:val="5B9C33A6"/>
    <w:rsid w:val="5BA74225"/>
    <w:rsid w:val="5BAC7859"/>
    <w:rsid w:val="5BB866D0"/>
    <w:rsid w:val="5BBE331C"/>
    <w:rsid w:val="5BC22E0D"/>
    <w:rsid w:val="5BFD216E"/>
    <w:rsid w:val="5C047C2A"/>
    <w:rsid w:val="5C0732DB"/>
    <w:rsid w:val="5C0A0310"/>
    <w:rsid w:val="5C4A2E02"/>
    <w:rsid w:val="5C593AA7"/>
    <w:rsid w:val="5C617439"/>
    <w:rsid w:val="5C6C2D78"/>
    <w:rsid w:val="5C835DA4"/>
    <w:rsid w:val="5C953EDA"/>
    <w:rsid w:val="5CB70498"/>
    <w:rsid w:val="5CDC71B3"/>
    <w:rsid w:val="5CE67305"/>
    <w:rsid w:val="5CE84AF5"/>
    <w:rsid w:val="5CED0261"/>
    <w:rsid w:val="5CF243B1"/>
    <w:rsid w:val="5CF3349A"/>
    <w:rsid w:val="5D0211C9"/>
    <w:rsid w:val="5D11145B"/>
    <w:rsid w:val="5D2A5799"/>
    <w:rsid w:val="5D4278EA"/>
    <w:rsid w:val="5D4448E6"/>
    <w:rsid w:val="5D4822AF"/>
    <w:rsid w:val="5D4D71D3"/>
    <w:rsid w:val="5D4E67D6"/>
    <w:rsid w:val="5D68475F"/>
    <w:rsid w:val="5D6E241A"/>
    <w:rsid w:val="5DAE0039"/>
    <w:rsid w:val="5DB201D1"/>
    <w:rsid w:val="5DC25A71"/>
    <w:rsid w:val="5DE30E18"/>
    <w:rsid w:val="5DED613B"/>
    <w:rsid w:val="5DF2637B"/>
    <w:rsid w:val="5DF35FE0"/>
    <w:rsid w:val="5DF66D9E"/>
    <w:rsid w:val="5E023994"/>
    <w:rsid w:val="5E0314BA"/>
    <w:rsid w:val="5E0A0A9B"/>
    <w:rsid w:val="5E1831B8"/>
    <w:rsid w:val="5E1A28CC"/>
    <w:rsid w:val="5E214BE6"/>
    <w:rsid w:val="5E224037"/>
    <w:rsid w:val="5E3C3102"/>
    <w:rsid w:val="5E3D1D25"/>
    <w:rsid w:val="5E56783C"/>
    <w:rsid w:val="5E5B222C"/>
    <w:rsid w:val="5E9E2730"/>
    <w:rsid w:val="5EA75D44"/>
    <w:rsid w:val="5EC073AC"/>
    <w:rsid w:val="5EC21376"/>
    <w:rsid w:val="5EC529C2"/>
    <w:rsid w:val="5EF157B7"/>
    <w:rsid w:val="5EF5561C"/>
    <w:rsid w:val="5F072DA0"/>
    <w:rsid w:val="5F1F0DB8"/>
    <w:rsid w:val="5F3A0F0C"/>
    <w:rsid w:val="5F46756E"/>
    <w:rsid w:val="5F6D58CC"/>
    <w:rsid w:val="5F710DD4"/>
    <w:rsid w:val="5F724C78"/>
    <w:rsid w:val="5F8265AE"/>
    <w:rsid w:val="5FB76A00"/>
    <w:rsid w:val="5FD01870"/>
    <w:rsid w:val="5FD14D72"/>
    <w:rsid w:val="5FEA625B"/>
    <w:rsid w:val="60031639"/>
    <w:rsid w:val="600339F4"/>
    <w:rsid w:val="602037FC"/>
    <w:rsid w:val="605204D7"/>
    <w:rsid w:val="60793CB6"/>
    <w:rsid w:val="608D07BC"/>
    <w:rsid w:val="608E15EB"/>
    <w:rsid w:val="608F27EF"/>
    <w:rsid w:val="60942E6D"/>
    <w:rsid w:val="60C159DF"/>
    <w:rsid w:val="60D20857"/>
    <w:rsid w:val="61045C75"/>
    <w:rsid w:val="610C68D8"/>
    <w:rsid w:val="612105D5"/>
    <w:rsid w:val="612812EF"/>
    <w:rsid w:val="615269E1"/>
    <w:rsid w:val="615B0E51"/>
    <w:rsid w:val="615B25B3"/>
    <w:rsid w:val="617325FB"/>
    <w:rsid w:val="617E77D6"/>
    <w:rsid w:val="6193545C"/>
    <w:rsid w:val="6196638C"/>
    <w:rsid w:val="619E19B9"/>
    <w:rsid w:val="619F774C"/>
    <w:rsid w:val="61DA69D6"/>
    <w:rsid w:val="61F35A5A"/>
    <w:rsid w:val="621912AD"/>
    <w:rsid w:val="62416B14"/>
    <w:rsid w:val="62487DE4"/>
    <w:rsid w:val="62500A46"/>
    <w:rsid w:val="625422E5"/>
    <w:rsid w:val="62675B5F"/>
    <w:rsid w:val="62781EE6"/>
    <w:rsid w:val="628B15D4"/>
    <w:rsid w:val="62A468BF"/>
    <w:rsid w:val="62BF2ADF"/>
    <w:rsid w:val="62C05BCC"/>
    <w:rsid w:val="62CF7BBD"/>
    <w:rsid w:val="62D358FF"/>
    <w:rsid w:val="62F73EA8"/>
    <w:rsid w:val="63021D41"/>
    <w:rsid w:val="630F445E"/>
    <w:rsid w:val="63253835"/>
    <w:rsid w:val="63275E2D"/>
    <w:rsid w:val="632E6FDA"/>
    <w:rsid w:val="63332842"/>
    <w:rsid w:val="634B2759"/>
    <w:rsid w:val="636C5ADF"/>
    <w:rsid w:val="63730E90"/>
    <w:rsid w:val="63794C36"/>
    <w:rsid w:val="63820F1F"/>
    <w:rsid w:val="638559B0"/>
    <w:rsid w:val="639F1C85"/>
    <w:rsid w:val="63AB062A"/>
    <w:rsid w:val="63AB2A50"/>
    <w:rsid w:val="63C17E4E"/>
    <w:rsid w:val="63ED479F"/>
    <w:rsid w:val="63F1459C"/>
    <w:rsid w:val="64033FC2"/>
    <w:rsid w:val="642108EC"/>
    <w:rsid w:val="64267CB1"/>
    <w:rsid w:val="643D19DF"/>
    <w:rsid w:val="64430863"/>
    <w:rsid w:val="646F78AA"/>
    <w:rsid w:val="647730C7"/>
    <w:rsid w:val="647B1EF1"/>
    <w:rsid w:val="64A216CA"/>
    <w:rsid w:val="64AF6674"/>
    <w:rsid w:val="64C5571C"/>
    <w:rsid w:val="64D15ECB"/>
    <w:rsid w:val="64E53FAE"/>
    <w:rsid w:val="64E57454"/>
    <w:rsid w:val="64E9765C"/>
    <w:rsid w:val="64EB28E0"/>
    <w:rsid w:val="64FB03B0"/>
    <w:rsid w:val="65021814"/>
    <w:rsid w:val="6507224C"/>
    <w:rsid w:val="65080F4C"/>
    <w:rsid w:val="651D7306"/>
    <w:rsid w:val="6532281F"/>
    <w:rsid w:val="65426D6C"/>
    <w:rsid w:val="65476131"/>
    <w:rsid w:val="65640A91"/>
    <w:rsid w:val="65654809"/>
    <w:rsid w:val="65874A1F"/>
    <w:rsid w:val="658B30BC"/>
    <w:rsid w:val="659E4BCF"/>
    <w:rsid w:val="65AB2B63"/>
    <w:rsid w:val="65C11964"/>
    <w:rsid w:val="65E20D30"/>
    <w:rsid w:val="65E816C2"/>
    <w:rsid w:val="65F9364E"/>
    <w:rsid w:val="66372649"/>
    <w:rsid w:val="66380331"/>
    <w:rsid w:val="66456B14"/>
    <w:rsid w:val="66482160"/>
    <w:rsid w:val="66593A3B"/>
    <w:rsid w:val="66600A94"/>
    <w:rsid w:val="66696111"/>
    <w:rsid w:val="66785CF4"/>
    <w:rsid w:val="6695111E"/>
    <w:rsid w:val="66C832A1"/>
    <w:rsid w:val="66D103A8"/>
    <w:rsid w:val="66D87988"/>
    <w:rsid w:val="66E0683F"/>
    <w:rsid w:val="66E75E1D"/>
    <w:rsid w:val="66F44096"/>
    <w:rsid w:val="66FC572C"/>
    <w:rsid w:val="670B58D2"/>
    <w:rsid w:val="67127E33"/>
    <w:rsid w:val="671958AB"/>
    <w:rsid w:val="671F30C5"/>
    <w:rsid w:val="672E75A8"/>
    <w:rsid w:val="672F693E"/>
    <w:rsid w:val="674226E9"/>
    <w:rsid w:val="674C7A59"/>
    <w:rsid w:val="6772195A"/>
    <w:rsid w:val="67733BC2"/>
    <w:rsid w:val="678E1842"/>
    <w:rsid w:val="6796438E"/>
    <w:rsid w:val="67A47F2F"/>
    <w:rsid w:val="67B17E28"/>
    <w:rsid w:val="67BC1058"/>
    <w:rsid w:val="67C644F4"/>
    <w:rsid w:val="67C8584A"/>
    <w:rsid w:val="67E22141"/>
    <w:rsid w:val="680A1B61"/>
    <w:rsid w:val="680B78E9"/>
    <w:rsid w:val="68120F42"/>
    <w:rsid w:val="68173597"/>
    <w:rsid w:val="68225C65"/>
    <w:rsid w:val="682E5183"/>
    <w:rsid w:val="683012AB"/>
    <w:rsid w:val="68360873"/>
    <w:rsid w:val="68794027"/>
    <w:rsid w:val="689A0C6D"/>
    <w:rsid w:val="68C65D9D"/>
    <w:rsid w:val="68DF4193"/>
    <w:rsid w:val="68F91837"/>
    <w:rsid w:val="690D16FE"/>
    <w:rsid w:val="691323C1"/>
    <w:rsid w:val="692A1FF1"/>
    <w:rsid w:val="69474E2D"/>
    <w:rsid w:val="69713E8B"/>
    <w:rsid w:val="69763488"/>
    <w:rsid w:val="69833C19"/>
    <w:rsid w:val="698F6943"/>
    <w:rsid w:val="699658D9"/>
    <w:rsid w:val="69973B19"/>
    <w:rsid w:val="69D62568"/>
    <w:rsid w:val="69DB0C82"/>
    <w:rsid w:val="69FA5E67"/>
    <w:rsid w:val="6A046EF3"/>
    <w:rsid w:val="6A277B0F"/>
    <w:rsid w:val="6A3A11B2"/>
    <w:rsid w:val="6A3A2708"/>
    <w:rsid w:val="6A430C3A"/>
    <w:rsid w:val="6A4C4D11"/>
    <w:rsid w:val="6A5E25E7"/>
    <w:rsid w:val="6A6257BB"/>
    <w:rsid w:val="6A735AF7"/>
    <w:rsid w:val="6A8B4438"/>
    <w:rsid w:val="6A955B90"/>
    <w:rsid w:val="6A9F4B4A"/>
    <w:rsid w:val="6AB029CA"/>
    <w:rsid w:val="6ABE26C0"/>
    <w:rsid w:val="6ACE4BFE"/>
    <w:rsid w:val="6AD16FE6"/>
    <w:rsid w:val="6AD56AEF"/>
    <w:rsid w:val="6ADE0AE4"/>
    <w:rsid w:val="6AF8480C"/>
    <w:rsid w:val="6B020340"/>
    <w:rsid w:val="6B052ADB"/>
    <w:rsid w:val="6B0643CF"/>
    <w:rsid w:val="6B1A35C7"/>
    <w:rsid w:val="6B4C3434"/>
    <w:rsid w:val="6B5E2426"/>
    <w:rsid w:val="6B63238D"/>
    <w:rsid w:val="6B7062AF"/>
    <w:rsid w:val="6B747783"/>
    <w:rsid w:val="6B7E5284"/>
    <w:rsid w:val="6B9B0F84"/>
    <w:rsid w:val="6BBF2D21"/>
    <w:rsid w:val="6BEB3352"/>
    <w:rsid w:val="6C1D5E3D"/>
    <w:rsid w:val="6C387681"/>
    <w:rsid w:val="6C4909E0"/>
    <w:rsid w:val="6C4D3E28"/>
    <w:rsid w:val="6C5268E5"/>
    <w:rsid w:val="6C830FA6"/>
    <w:rsid w:val="6C902796"/>
    <w:rsid w:val="6C98369C"/>
    <w:rsid w:val="6CA95FFF"/>
    <w:rsid w:val="6CE03B4D"/>
    <w:rsid w:val="6D0068CA"/>
    <w:rsid w:val="6D28663E"/>
    <w:rsid w:val="6D3C4DD3"/>
    <w:rsid w:val="6D4A0EB4"/>
    <w:rsid w:val="6D503C83"/>
    <w:rsid w:val="6D673814"/>
    <w:rsid w:val="6D7970A3"/>
    <w:rsid w:val="6D82064E"/>
    <w:rsid w:val="6DAE0689"/>
    <w:rsid w:val="6DBE53FE"/>
    <w:rsid w:val="6DD54C21"/>
    <w:rsid w:val="6DEA1D4F"/>
    <w:rsid w:val="6DEE5A73"/>
    <w:rsid w:val="6E1776AD"/>
    <w:rsid w:val="6E1B2439"/>
    <w:rsid w:val="6E274D51"/>
    <w:rsid w:val="6E2B032D"/>
    <w:rsid w:val="6E2B2D60"/>
    <w:rsid w:val="6E2E4332"/>
    <w:rsid w:val="6E33426E"/>
    <w:rsid w:val="6E9B230D"/>
    <w:rsid w:val="6EB83BFB"/>
    <w:rsid w:val="6EC94BCE"/>
    <w:rsid w:val="6EF8049C"/>
    <w:rsid w:val="6F135EBD"/>
    <w:rsid w:val="6F137D1B"/>
    <w:rsid w:val="6F1426B4"/>
    <w:rsid w:val="6F330CBA"/>
    <w:rsid w:val="6F4E30CF"/>
    <w:rsid w:val="6F54036D"/>
    <w:rsid w:val="6F5B1156"/>
    <w:rsid w:val="6F5E74DC"/>
    <w:rsid w:val="6F6535B7"/>
    <w:rsid w:val="6F6F6D73"/>
    <w:rsid w:val="6F7A24E8"/>
    <w:rsid w:val="6F7D30CD"/>
    <w:rsid w:val="6F801900"/>
    <w:rsid w:val="6F8377EB"/>
    <w:rsid w:val="6F901EF7"/>
    <w:rsid w:val="6F920CCE"/>
    <w:rsid w:val="6F960B43"/>
    <w:rsid w:val="6FCD5AE9"/>
    <w:rsid w:val="6FCE7B7A"/>
    <w:rsid w:val="6FF173C5"/>
    <w:rsid w:val="6FFD9289"/>
    <w:rsid w:val="70294BFB"/>
    <w:rsid w:val="7036127C"/>
    <w:rsid w:val="703A6FBE"/>
    <w:rsid w:val="70413B83"/>
    <w:rsid w:val="704D7FE5"/>
    <w:rsid w:val="70500B41"/>
    <w:rsid w:val="706C7561"/>
    <w:rsid w:val="707E1A17"/>
    <w:rsid w:val="708F302F"/>
    <w:rsid w:val="70950698"/>
    <w:rsid w:val="70982DD8"/>
    <w:rsid w:val="70A703CB"/>
    <w:rsid w:val="70B1312B"/>
    <w:rsid w:val="70CE0915"/>
    <w:rsid w:val="70CE4E64"/>
    <w:rsid w:val="70F8159E"/>
    <w:rsid w:val="70F96E79"/>
    <w:rsid w:val="71230669"/>
    <w:rsid w:val="71265D8C"/>
    <w:rsid w:val="71337206"/>
    <w:rsid w:val="714E0847"/>
    <w:rsid w:val="71704AAF"/>
    <w:rsid w:val="718304F0"/>
    <w:rsid w:val="71874E66"/>
    <w:rsid w:val="718758A8"/>
    <w:rsid w:val="71AA3CCF"/>
    <w:rsid w:val="71AC5FAB"/>
    <w:rsid w:val="71BA7C8A"/>
    <w:rsid w:val="71C01B65"/>
    <w:rsid w:val="71E61804"/>
    <w:rsid w:val="72007275"/>
    <w:rsid w:val="720143B0"/>
    <w:rsid w:val="720158B9"/>
    <w:rsid w:val="72057E08"/>
    <w:rsid w:val="72273572"/>
    <w:rsid w:val="72293E38"/>
    <w:rsid w:val="723C4DB9"/>
    <w:rsid w:val="72401737"/>
    <w:rsid w:val="724A3C8B"/>
    <w:rsid w:val="725956F5"/>
    <w:rsid w:val="725B76BF"/>
    <w:rsid w:val="72834E8D"/>
    <w:rsid w:val="729624A5"/>
    <w:rsid w:val="729A1F96"/>
    <w:rsid w:val="72A17F69"/>
    <w:rsid w:val="72AB7F81"/>
    <w:rsid w:val="72B1108D"/>
    <w:rsid w:val="72B42D4C"/>
    <w:rsid w:val="72B875F5"/>
    <w:rsid w:val="72BB1D8B"/>
    <w:rsid w:val="730833A3"/>
    <w:rsid w:val="730D09BA"/>
    <w:rsid w:val="73173BCC"/>
    <w:rsid w:val="731D35F0"/>
    <w:rsid w:val="73267CCD"/>
    <w:rsid w:val="732E1154"/>
    <w:rsid w:val="73406EE2"/>
    <w:rsid w:val="734819F2"/>
    <w:rsid w:val="73494092"/>
    <w:rsid w:val="735D1C68"/>
    <w:rsid w:val="737D6F5B"/>
    <w:rsid w:val="73824F1C"/>
    <w:rsid w:val="73B02D02"/>
    <w:rsid w:val="73CB6083"/>
    <w:rsid w:val="73D2750D"/>
    <w:rsid w:val="73D66E19"/>
    <w:rsid w:val="73DE5C35"/>
    <w:rsid w:val="73E21E46"/>
    <w:rsid w:val="73F15E96"/>
    <w:rsid w:val="73FE1215"/>
    <w:rsid w:val="7408762F"/>
    <w:rsid w:val="741D504A"/>
    <w:rsid w:val="74263BAF"/>
    <w:rsid w:val="742C1313"/>
    <w:rsid w:val="743D707D"/>
    <w:rsid w:val="74417729"/>
    <w:rsid w:val="745148D6"/>
    <w:rsid w:val="746A1E3C"/>
    <w:rsid w:val="74956C92"/>
    <w:rsid w:val="74E8331A"/>
    <w:rsid w:val="750062DC"/>
    <w:rsid w:val="750F68C4"/>
    <w:rsid w:val="75104791"/>
    <w:rsid w:val="751A5610"/>
    <w:rsid w:val="752775DE"/>
    <w:rsid w:val="75311F1E"/>
    <w:rsid w:val="753A180E"/>
    <w:rsid w:val="75406094"/>
    <w:rsid w:val="755500E9"/>
    <w:rsid w:val="75580244"/>
    <w:rsid w:val="75720FA8"/>
    <w:rsid w:val="757545F4"/>
    <w:rsid w:val="7577036C"/>
    <w:rsid w:val="7581111D"/>
    <w:rsid w:val="75A1132B"/>
    <w:rsid w:val="75C81206"/>
    <w:rsid w:val="76053BCA"/>
    <w:rsid w:val="760806DF"/>
    <w:rsid w:val="760C30DD"/>
    <w:rsid w:val="760F2C9B"/>
    <w:rsid w:val="761B34D7"/>
    <w:rsid w:val="764702B3"/>
    <w:rsid w:val="764D6766"/>
    <w:rsid w:val="76774EFB"/>
    <w:rsid w:val="76790114"/>
    <w:rsid w:val="7696270D"/>
    <w:rsid w:val="76A77E2D"/>
    <w:rsid w:val="76B80C3C"/>
    <w:rsid w:val="76E934EC"/>
    <w:rsid w:val="76EE0B02"/>
    <w:rsid w:val="76F65C09"/>
    <w:rsid w:val="76FE1779"/>
    <w:rsid w:val="7711659E"/>
    <w:rsid w:val="77137BF8"/>
    <w:rsid w:val="771E4103"/>
    <w:rsid w:val="77333282"/>
    <w:rsid w:val="77366005"/>
    <w:rsid w:val="77517430"/>
    <w:rsid w:val="77690189"/>
    <w:rsid w:val="77960C1D"/>
    <w:rsid w:val="779F568D"/>
    <w:rsid w:val="779F7F6F"/>
    <w:rsid w:val="77AB254F"/>
    <w:rsid w:val="77B54F21"/>
    <w:rsid w:val="77C35AEB"/>
    <w:rsid w:val="77DA1306"/>
    <w:rsid w:val="77E37F3B"/>
    <w:rsid w:val="77FE6B23"/>
    <w:rsid w:val="783E1615"/>
    <w:rsid w:val="784F3822"/>
    <w:rsid w:val="78557490"/>
    <w:rsid w:val="78682BC8"/>
    <w:rsid w:val="78A434C5"/>
    <w:rsid w:val="78B139DF"/>
    <w:rsid w:val="78E75809"/>
    <w:rsid w:val="7911139D"/>
    <w:rsid w:val="791E4FA3"/>
    <w:rsid w:val="792410CB"/>
    <w:rsid w:val="792D3303"/>
    <w:rsid w:val="793B7903"/>
    <w:rsid w:val="7942624F"/>
    <w:rsid w:val="79442028"/>
    <w:rsid w:val="798E037A"/>
    <w:rsid w:val="798F0C32"/>
    <w:rsid w:val="799C61E1"/>
    <w:rsid w:val="79AA220C"/>
    <w:rsid w:val="79B849EC"/>
    <w:rsid w:val="79DD6C0C"/>
    <w:rsid w:val="79E02567"/>
    <w:rsid w:val="79EF0270"/>
    <w:rsid w:val="79F673A7"/>
    <w:rsid w:val="79F74F34"/>
    <w:rsid w:val="7A0423EA"/>
    <w:rsid w:val="7A0706DB"/>
    <w:rsid w:val="7A1C7E11"/>
    <w:rsid w:val="7A3902E6"/>
    <w:rsid w:val="7A3E3B4E"/>
    <w:rsid w:val="7A4E3666"/>
    <w:rsid w:val="7A566C94"/>
    <w:rsid w:val="7A6115EB"/>
    <w:rsid w:val="7A7936AD"/>
    <w:rsid w:val="7A804167"/>
    <w:rsid w:val="7A981BFC"/>
    <w:rsid w:val="7ACC330F"/>
    <w:rsid w:val="7AD16771"/>
    <w:rsid w:val="7AE528BD"/>
    <w:rsid w:val="7AEA54F7"/>
    <w:rsid w:val="7AF001E4"/>
    <w:rsid w:val="7B136D89"/>
    <w:rsid w:val="7B36365C"/>
    <w:rsid w:val="7B6012DC"/>
    <w:rsid w:val="7B6C452B"/>
    <w:rsid w:val="7B767318"/>
    <w:rsid w:val="7B8C4175"/>
    <w:rsid w:val="7B9C4265"/>
    <w:rsid w:val="7BA031DA"/>
    <w:rsid w:val="7BB06386"/>
    <w:rsid w:val="7BB32D2F"/>
    <w:rsid w:val="7BBA79BE"/>
    <w:rsid w:val="7BBF0CBF"/>
    <w:rsid w:val="7BC93671"/>
    <w:rsid w:val="7BD32074"/>
    <w:rsid w:val="7BD81F5A"/>
    <w:rsid w:val="7BE431FF"/>
    <w:rsid w:val="7BF26971"/>
    <w:rsid w:val="7BFC4543"/>
    <w:rsid w:val="7BFC7250"/>
    <w:rsid w:val="7C1A4147"/>
    <w:rsid w:val="7C1D391E"/>
    <w:rsid w:val="7C2B0F68"/>
    <w:rsid w:val="7C2E0F19"/>
    <w:rsid w:val="7C372603"/>
    <w:rsid w:val="7C3969CE"/>
    <w:rsid w:val="7C43369E"/>
    <w:rsid w:val="7C4371FA"/>
    <w:rsid w:val="7C68679F"/>
    <w:rsid w:val="7C6A5395"/>
    <w:rsid w:val="7C7F0EF9"/>
    <w:rsid w:val="7C855A65"/>
    <w:rsid w:val="7C871B65"/>
    <w:rsid w:val="7C8D66C7"/>
    <w:rsid w:val="7C9E6B26"/>
    <w:rsid w:val="7CCE2EC4"/>
    <w:rsid w:val="7D00333D"/>
    <w:rsid w:val="7D037A4E"/>
    <w:rsid w:val="7D0F5E7D"/>
    <w:rsid w:val="7D133070"/>
    <w:rsid w:val="7D254B52"/>
    <w:rsid w:val="7D266FDB"/>
    <w:rsid w:val="7D2C63F7"/>
    <w:rsid w:val="7D4A32B9"/>
    <w:rsid w:val="7D63567A"/>
    <w:rsid w:val="7D645D5E"/>
    <w:rsid w:val="7D6531A0"/>
    <w:rsid w:val="7D7635FF"/>
    <w:rsid w:val="7D842B55"/>
    <w:rsid w:val="7D8442E1"/>
    <w:rsid w:val="7DA57C98"/>
    <w:rsid w:val="7DA81C5B"/>
    <w:rsid w:val="7DAB00E8"/>
    <w:rsid w:val="7DDA320F"/>
    <w:rsid w:val="7DEE13E8"/>
    <w:rsid w:val="7DF147EF"/>
    <w:rsid w:val="7DFF1847"/>
    <w:rsid w:val="7E271CAB"/>
    <w:rsid w:val="7E4454AB"/>
    <w:rsid w:val="7E472F50"/>
    <w:rsid w:val="7E631DD5"/>
    <w:rsid w:val="7E7C4C45"/>
    <w:rsid w:val="7E801007"/>
    <w:rsid w:val="7E8167F0"/>
    <w:rsid w:val="7E84713A"/>
    <w:rsid w:val="7EB54A7A"/>
    <w:rsid w:val="7EB663A9"/>
    <w:rsid w:val="7EC30AC6"/>
    <w:rsid w:val="7ECA12C4"/>
    <w:rsid w:val="7ED7614E"/>
    <w:rsid w:val="7ED76320"/>
    <w:rsid w:val="7EDF23D9"/>
    <w:rsid w:val="7EE34CC4"/>
    <w:rsid w:val="7EFFB9D1"/>
    <w:rsid w:val="7F0D7F93"/>
    <w:rsid w:val="7F1E3965"/>
    <w:rsid w:val="7F3F2762"/>
    <w:rsid w:val="7F45772D"/>
    <w:rsid w:val="7F5D0D9D"/>
    <w:rsid w:val="7F6E135D"/>
    <w:rsid w:val="7F722F37"/>
    <w:rsid w:val="7F7378B0"/>
    <w:rsid w:val="7F7F5F57"/>
    <w:rsid w:val="7F89586C"/>
    <w:rsid w:val="7FAD3976"/>
    <w:rsid w:val="7FCF50BB"/>
    <w:rsid w:val="7FE01204"/>
    <w:rsid w:val="7FEF867C"/>
    <w:rsid w:val="7FF87248"/>
    <w:rsid w:val="B6F71DBA"/>
    <w:rsid w:val="B7B44AE7"/>
    <w:rsid w:val="B9382491"/>
    <w:rsid w:val="BFFF8897"/>
    <w:rsid w:val="D6F75A4E"/>
    <w:rsid w:val="EB7D1BE6"/>
    <w:rsid w:val="F9DE5F40"/>
    <w:rsid w:val="FBB32240"/>
    <w:rsid w:val="FFBBF552"/>
    <w:rsid w:val="FFF7F740"/>
    <w:rsid w:val="FFF91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4">
    <w:name w:val="heading 1"/>
    <w:basedOn w:val="1"/>
    <w:next w:val="1"/>
    <w:link w:val="37"/>
    <w:autoRedefine/>
    <w:unhideWhenUsed/>
    <w:qFormat/>
    <w:uiPriority w:val="9"/>
    <w:pPr>
      <w:keepNext/>
      <w:keepLines/>
      <w:spacing w:after="573" w:line="265" w:lineRule="auto"/>
      <w:ind w:left="10" w:right="122" w:hanging="10"/>
      <w:jc w:val="center"/>
      <w:outlineLvl w:val="0"/>
    </w:pPr>
    <w:rPr>
      <w:rFonts w:ascii="黑体" w:hAnsi="黑体" w:eastAsia="黑体" w:cs="黑体"/>
      <w:sz w:val="32"/>
    </w:rPr>
  </w:style>
  <w:style w:type="paragraph" w:styleId="5">
    <w:name w:val="heading 2"/>
    <w:basedOn w:val="1"/>
    <w:next w:val="1"/>
    <w:link w:val="38"/>
    <w:autoRedefine/>
    <w:unhideWhenUsed/>
    <w:qFormat/>
    <w:uiPriority w:val="9"/>
    <w:pPr>
      <w:keepNext/>
      <w:keepLines/>
      <w:spacing w:after="172" w:line="265" w:lineRule="auto"/>
      <w:ind w:left="10" w:right="116" w:hanging="10"/>
      <w:outlineLvl w:val="1"/>
    </w:pPr>
    <w:rPr>
      <w:rFonts w:ascii="黑体" w:hAnsi="黑体" w:eastAsia="黑体" w:cs="黑体"/>
      <w:sz w:val="28"/>
    </w:rPr>
  </w:style>
  <w:style w:type="paragraph" w:styleId="6">
    <w:name w:val="heading 3"/>
    <w:basedOn w:val="1"/>
    <w:next w:val="1"/>
    <w:link w:val="40"/>
    <w:autoRedefine/>
    <w:unhideWhenUsed/>
    <w:qFormat/>
    <w:uiPriority w:val="9"/>
    <w:pPr>
      <w:keepNext/>
      <w:keepLines/>
      <w:spacing w:after="172" w:line="265" w:lineRule="auto"/>
      <w:ind w:left="10" w:right="116" w:hanging="10"/>
      <w:outlineLvl w:val="2"/>
    </w:pPr>
    <w:rPr>
      <w:rFonts w:ascii="黑体" w:hAnsi="黑体" w:eastAsia="黑体" w:cs="黑体"/>
      <w:sz w:val="28"/>
    </w:rPr>
  </w:style>
  <w:style w:type="paragraph" w:styleId="7">
    <w:name w:val="heading 4"/>
    <w:basedOn w:val="1"/>
    <w:next w:val="1"/>
    <w:link w:val="41"/>
    <w:autoRedefine/>
    <w:unhideWhenUsed/>
    <w:qFormat/>
    <w:uiPriority w:val="9"/>
    <w:pPr>
      <w:keepNext/>
      <w:keepLines/>
      <w:spacing w:after="172" w:line="265" w:lineRule="auto"/>
      <w:ind w:left="10" w:right="116" w:hanging="10"/>
      <w:outlineLvl w:val="3"/>
    </w:pPr>
    <w:rPr>
      <w:rFonts w:ascii="黑体" w:hAnsi="黑体" w:eastAsia="黑体" w:cs="黑体"/>
      <w:sz w:val="28"/>
    </w:rPr>
  </w:style>
  <w:style w:type="paragraph" w:styleId="8">
    <w:name w:val="heading 5"/>
    <w:next w:val="1"/>
    <w:link w:val="42"/>
    <w:autoRedefine/>
    <w:unhideWhenUsed/>
    <w:qFormat/>
    <w:uiPriority w:val="9"/>
    <w:pPr>
      <w:keepNext/>
      <w:keepLines/>
      <w:spacing w:after="172" w:line="265" w:lineRule="auto"/>
      <w:ind w:left="10" w:right="116" w:hanging="10"/>
      <w:outlineLvl w:val="4"/>
    </w:pPr>
    <w:rPr>
      <w:rFonts w:ascii="黑体" w:hAnsi="黑体" w:eastAsia="黑体" w:cs="黑体"/>
      <w:color w:val="000000"/>
      <w:kern w:val="2"/>
      <w:sz w:val="28"/>
      <w:szCs w:val="22"/>
      <w:lang w:val="en-US" w:eastAsia="zh-CN" w:bidi="ar-SA"/>
    </w:rPr>
  </w:style>
  <w:style w:type="paragraph" w:styleId="9">
    <w:name w:val="heading 6"/>
    <w:next w:val="1"/>
    <w:link w:val="43"/>
    <w:autoRedefine/>
    <w:unhideWhenUsed/>
    <w:qFormat/>
    <w:uiPriority w:val="9"/>
    <w:pPr>
      <w:keepNext/>
      <w:keepLines/>
      <w:spacing w:after="172" w:line="265" w:lineRule="auto"/>
      <w:ind w:left="10" w:right="116" w:hanging="10"/>
      <w:outlineLvl w:val="5"/>
    </w:pPr>
    <w:rPr>
      <w:rFonts w:ascii="黑体" w:hAnsi="黑体" w:eastAsia="黑体" w:cs="黑体"/>
      <w:color w:val="000000"/>
      <w:kern w:val="2"/>
      <w:sz w:val="28"/>
      <w:szCs w:val="22"/>
      <w:lang w:val="en-US" w:eastAsia="zh-CN" w:bidi="ar-SA"/>
    </w:rPr>
  </w:style>
  <w:style w:type="paragraph" w:styleId="10">
    <w:name w:val="heading 7"/>
    <w:next w:val="1"/>
    <w:link w:val="44"/>
    <w:autoRedefine/>
    <w:unhideWhenUsed/>
    <w:qFormat/>
    <w:uiPriority w:val="9"/>
    <w:pPr>
      <w:keepNext/>
      <w:keepLines/>
      <w:spacing w:after="172" w:line="265" w:lineRule="auto"/>
      <w:ind w:left="10" w:right="116" w:hanging="10"/>
      <w:outlineLvl w:val="6"/>
    </w:pPr>
    <w:rPr>
      <w:rFonts w:ascii="黑体" w:hAnsi="黑体" w:eastAsia="黑体" w:cs="黑体"/>
      <w:color w:val="000000"/>
      <w:kern w:val="2"/>
      <w:sz w:val="28"/>
      <w:szCs w:val="22"/>
      <w:lang w:val="en-US" w:eastAsia="zh-CN" w:bidi="ar-SA"/>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spacing w:after="120"/>
      <w:ind w:left="420" w:leftChars="200" w:firstLine="420" w:firstLineChars="200"/>
    </w:pPr>
    <w:rPr>
      <w:rFonts w:eastAsia="宋?"/>
      <w:sz w:val="21"/>
      <w:szCs w:val="24"/>
    </w:rPr>
  </w:style>
  <w:style w:type="paragraph" w:styleId="3">
    <w:name w:val="Body Text Indent"/>
    <w:basedOn w:val="1"/>
    <w:autoRedefine/>
    <w:qFormat/>
    <w:uiPriority w:val="0"/>
    <w:pPr>
      <w:ind w:firstLine="630"/>
    </w:pPr>
    <w:rPr>
      <w:sz w:val="32"/>
    </w:rPr>
  </w:style>
  <w:style w:type="paragraph" w:styleId="11">
    <w:name w:val="toc 7"/>
    <w:basedOn w:val="1"/>
    <w:next w:val="1"/>
    <w:autoRedefine/>
    <w:unhideWhenUsed/>
    <w:qFormat/>
    <w:uiPriority w:val="39"/>
    <w:pPr>
      <w:widowControl w:val="0"/>
      <w:spacing w:after="0" w:line="240" w:lineRule="auto"/>
      <w:ind w:left="2520" w:leftChars="1200"/>
      <w:jc w:val="both"/>
    </w:pPr>
    <w:rPr>
      <w:rFonts w:asciiTheme="minorHAnsi" w:hAnsiTheme="minorHAnsi" w:eastAsiaTheme="minorEastAsia" w:cstheme="minorBidi"/>
      <w:color w:val="auto"/>
      <w:sz w:val="21"/>
    </w:rPr>
  </w:style>
  <w:style w:type="paragraph" w:styleId="12">
    <w:name w:val="Normal Indent"/>
    <w:basedOn w:val="1"/>
    <w:autoRedefine/>
    <w:qFormat/>
    <w:uiPriority w:val="0"/>
    <w:pPr>
      <w:widowControl w:val="0"/>
      <w:spacing w:after="0" w:line="240" w:lineRule="auto"/>
      <w:ind w:firstLine="420" w:firstLineChars="200"/>
      <w:jc w:val="both"/>
    </w:pPr>
    <w:rPr>
      <w:rFonts w:eastAsia="宋体" w:cs="Times New Roman"/>
      <w:color w:val="auto"/>
      <w:sz w:val="21"/>
      <w:szCs w:val="24"/>
    </w:rPr>
  </w:style>
  <w:style w:type="paragraph" w:styleId="13">
    <w:name w:val="annotation text"/>
    <w:basedOn w:val="1"/>
    <w:link w:val="55"/>
    <w:autoRedefine/>
    <w:unhideWhenUsed/>
    <w:qFormat/>
    <w:uiPriority w:val="99"/>
  </w:style>
  <w:style w:type="paragraph" w:styleId="14">
    <w:name w:val="Body Text"/>
    <w:basedOn w:val="1"/>
    <w:next w:val="1"/>
    <w:link w:val="46"/>
    <w:autoRedefine/>
    <w:qFormat/>
    <w:uiPriority w:val="1"/>
    <w:pPr>
      <w:widowControl w:val="0"/>
      <w:autoSpaceDE w:val="0"/>
      <w:autoSpaceDN w:val="0"/>
      <w:adjustRightInd w:val="0"/>
      <w:spacing w:after="0" w:line="240" w:lineRule="auto"/>
      <w:ind w:left="520"/>
    </w:pPr>
    <w:rPr>
      <w:rFonts w:ascii="宋体" w:hAnsi="Times New Roman" w:eastAsia="宋体" w:cs="宋体"/>
      <w:color w:val="auto"/>
      <w:kern w:val="0"/>
      <w:sz w:val="21"/>
      <w:szCs w:val="21"/>
    </w:rPr>
  </w:style>
  <w:style w:type="paragraph" w:styleId="15">
    <w:name w:val="toc 5"/>
    <w:basedOn w:val="1"/>
    <w:next w:val="1"/>
    <w:autoRedefine/>
    <w:unhideWhenUsed/>
    <w:qFormat/>
    <w:uiPriority w:val="39"/>
    <w:pPr>
      <w:widowControl w:val="0"/>
      <w:spacing w:after="0" w:line="240" w:lineRule="auto"/>
      <w:ind w:left="1680" w:leftChars="800"/>
      <w:jc w:val="both"/>
    </w:pPr>
    <w:rPr>
      <w:rFonts w:asciiTheme="minorHAnsi" w:hAnsiTheme="minorHAnsi" w:eastAsiaTheme="minorEastAsia" w:cstheme="minorBidi"/>
      <w:color w:val="auto"/>
      <w:sz w:val="21"/>
    </w:rPr>
  </w:style>
  <w:style w:type="paragraph" w:styleId="16">
    <w:name w:val="toc 3"/>
    <w:next w:val="1"/>
    <w:autoRedefine/>
    <w:hidden/>
    <w:qFormat/>
    <w:uiPriority w:val="39"/>
    <w:pPr>
      <w:spacing w:after="7" w:line="257" w:lineRule="auto"/>
      <w:ind w:left="847" w:right="129" w:hanging="10"/>
      <w:jc w:val="both"/>
    </w:pPr>
    <w:rPr>
      <w:rFonts w:ascii="Calibri" w:hAnsi="Calibri" w:eastAsia="Calibri" w:cs="Calibri"/>
      <w:color w:val="000000"/>
      <w:kern w:val="2"/>
      <w:sz w:val="21"/>
      <w:szCs w:val="22"/>
      <w:lang w:val="en-US" w:eastAsia="zh-CN" w:bidi="ar-SA"/>
    </w:rPr>
  </w:style>
  <w:style w:type="paragraph" w:styleId="17">
    <w:name w:val="toc 8"/>
    <w:basedOn w:val="1"/>
    <w:next w:val="1"/>
    <w:autoRedefine/>
    <w:unhideWhenUsed/>
    <w:qFormat/>
    <w:uiPriority w:val="39"/>
    <w:pPr>
      <w:widowControl w:val="0"/>
      <w:spacing w:after="0" w:line="240" w:lineRule="auto"/>
      <w:ind w:left="2940" w:leftChars="1400"/>
      <w:jc w:val="both"/>
    </w:pPr>
    <w:rPr>
      <w:rFonts w:asciiTheme="minorHAnsi" w:hAnsiTheme="minorHAnsi" w:eastAsiaTheme="minorEastAsia" w:cstheme="minorBidi"/>
      <w:color w:val="auto"/>
      <w:sz w:val="21"/>
    </w:rPr>
  </w:style>
  <w:style w:type="paragraph" w:styleId="18">
    <w:name w:val="Body Text Indent 2"/>
    <w:basedOn w:val="1"/>
    <w:autoRedefine/>
    <w:semiHidden/>
    <w:unhideWhenUsed/>
    <w:qFormat/>
    <w:uiPriority w:val="99"/>
    <w:pPr>
      <w:spacing w:after="120" w:line="480" w:lineRule="auto"/>
      <w:ind w:left="420" w:leftChars="200"/>
    </w:pPr>
  </w:style>
  <w:style w:type="paragraph" w:styleId="19">
    <w:name w:val="Balloon Text"/>
    <w:basedOn w:val="1"/>
    <w:link w:val="47"/>
    <w:autoRedefine/>
    <w:semiHidden/>
    <w:unhideWhenUsed/>
    <w:qFormat/>
    <w:uiPriority w:val="99"/>
    <w:pPr>
      <w:spacing w:after="0" w:line="240" w:lineRule="auto"/>
    </w:pPr>
    <w:rPr>
      <w:sz w:val="18"/>
      <w:szCs w:val="18"/>
    </w:rPr>
  </w:style>
  <w:style w:type="paragraph" w:styleId="20">
    <w:name w:val="footer"/>
    <w:basedOn w:val="1"/>
    <w:link w:val="51"/>
    <w:autoRedefine/>
    <w:unhideWhenUsed/>
    <w:qFormat/>
    <w:uiPriority w:val="99"/>
    <w:pPr>
      <w:widowControl w:val="0"/>
      <w:tabs>
        <w:tab w:val="center" w:pos="4153"/>
        <w:tab w:val="right" w:pos="8306"/>
      </w:tabs>
      <w:snapToGrid w:val="0"/>
      <w:spacing w:after="0" w:line="240" w:lineRule="auto"/>
    </w:pPr>
    <w:rPr>
      <w:rFonts w:ascii="Times New Roman" w:hAnsi="Times New Roman" w:eastAsia="宋体" w:cs="Times New Roman"/>
      <w:color w:val="auto"/>
      <w:sz w:val="18"/>
      <w:szCs w:val="18"/>
    </w:rPr>
  </w:style>
  <w:style w:type="paragraph" w:styleId="21">
    <w:name w:val="header"/>
    <w:basedOn w:val="1"/>
    <w:link w:val="54"/>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next w:val="1"/>
    <w:autoRedefine/>
    <w:hidden/>
    <w:qFormat/>
    <w:uiPriority w:val="39"/>
    <w:pPr>
      <w:spacing w:after="7" w:line="257" w:lineRule="auto"/>
      <w:ind w:left="15" w:right="134" w:firstLine="62"/>
      <w:jc w:val="both"/>
    </w:pPr>
    <w:rPr>
      <w:rFonts w:ascii="Calibri" w:hAnsi="Calibri" w:eastAsia="Calibri" w:cs="Calibri"/>
      <w:color w:val="000000"/>
      <w:kern w:val="2"/>
      <w:sz w:val="21"/>
      <w:szCs w:val="22"/>
      <w:lang w:val="en-US" w:eastAsia="zh-CN" w:bidi="ar-SA"/>
    </w:rPr>
  </w:style>
  <w:style w:type="paragraph" w:styleId="23">
    <w:name w:val="toc 4"/>
    <w:basedOn w:val="1"/>
    <w:next w:val="1"/>
    <w:autoRedefine/>
    <w:unhideWhenUsed/>
    <w:qFormat/>
    <w:uiPriority w:val="39"/>
    <w:pPr>
      <w:widowControl w:val="0"/>
      <w:spacing w:after="0" w:line="240" w:lineRule="auto"/>
      <w:ind w:left="1260" w:leftChars="600"/>
      <w:jc w:val="both"/>
    </w:pPr>
    <w:rPr>
      <w:rFonts w:asciiTheme="minorHAnsi" w:hAnsiTheme="minorHAnsi" w:eastAsiaTheme="minorEastAsia" w:cstheme="minorBidi"/>
      <w:color w:val="auto"/>
      <w:sz w:val="21"/>
    </w:rPr>
  </w:style>
  <w:style w:type="paragraph" w:styleId="24">
    <w:name w:val="toc 6"/>
    <w:basedOn w:val="1"/>
    <w:next w:val="1"/>
    <w:autoRedefine/>
    <w:unhideWhenUsed/>
    <w:qFormat/>
    <w:uiPriority w:val="39"/>
    <w:pPr>
      <w:widowControl w:val="0"/>
      <w:spacing w:after="0" w:line="240" w:lineRule="auto"/>
      <w:ind w:left="2100" w:leftChars="1000"/>
      <w:jc w:val="both"/>
    </w:pPr>
    <w:rPr>
      <w:rFonts w:asciiTheme="minorHAnsi" w:hAnsiTheme="minorHAnsi" w:eastAsiaTheme="minorEastAsia" w:cstheme="minorBidi"/>
      <w:color w:val="auto"/>
      <w:sz w:val="21"/>
    </w:rPr>
  </w:style>
  <w:style w:type="paragraph" w:styleId="25">
    <w:name w:val="toc 2"/>
    <w:next w:val="1"/>
    <w:autoRedefine/>
    <w:hidden/>
    <w:qFormat/>
    <w:uiPriority w:val="39"/>
    <w:pPr>
      <w:spacing w:after="7" w:line="257" w:lineRule="auto"/>
      <w:ind w:left="430" w:right="127" w:hanging="10"/>
      <w:jc w:val="both"/>
    </w:pPr>
    <w:rPr>
      <w:rFonts w:ascii="Calibri" w:hAnsi="Calibri" w:eastAsia="Calibri" w:cs="Calibri"/>
      <w:color w:val="000000"/>
      <w:kern w:val="2"/>
      <w:sz w:val="21"/>
      <w:szCs w:val="22"/>
      <w:lang w:val="en-US" w:eastAsia="zh-CN" w:bidi="ar-SA"/>
    </w:rPr>
  </w:style>
  <w:style w:type="paragraph" w:styleId="26">
    <w:name w:val="toc 9"/>
    <w:basedOn w:val="1"/>
    <w:next w:val="1"/>
    <w:autoRedefine/>
    <w:unhideWhenUsed/>
    <w:qFormat/>
    <w:uiPriority w:val="39"/>
    <w:pPr>
      <w:widowControl w:val="0"/>
      <w:spacing w:after="0" w:line="240" w:lineRule="auto"/>
      <w:ind w:left="3360" w:leftChars="1600"/>
      <w:jc w:val="both"/>
    </w:pPr>
    <w:rPr>
      <w:rFonts w:asciiTheme="minorHAnsi" w:hAnsiTheme="minorHAnsi" w:eastAsiaTheme="minorEastAsia" w:cstheme="minorBidi"/>
      <w:color w:val="auto"/>
      <w:sz w:val="21"/>
    </w:rPr>
  </w:style>
  <w:style w:type="paragraph" w:styleId="27">
    <w:name w:val="Normal (Web)"/>
    <w:basedOn w:val="1"/>
    <w:autoRedefine/>
    <w:qFormat/>
    <w:uiPriority w:val="0"/>
    <w:pPr>
      <w:spacing w:before="100" w:beforeAutospacing="1" w:after="100" w:afterAutospacing="1" w:line="240" w:lineRule="auto"/>
    </w:pPr>
    <w:rPr>
      <w:rFonts w:ascii="宋体" w:hAnsi="宋体" w:eastAsia="宋体" w:cs="Times New Roman"/>
      <w:color w:val="auto"/>
      <w:kern w:val="0"/>
      <w:sz w:val="18"/>
      <w:szCs w:val="18"/>
    </w:rPr>
  </w:style>
  <w:style w:type="paragraph" w:styleId="28">
    <w:name w:val="annotation subject"/>
    <w:basedOn w:val="13"/>
    <w:next w:val="13"/>
    <w:link w:val="56"/>
    <w:autoRedefine/>
    <w:semiHidden/>
    <w:unhideWhenUsed/>
    <w:qFormat/>
    <w:uiPriority w:val="99"/>
    <w:rPr>
      <w:b/>
      <w:bCs/>
    </w:rPr>
  </w:style>
  <w:style w:type="paragraph" w:styleId="29">
    <w:name w:val="Body Text First Indent"/>
    <w:basedOn w:val="14"/>
    <w:autoRedefine/>
    <w:unhideWhenUsed/>
    <w:qFormat/>
    <w:uiPriority w:val="99"/>
    <w:pPr>
      <w:ind w:firstLine="420" w:firstLineChars="100"/>
    </w:pPr>
  </w:style>
  <w:style w:type="table" w:styleId="31">
    <w:name w:val="Table Grid"/>
    <w:basedOn w:val="3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22"/>
    <w:rPr>
      <w:b/>
    </w:rPr>
  </w:style>
  <w:style w:type="character" w:styleId="34">
    <w:name w:val="page number"/>
    <w:basedOn w:val="32"/>
    <w:autoRedefine/>
    <w:qFormat/>
    <w:uiPriority w:val="0"/>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semiHidden/>
    <w:unhideWhenUsed/>
    <w:qFormat/>
    <w:uiPriority w:val="99"/>
    <w:rPr>
      <w:sz w:val="21"/>
      <w:szCs w:val="21"/>
    </w:rPr>
  </w:style>
  <w:style w:type="character" w:customStyle="1" w:styleId="37">
    <w:name w:val="标题 1 字符"/>
    <w:link w:val="4"/>
    <w:autoRedefine/>
    <w:qFormat/>
    <w:uiPriority w:val="0"/>
    <w:rPr>
      <w:rFonts w:ascii="黑体" w:hAnsi="黑体" w:eastAsia="黑体" w:cs="黑体"/>
      <w:color w:val="000000"/>
      <w:sz w:val="32"/>
    </w:rPr>
  </w:style>
  <w:style w:type="character" w:customStyle="1" w:styleId="38">
    <w:name w:val="标题 2 字符"/>
    <w:link w:val="5"/>
    <w:autoRedefine/>
    <w:qFormat/>
    <w:uiPriority w:val="0"/>
    <w:rPr>
      <w:rFonts w:ascii="黑体" w:hAnsi="黑体" w:eastAsia="黑体" w:cs="黑体"/>
      <w:color w:val="000000"/>
      <w:sz w:val="28"/>
    </w:rPr>
  </w:style>
  <w:style w:type="paragraph" w:customStyle="1" w:styleId="39">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40">
    <w:name w:val="标题 3 字符"/>
    <w:link w:val="6"/>
    <w:autoRedefine/>
    <w:qFormat/>
    <w:uiPriority w:val="0"/>
    <w:rPr>
      <w:rFonts w:ascii="黑体" w:hAnsi="黑体" w:eastAsia="黑体" w:cs="黑体"/>
      <w:color w:val="000000"/>
      <w:sz w:val="28"/>
    </w:rPr>
  </w:style>
  <w:style w:type="character" w:customStyle="1" w:styleId="41">
    <w:name w:val="标题 4 字符"/>
    <w:link w:val="7"/>
    <w:autoRedefine/>
    <w:qFormat/>
    <w:uiPriority w:val="0"/>
    <w:rPr>
      <w:rFonts w:ascii="黑体" w:hAnsi="黑体" w:eastAsia="黑体" w:cs="黑体"/>
      <w:color w:val="000000"/>
      <w:sz w:val="28"/>
    </w:rPr>
  </w:style>
  <w:style w:type="character" w:customStyle="1" w:styleId="42">
    <w:name w:val="标题 5 字符"/>
    <w:link w:val="8"/>
    <w:autoRedefine/>
    <w:qFormat/>
    <w:uiPriority w:val="0"/>
    <w:rPr>
      <w:rFonts w:ascii="黑体" w:hAnsi="黑体" w:eastAsia="黑体" w:cs="黑体"/>
      <w:color w:val="000000"/>
      <w:sz w:val="28"/>
    </w:rPr>
  </w:style>
  <w:style w:type="character" w:customStyle="1" w:styleId="43">
    <w:name w:val="标题 6 字符"/>
    <w:link w:val="9"/>
    <w:autoRedefine/>
    <w:qFormat/>
    <w:uiPriority w:val="0"/>
    <w:rPr>
      <w:rFonts w:ascii="黑体" w:hAnsi="黑体" w:eastAsia="黑体" w:cs="黑体"/>
      <w:color w:val="000000"/>
      <w:sz w:val="28"/>
    </w:rPr>
  </w:style>
  <w:style w:type="character" w:customStyle="1" w:styleId="44">
    <w:name w:val="标题 7 字符"/>
    <w:link w:val="10"/>
    <w:autoRedefine/>
    <w:qFormat/>
    <w:uiPriority w:val="0"/>
    <w:rPr>
      <w:rFonts w:ascii="黑体" w:hAnsi="黑体" w:eastAsia="黑体" w:cs="黑体"/>
      <w:color w:val="000000"/>
      <w:sz w:val="28"/>
    </w:rPr>
  </w:style>
  <w:style w:type="table" w:customStyle="1" w:styleId="45">
    <w:name w:val="TableGrid"/>
    <w:autoRedefine/>
    <w:qFormat/>
    <w:uiPriority w:val="0"/>
    <w:tblPr>
      <w:tblCellMar>
        <w:top w:w="0" w:type="dxa"/>
        <w:left w:w="0" w:type="dxa"/>
        <w:bottom w:w="0" w:type="dxa"/>
        <w:right w:w="0" w:type="dxa"/>
      </w:tblCellMar>
    </w:tblPr>
  </w:style>
  <w:style w:type="character" w:customStyle="1" w:styleId="46">
    <w:name w:val="正文文本 字符"/>
    <w:basedOn w:val="32"/>
    <w:link w:val="14"/>
    <w:autoRedefine/>
    <w:qFormat/>
    <w:uiPriority w:val="1"/>
    <w:rPr>
      <w:rFonts w:ascii="宋体" w:hAnsi="Times New Roman" w:eastAsia="宋体" w:cs="宋体"/>
      <w:kern w:val="0"/>
      <w:szCs w:val="21"/>
    </w:rPr>
  </w:style>
  <w:style w:type="character" w:customStyle="1" w:styleId="47">
    <w:name w:val="批注框文本 字符"/>
    <w:basedOn w:val="32"/>
    <w:link w:val="19"/>
    <w:autoRedefine/>
    <w:semiHidden/>
    <w:qFormat/>
    <w:uiPriority w:val="99"/>
    <w:rPr>
      <w:rFonts w:ascii="Calibri" w:hAnsi="Calibri" w:eastAsia="Calibri" w:cs="Calibri"/>
      <w:color w:val="000000"/>
      <w:sz w:val="18"/>
      <w:szCs w:val="18"/>
    </w:rPr>
  </w:style>
  <w:style w:type="paragraph" w:customStyle="1" w:styleId="48">
    <w:name w:val="样式1"/>
    <w:basedOn w:val="1"/>
    <w:link w:val="49"/>
    <w:autoRedefine/>
    <w:qFormat/>
    <w:uiPriority w:val="0"/>
    <w:pPr>
      <w:spacing w:after="44" w:line="265" w:lineRule="auto"/>
      <w:ind w:left="417" w:right="749" w:hanging="10"/>
    </w:pPr>
    <w:rPr>
      <w:rFonts w:ascii="Times New Roman" w:hAnsi="Times New Roman" w:eastAsia="Times New Roman" w:cs="Times New Roman"/>
      <w:color w:val="auto"/>
      <w:sz w:val="21"/>
      <w:u w:val="single" w:color="000000"/>
    </w:rPr>
  </w:style>
  <w:style w:type="character" w:customStyle="1" w:styleId="49">
    <w:name w:val="样式1 字符"/>
    <w:basedOn w:val="32"/>
    <w:link w:val="48"/>
    <w:autoRedefine/>
    <w:qFormat/>
    <w:uiPriority w:val="0"/>
    <w:rPr>
      <w:rFonts w:ascii="Times New Roman" w:hAnsi="Times New Roman" w:eastAsia="Times New Roman" w:cs="Times New Roman"/>
      <w:u w:val="single" w:color="000000"/>
    </w:rPr>
  </w:style>
  <w:style w:type="paragraph" w:styleId="50">
    <w:name w:val="List Paragraph"/>
    <w:basedOn w:val="1"/>
    <w:autoRedefine/>
    <w:qFormat/>
    <w:uiPriority w:val="34"/>
    <w:pPr>
      <w:ind w:firstLine="420" w:firstLineChars="200"/>
    </w:pPr>
  </w:style>
  <w:style w:type="character" w:customStyle="1" w:styleId="51">
    <w:name w:val="页脚 字符1"/>
    <w:link w:val="20"/>
    <w:autoRedefine/>
    <w:qFormat/>
    <w:uiPriority w:val="99"/>
    <w:rPr>
      <w:rFonts w:ascii="Times New Roman" w:hAnsi="Times New Roman" w:eastAsia="宋体" w:cs="Times New Roman"/>
      <w:sz w:val="18"/>
      <w:szCs w:val="18"/>
    </w:rPr>
  </w:style>
  <w:style w:type="character" w:customStyle="1" w:styleId="52">
    <w:name w:val="页脚 字符"/>
    <w:basedOn w:val="32"/>
    <w:autoRedefine/>
    <w:qFormat/>
    <w:uiPriority w:val="99"/>
    <w:rPr>
      <w:rFonts w:ascii="Calibri" w:hAnsi="Calibri" w:eastAsia="Calibri" w:cs="Calibri"/>
      <w:color w:val="000000"/>
      <w:sz w:val="18"/>
      <w:szCs w:val="18"/>
    </w:rPr>
  </w:style>
  <w:style w:type="character" w:customStyle="1" w:styleId="53">
    <w:name w:val="未处理的提及1"/>
    <w:basedOn w:val="32"/>
    <w:autoRedefine/>
    <w:semiHidden/>
    <w:unhideWhenUsed/>
    <w:qFormat/>
    <w:uiPriority w:val="99"/>
    <w:rPr>
      <w:color w:val="605E5C"/>
      <w:shd w:val="clear" w:color="auto" w:fill="E1DFDD"/>
    </w:rPr>
  </w:style>
  <w:style w:type="character" w:customStyle="1" w:styleId="54">
    <w:name w:val="页眉 字符"/>
    <w:basedOn w:val="32"/>
    <w:link w:val="21"/>
    <w:autoRedefine/>
    <w:qFormat/>
    <w:uiPriority w:val="99"/>
    <w:rPr>
      <w:rFonts w:ascii="Calibri" w:hAnsi="Calibri" w:eastAsia="Calibri" w:cs="Calibri"/>
      <w:color w:val="000000"/>
      <w:sz w:val="18"/>
      <w:szCs w:val="18"/>
    </w:rPr>
  </w:style>
  <w:style w:type="character" w:customStyle="1" w:styleId="55">
    <w:name w:val="批注文字 字符"/>
    <w:basedOn w:val="32"/>
    <w:link w:val="13"/>
    <w:autoRedefine/>
    <w:qFormat/>
    <w:uiPriority w:val="99"/>
    <w:rPr>
      <w:rFonts w:ascii="Calibri" w:hAnsi="Calibri" w:eastAsia="Calibri" w:cs="Calibri"/>
      <w:color w:val="000000"/>
      <w:sz w:val="22"/>
    </w:rPr>
  </w:style>
  <w:style w:type="character" w:customStyle="1" w:styleId="56">
    <w:name w:val="批注主题 字符"/>
    <w:basedOn w:val="55"/>
    <w:link w:val="28"/>
    <w:autoRedefine/>
    <w:semiHidden/>
    <w:qFormat/>
    <w:uiPriority w:val="99"/>
    <w:rPr>
      <w:rFonts w:ascii="Calibri" w:hAnsi="Calibri" w:eastAsia="Calibri" w:cs="Calibri"/>
      <w:b/>
      <w:bCs/>
      <w:color w:val="000000"/>
      <w:sz w:val="22"/>
    </w:rPr>
  </w:style>
  <w:style w:type="paragraph" w:customStyle="1" w:styleId="57">
    <w:name w:val="Table Paragraph"/>
    <w:basedOn w:val="1"/>
    <w:autoRedefine/>
    <w:qFormat/>
    <w:uiPriority w:val="1"/>
  </w:style>
  <w:style w:type="paragraph" w:customStyle="1" w:styleId="58">
    <w:name w:val="样式 标题 3 + (中文) 黑体 小四 非加粗 段前: 7.8 磅 段后: 0 磅 行距: 固定值 20 磅"/>
    <w:basedOn w:val="6"/>
    <w:autoRedefine/>
    <w:qFormat/>
    <w:uiPriority w:val="0"/>
    <w:pPr>
      <w:spacing w:after="0" w:line="400" w:lineRule="exact"/>
    </w:pPr>
    <w:rPr>
      <w:rFonts w:cs="宋体"/>
      <w:sz w:val="24"/>
      <w:szCs w:val="20"/>
    </w:rPr>
  </w:style>
  <w:style w:type="paragraph" w:customStyle="1" w:styleId="59">
    <w:name w:val="修订1"/>
    <w:autoRedefine/>
    <w:hidden/>
    <w:semiHidden/>
    <w:qFormat/>
    <w:uiPriority w:val="99"/>
    <w:rPr>
      <w:rFonts w:ascii="Calibri" w:hAnsi="Calibri" w:eastAsia="Calibri" w:cs="Calibri"/>
      <w:color w:val="000000"/>
      <w:kern w:val="2"/>
      <w:sz w:val="22"/>
      <w:szCs w:val="22"/>
      <w:lang w:val="en-US" w:eastAsia="zh-CN" w:bidi="ar-SA"/>
    </w:rPr>
  </w:style>
  <w:style w:type="character" w:customStyle="1" w:styleId="60">
    <w:name w:val="未处理的提及2"/>
    <w:basedOn w:val="32"/>
    <w:autoRedefine/>
    <w:semiHidden/>
    <w:unhideWhenUsed/>
    <w:qFormat/>
    <w:uiPriority w:val="99"/>
    <w:rPr>
      <w:color w:val="605E5C"/>
      <w:shd w:val="clear" w:color="auto" w:fill="E1DFDD"/>
    </w:rPr>
  </w:style>
  <w:style w:type="character" w:customStyle="1" w:styleId="61">
    <w:name w:val="未处理的提及3"/>
    <w:basedOn w:val="32"/>
    <w:autoRedefine/>
    <w:semiHidden/>
    <w:unhideWhenUsed/>
    <w:qFormat/>
    <w:uiPriority w:val="99"/>
    <w:rPr>
      <w:color w:val="605E5C"/>
      <w:shd w:val="clear" w:color="auto" w:fill="E1DFDD"/>
    </w:rPr>
  </w:style>
  <w:style w:type="paragraph" w:customStyle="1" w:styleId="62">
    <w:name w:val="BodyText"/>
    <w:basedOn w:val="1"/>
    <w:autoRedefine/>
    <w:qFormat/>
    <w:uiPriority w:val="0"/>
    <w:pPr>
      <w:spacing w:line="240" w:lineRule="atLeast"/>
      <w:textAlignment w:val="baseline"/>
    </w:pPr>
    <w:rPr>
      <w:rFonts w:eastAsia="小标宋"/>
      <w:sz w:val="44"/>
    </w:rPr>
  </w:style>
  <w:style w:type="paragraph" w:customStyle="1" w:styleId="63">
    <w:name w:val="修订2"/>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4">
    <w:name w:val="修订3"/>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5">
    <w:name w:val="修订4"/>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6">
    <w:name w:val="正文 A"/>
    <w:autoRedefine/>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67">
    <w:name w:val="样式2"/>
    <w:basedOn w:val="1"/>
    <w:autoRedefine/>
    <w:qFormat/>
    <w:uiPriority w:val="0"/>
    <w:pPr>
      <w:spacing w:line="360" w:lineRule="auto"/>
      <w:ind w:firstLine="200" w:firstLineChars="200"/>
    </w:pPr>
    <w:rPr>
      <w:rFonts w:ascii="宋体" w:hAnsi="宋体"/>
      <w:bCs/>
      <w:spacing w:val="12"/>
      <w:sz w:val="24"/>
    </w:rPr>
  </w:style>
  <w:style w:type="paragraph" w:customStyle="1" w:styleId="68">
    <w:name w:val="Revision"/>
    <w:autoRedefine/>
    <w:hidden/>
    <w:unhideWhenUsed/>
    <w:qFormat/>
    <w:uiPriority w:val="99"/>
    <w:rPr>
      <w:rFonts w:ascii="Calibri" w:hAnsi="Calibri" w:eastAsia="Calibri" w:cs="Calibri"/>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3089</Words>
  <Characters>3419</Characters>
  <Lines>83</Lines>
  <Paragraphs>23</Paragraphs>
  <TotalTime>2</TotalTime>
  <ScaleCrop>false</ScaleCrop>
  <LinksUpToDate>false</LinksUpToDate>
  <CharactersWithSpaces>3465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2023-05-05T23:10:00Z</dcterms:created>
  <dc:creator>袁静</dc:creator>
  <cp:lastModifiedBy>岳成林</cp:lastModifiedBy>
  <cp:lastPrinted>2025-03-18T16:03:00Z</cp:lastPrinted>
  <dcterms:modified xsi:type="dcterms:W3CDTF">2026-02-05T06:58:27Z</dcterms:modified>
  <dc:title>中华人民共和国</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14B94CEECA7A4175B16AE5DFF8378D9F_13</vt:lpwstr>
  </property>
  <property fmtid="{D5CDD505-2E9C-101B-9397-08002B2CF9AE}" pid="4" name="KSOTemplateDocerSaveRecord">
    <vt:lpwstr>eyJoZGlkIjoiNmZlMWQzNjc1ZTM5YTYxNjg0NzVlZjY5ZWJiYzhmOTYiLCJ1c2VySWQiOiIxNjM0OTc3Mjk5In0=</vt:lpwstr>
  </property>
</Properties>
</file>