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AC1758">
      <w:pPr>
        <w:rPr>
          <w:rFonts w:hint="default" w:ascii="方正仿宋_GB2312" w:hAnsi="方正仿宋_GB2312" w:eastAsia="方正仿宋_GB2312" w:cs="方正仿宋_GB2312"/>
          <w:b w:val="0"/>
          <w:bCs w:val="0"/>
          <w:color w:val="auto"/>
          <w:sz w:val="32"/>
          <w:szCs w:val="32"/>
          <w:highlight w:val="none"/>
          <w:lang w:val="en-US" w:eastAsia="zh-CN"/>
        </w:rPr>
      </w:pPr>
      <w:bookmarkStart w:id="0" w:name="_Toc9903"/>
      <w:bookmarkStart w:id="1" w:name="_Toc12242"/>
      <w:bookmarkStart w:id="2" w:name="_Toc663"/>
      <w:bookmarkStart w:id="3" w:name="_Toc23663"/>
      <w:bookmarkStart w:id="4" w:name="_Toc17499"/>
      <w:bookmarkStart w:id="5" w:name="_Toc4830"/>
      <w:bookmarkStart w:id="6" w:name="_Toc23535"/>
      <w:bookmarkStart w:id="7" w:name="_Toc16098"/>
      <w:r>
        <w:rPr>
          <w:rFonts w:hint="eastAsia" w:ascii="方正仿宋_GB2312" w:hAnsi="方正仿宋_GB2312" w:eastAsia="方正仿宋_GB2312" w:cs="方正仿宋_GB2312"/>
          <w:b w:val="0"/>
          <w:bCs w:val="0"/>
          <w:color w:val="auto"/>
          <w:sz w:val="32"/>
          <w:szCs w:val="32"/>
          <w:highlight w:val="none"/>
          <w:lang w:val="en-US" w:eastAsia="zh-CN"/>
        </w:rPr>
        <w:t>项目编号：TCSY20260301</w:t>
      </w:r>
    </w:p>
    <w:p w14:paraId="63C34150">
      <w:pPr>
        <w:pStyle w:val="3"/>
        <w:rPr>
          <w:rFonts w:hint="eastAsia"/>
          <w:color w:val="auto"/>
          <w:highlight w:val="none"/>
          <w:lang w:val="en-US" w:eastAsia="zh-CN"/>
        </w:rPr>
      </w:pPr>
    </w:p>
    <w:p w14:paraId="41DBCC2C">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四川省铁产石油化工有限责任公司</w:t>
      </w:r>
    </w:p>
    <w:p w14:paraId="702EDA3F">
      <w:pPr>
        <w:jc w:val="center"/>
        <w:rPr>
          <w:rFonts w:hint="default"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专项法律服务机构</w:t>
      </w:r>
    </w:p>
    <w:p w14:paraId="1ECADA0F">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0C216AEB">
      <w:pPr>
        <w:jc w:val="center"/>
        <w:rPr>
          <w:rFonts w:hint="eastAsia" w:ascii="方正小标宋简体" w:hAnsi="方正小标宋简体" w:eastAsia="方正小标宋简体" w:cs="方正小标宋简体"/>
          <w:b w:val="0"/>
          <w:bCs w:val="0"/>
          <w:color w:val="auto"/>
          <w:sz w:val="44"/>
          <w:szCs w:val="44"/>
          <w:highlight w:val="none"/>
          <w:lang w:val="en-US" w:eastAsia="zh-CN"/>
        </w:rPr>
      </w:pPr>
    </w:p>
    <w:p w14:paraId="4BA6DA0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p>
    <w:p w14:paraId="0E574342">
      <w:pPr>
        <w:tabs>
          <w:tab w:val="left" w:pos="6972"/>
        </w:tabs>
        <w:jc w:val="left"/>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ab/>
      </w:r>
    </w:p>
    <w:p w14:paraId="43CCBE95">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比</w:t>
      </w:r>
    </w:p>
    <w:p w14:paraId="41677FC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选</w:t>
      </w:r>
    </w:p>
    <w:p w14:paraId="5621BBBA">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文</w:t>
      </w:r>
    </w:p>
    <w:p w14:paraId="68401D12">
      <w:pPr>
        <w:jc w:val="center"/>
        <w:rPr>
          <w:rFonts w:hint="eastAsia" w:ascii="方正小标宋简体" w:hAnsi="方正小标宋简体" w:eastAsia="方正小标宋简体" w:cs="方正小标宋简体"/>
          <w:b w:val="0"/>
          <w:bCs w:val="0"/>
          <w:color w:val="auto"/>
          <w:sz w:val="48"/>
          <w:szCs w:val="48"/>
          <w:highlight w:val="none"/>
          <w:lang w:val="en-US" w:eastAsia="zh-CN"/>
        </w:rPr>
      </w:pPr>
      <w:r>
        <w:rPr>
          <w:rFonts w:hint="eastAsia" w:ascii="方正小标宋简体" w:hAnsi="方正小标宋简体" w:eastAsia="方正小标宋简体" w:cs="方正小标宋简体"/>
          <w:b w:val="0"/>
          <w:bCs w:val="0"/>
          <w:color w:val="auto"/>
          <w:sz w:val="48"/>
          <w:szCs w:val="48"/>
          <w:highlight w:val="none"/>
          <w:lang w:val="en-US" w:eastAsia="zh-CN"/>
        </w:rPr>
        <w:t>件</w:t>
      </w:r>
    </w:p>
    <w:p w14:paraId="1E4F2135">
      <w:pPr>
        <w:jc w:val="center"/>
        <w:rPr>
          <w:rFonts w:hint="eastAsia" w:ascii="方正仿宋_GB2312" w:hAnsi="方正仿宋_GB2312" w:eastAsia="方正仿宋_GB2312" w:cs="方正仿宋_GB2312"/>
          <w:b/>
          <w:bCs/>
          <w:color w:val="auto"/>
          <w:sz w:val="32"/>
          <w:szCs w:val="32"/>
          <w:highlight w:val="none"/>
          <w:lang w:val="en-US" w:eastAsia="zh-CN"/>
        </w:rPr>
      </w:pPr>
    </w:p>
    <w:p w14:paraId="404D531A">
      <w:pPr>
        <w:jc w:val="center"/>
        <w:rPr>
          <w:rFonts w:hint="eastAsia" w:ascii="方正仿宋_GB2312" w:hAnsi="方正仿宋_GB2312" w:eastAsia="方正仿宋_GB2312" w:cs="方正仿宋_GB2312"/>
          <w:b/>
          <w:bCs/>
          <w:color w:val="auto"/>
          <w:sz w:val="32"/>
          <w:szCs w:val="32"/>
          <w:highlight w:val="none"/>
          <w:lang w:val="en-US" w:eastAsia="zh-CN"/>
        </w:rPr>
      </w:pPr>
    </w:p>
    <w:p w14:paraId="7A35E059">
      <w:pPr>
        <w:jc w:val="both"/>
        <w:rPr>
          <w:rFonts w:hint="eastAsia" w:ascii="方正仿宋_GB2312" w:hAnsi="方正仿宋_GB2312" w:eastAsia="方正仿宋_GB2312" w:cs="方正仿宋_GB2312"/>
          <w:b/>
          <w:bCs/>
          <w:color w:val="auto"/>
          <w:sz w:val="32"/>
          <w:szCs w:val="32"/>
          <w:highlight w:val="none"/>
          <w:lang w:val="en-US" w:eastAsia="zh-CN"/>
        </w:rPr>
      </w:pPr>
    </w:p>
    <w:p w14:paraId="56F2BFD0">
      <w:pPr>
        <w:jc w:val="center"/>
        <w:rPr>
          <w:rFonts w:hint="default"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比选人：四川省铁产石油化工有限责任公司</w:t>
      </w:r>
    </w:p>
    <w:p w14:paraId="71AE76B2">
      <w:pPr>
        <w:jc w:val="center"/>
        <w:rPr>
          <w:rFonts w:hint="eastAsia" w:ascii="方正仿宋_GB2312" w:hAnsi="方正仿宋_GB2312" w:eastAsia="方正仿宋_GB2312" w:cs="方正仿宋_GB2312"/>
          <w:b/>
          <w:bCs/>
          <w:color w:val="auto"/>
          <w:sz w:val="32"/>
          <w:szCs w:val="32"/>
          <w:highlight w:val="none"/>
          <w:lang w:val="en-US" w:eastAsia="zh-CN"/>
        </w:rPr>
      </w:pPr>
      <w:r>
        <w:rPr>
          <w:rFonts w:hint="eastAsia" w:ascii="方正仿宋_GB2312" w:hAnsi="方正仿宋_GB2312" w:eastAsia="方正仿宋_GB2312" w:cs="方正仿宋_GB2312"/>
          <w:b/>
          <w:bCs/>
          <w:color w:val="auto"/>
          <w:sz w:val="32"/>
          <w:szCs w:val="32"/>
          <w:highlight w:val="none"/>
          <w:lang w:val="en-US" w:eastAsia="zh-CN"/>
        </w:rPr>
        <w:t>二0二六年四月</w:t>
      </w:r>
    </w:p>
    <w:p w14:paraId="621AD712">
      <w:pPr>
        <w:jc w:val="center"/>
        <w:rPr>
          <w:rFonts w:hint="eastAsia" w:ascii="仿宋" w:hAnsi="仿宋" w:eastAsia="仿宋" w:cs="仿宋"/>
          <w:b/>
          <w:bCs/>
          <w:color w:val="auto"/>
          <w:sz w:val="36"/>
          <w:szCs w:val="36"/>
          <w:highlight w:val="none"/>
        </w:rPr>
        <w:sectPr>
          <w:footerReference r:id="rId3" w:type="default"/>
          <w:pgSz w:w="11906" w:h="16838"/>
          <w:pgMar w:top="1134" w:right="1134" w:bottom="1134" w:left="1418" w:header="851" w:footer="992" w:gutter="0"/>
          <w:pgNumType w:fmt="numberInDash"/>
          <w:cols w:space="720" w:num="1"/>
          <w:docGrid w:type="lines" w:linePitch="312" w:charSpace="0"/>
        </w:sectPr>
      </w:pPr>
    </w:p>
    <w:p w14:paraId="55E2DA83">
      <w:pPr>
        <w:jc w:val="center"/>
        <w:rPr>
          <w:rFonts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目  录</w:t>
      </w:r>
    </w:p>
    <w:p w14:paraId="15150002">
      <w:pPr>
        <w:rPr>
          <w:rFonts w:ascii="仿宋" w:hAnsi="仿宋" w:eastAsia="仿宋" w:cs="仿宋"/>
          <w:b/>
          <w:bCs/>
          <w:color w:val="auto"/>
          <w:sz w:val="32"/>
          <w:szCs w:val="32"/>
          <w:highlight w:val="none"/>
        </w:rPr>
      </w:pPr>
    </w:p>
    <w:p w14:paraId="365A4C85">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"_Toc2468"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第一章 比选公告</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p>
    <w:p w14:paraId="37D2550E">
      <w:pPr>
        <w:tabs>
          <w:tab w:val="right" w:leader="dot" w:pos="9354"/>
        </w:tabs>
        <w:rPr>
          <w:rFonts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"_Toc8513"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第二章 比选申请人须知</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4</w:t>
      </w:r>
      <w:r>
        <w:rPr>
          <w:rFonts w:hint="eastAsia" w:ascii="仿宋" w:hAnsi="仿宋" w:eastAsia="仿宋" w:cs="仿宋"/>
          <w:b/>
          <w:bCs/>
          <w:color w:val="auto"/>
          <w:sz w:val="32"/>
          <w:szCs w:val="32"/>
          <w:highlight w:val="none"/>
          <w:lang w:val="en-US" w:eastAsia="zh-CN" w:bidi="ar-SA"/>
        </w:rPr>
        <w:fldChar w:fldCharType="end"/>
      </w:r>
    </w:p>
    <w:p w14:paraId="4465951D">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"_Toc19085"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第三章 比选申请人的资格要求证明材料</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0</w:t>
      </w:r>
    </w:p>
    <w:p w14:paraId="5046DDD7">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"_Toc302"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第四章 比选申请书格式</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1</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1</w:t>
      </w:r>
    </w:p>
    <w:p w14:paraId="09823CEE">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"_Toc31984"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第五章 项目需求及服务、团队等相关要求</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2</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9</w:t>
      </w:r>
    </w:p>
    <w:p w14:paraId="06D62F28">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"_Toc17709"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第六章 评审方法</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31</w:t>
      </w:r>
    </w:p>
    <w:p w14:paraId="3E39986F">
      <w:pPr>
        <w:tabs>
          <w:tab w:val="right" w:leader="dot" w:pos="9354"/>
        </w:tabs>
        <w:rPr>
          <w:rFonts w:hint="default" w:ascii="仿宋" w:hAnsi="仿宋" w:eastAsia="仿宋" w:cs="仿宋"/>
          <w:b/>
          <w:bCs/>
          <w:color w:val="auto"/>
          <w:sz w:val="32"/>
          <w:szCs w:val="32"/>
          <w:highlight w:val="none"/>
          <w:lang w:val="en-US" w:eastAsia="zh-CN" w:bidi="ar-SA"/>
        </w:rPr>
      </w:pPr>
      <w:r>
        <w:rPr>
          <w:rFonts w:ascii="Calibri" w:hAnsi="Calibri" w:eastAsia="宋体" w:cs="Times New Roman"/>
          <w:color w:val="auto"/>
          <w:highlight w:val="none"/>
          <w:lang w:val="en-US" w:eastAsia="zh-CN" w:bidi="ar-SA"/>
        </w:rPr>
        <w:fldChar w:fldCharType="begin"/>
      </w:r>
      <w:r>
        <w:rPr>
          <w:rFonts w:ascii="Calibri" w:hAnsi="Calibri" w:eastAsia="宋体" w:cs="Times New Roman"/>
          <w:color w:val="auto"/>
          <w:highlight w:val="none"/>
          <w:lang w:val="en-US" w:eastAsia="zh-CN" w:bidi="ar-SA"/>
        </w:rPr>
        <w:instrText xml:space="preserve"> HYPERLINK \l "_Toc10904" </w:instrText>
      </w:r>
      <w:r>
        <w:rPr>
          <w:rFonts w:ascii="Calibri" w:hAnsi="Calibri" w:eastAsia="宋体" w:cs="Times New Roman"/>
          <w:color w:val="auto"/>
          <w:highlight w:val="none"/>
          <w:lang w:val="en-US" w:eastAsia="zh-CN" w:bidi="ar-SA"/>
        </w:rPr>
        <w:fldChar w:fldCharType="separate"/>
      </w:r>
      <w:r>
        <w:rPr>
          <w:rFonts w:hint="eastAsia" w:ascii="仿宋" w:hAnsi="仿宋" w:eastAsia="仿宋" w:cs="仿宋"/>
          <w:b/>
          <w:bCs/>
          <w:color w:val="auto"/>
          <w:sz w:val="32"/>
          <w:szCs w:val="32"/>
          <w:highlight w:val="none"/>
          <w:lang w:val="en-US" w:eastAsia="zh-CN" w:bidi="ar-SA"/>
        </w:rPr>
        <w:t>第七章 主要合同条款（草案）</w:t>
      </w:r>
      <w:r>
        <w:rPr>
          <w:rFonts w:hint="eastAsia" w:ascii="仿宋" w:hAnsi="仿宋" w:eastAsia="仿宋" w:cs="仿宋"/>
          <w:b/>
          <w:bCs/>
          <w:color w:val="auto"/>
          <w:sz w:val="32"/>
          <w:szCs w:val="32"/>
          <w:highlight w:val="none"/>
          <w:lang w:val="en-US" w:eastAsia="zh-CN" w:bidi="ar-SA"/>
        </w:rPr>
        <w:tab/>
      </w:r>
      <w:r>
        <w:rPr>
          <w:rFonts w:hint="eastAsia" w:ascii="仿宋" w:hAnsi="仿宋" w:eastAsia="仿宋" w:cs="仿宋"/>
          <w:b/>
          <w:bCs/>
          <w:color w:val="auto"/>
          <w:sz w:val="32"/>
          <w:szCs w:val="32"/>
          <w:highlight w:val="none"/>
          <w:lang w:val="en-US" w:eastAsia="zh-CN" w:bidi="ar-SA"/>
        </w:rPr>
        <w:t>3</w:t>
      </w:r>
      <w:r>
        <w:rPr>
          <w:rFonts w:hint="eastAsia" w:ascii="仿宋" w:hAnsi="仿宋" w:eastAsia="仿宋" w:cs="仿宋"/>
          <w:b/>
          <w:bCs/>
          <w:color w:val="auto"/>
          <w:sz w:val="32"/>
          <w:szCs w:val="32"/>
          <w:highlight w:val="none"/>
          <w:lang w:val="en-US" w:eastAsia="zh-CN" w:bidi="ar-SA"/>
        </w:rPr>
        <w:fldChar w:fldCharType="end"/>
      </w:r>
      <w:r>
        <w:rPr>
          <w:rFonts w:hint="eastAsia" w:ascii="仿宋" w:hAnsi="仿宋" w:eastAsia="仿宋" w:cs="仿宋"/>
          <w:b/>
          <w:bCs/>
          <w:color w:val="auto"/>
          <w:sz w:val="32"/>
          <w:szCs w:val="32"/>
          <w:highlight w:val="none"/>
          <w:lang w:val="en-US" w:eastAsia="zh-CN" w:bidi="ar-SA"/>
        </w:rPr>
        <w:t>4</w:t>
      </w:r>
    </w:p>
    <w:p w14:paraId="7950402D">
      <w:pPr>
        <w:jc w:val="center"/>
        <w:rPr>
          <w:rFonts w:ascii="仿宋_GB2312" w:hAnsi="仿宋_GB2312" w:eastAsia="仿宋_GB2312" w:cs="仿宋_GB2312"/>
          <w:b/>
          <w:bCs/>
          <w:color w:val="auto"/>
          <w:sz w:val="36"/>
          <w:szCs w:val="36"/>
          <w:highlight w:val="none"/>
        </w:rPr>
      </w:pPr>
    </w:p>
    <w:p w14:paraId="73E1CB79">
      <w:pPr>
        <w:rPr>
          <w:rFonts w:ascii="仿宋_GB2312" w:hAnsi="仿宋_GB2312" w:eastAsia="仿宋_GB2312" w:cs="仿宋_GB2312"/>
          <w:b/>
          <w:bCs/>
          <w:color w:val="auto"/>
          <w:sz w:val="32"/>
          <w:szCs w:val="32"/>
          <w:highlight w:val="none"/>
        </w:rPr>
      </w:pPr>
    </w:p>
    <w:p w14:paraId="29F4B862">
      <w:pPr>
        <w:keepNext/>
        <w:keepLines/>
        <w:widowControl w:val="0"/>
        <w:spacing w:before="340" w:after="330" w:line="460" w:lineRule="exact"/>
        <w:jc w:val="center"/>
        <w:outlineLvl w:val="0"/>
        <w:rPr>
          <w:rFonts w:ascii="仿宋_GB2312" w:hAnsi="仿宋_GB2312" w:eastAsia="仿宋_GB2312" w:cs="仿宋_GB2312"/>
          <w:b/>
          <w:bCs/>
          <w:color w:val="auto"/>
          <w:kern w:val="44"/>
          <w:sz w:val="24"/>
          <w:szCs w:val="24"/>
          <w:highlight w:val="none"/>
          <w:lang w:val="en-US" w:eastAsia="zh-CN" w:bidi="ar-SA"/>
        </w:rPr>
      </w:pPr>
    </w:p>
    <w:p w14:paraId="036230FE">
      <w:pPr>
        <w:spacing w:line="460" w:lineRule="exact"/>
        <w:rPr>
          <w:rFonts w:ascii="仿宋_GB2312" w:hAnsi="仿宋_GB2312" w:eastAsia="仿宋_GB2312" w:cs="仿宋_GB2312"/>
          <w:color w:val="auto"/>
          <w:sz w:val="24"/>
          <w:highlight w:val="none"/>
        </w:rPr>
      </w:pPr>
    </w:p>
    <w:p w14:paraId="13C93B9A">
      <w:pPr>
        <w:spacing w:line="460" w:lineRule="exact"/>
        <w:rPr>
          <w:rFonts w:ascii="仿宋_GB2312" w:hAnsi="仿宋_GB2312" w:eastAsia="仿宋_GB2312" w:cs="仿宋_GB2312"/>
          <w:color w:val="auto"/>
          <w:sz w:val="24"/>
          <w:highlight w:val="none"/>
        </w:rPr>
      </w:pPr>
    </w:p>
    <w:p w14:paraId="2997537D">
      <w:pPr>
        <w:spacing w:line="460" w:lineRule="exact"/>
        <w:rPr>
          <w:rFonts w:ascii="仿宋_GB2312" w:hAnsi="仿宋_GB2312" w:eastAsia="仿宋_GB2312" w:cs="仿宋_GB2312"/>
          <w:color w:val="auto"/>
          <w:sz w:val="24"/>
          <w:highlight w:val="none"/>
        </w:rPr>
      </w:pPr>
    </w:p>
    <w:p w14:paraId="6D305770">
      <w:pPr>
        <w:keepNext/>
        <w:keepLines/>
        <w:widowControl w:val="0"/>
        <w:spacing w:before="340" w:after="330" w:line="460" w:lineRule="exact"/>
        <w:jc w:val="both"/>
        <w:outlineLvl w:val="0"/>
        <w:rPr>
          <w:rFonts w:ascii="仿宋_GB2312" w:hAnsi="仿宋_GB2312" w:eastAsia="仿宋_GB2312" w:cs="仿宋_GB2312"/>
          <w:b/>
          <w:bCs/>
          <w:color w:val="auto"/>
          <w:kern w:val="44"/>
          <w:sz w:val="24"/>
          <w:szCs w:val="24"/>
          <w:highlight w:val="none"/>
          <w:lang w:val="en-US" w:eastAsia="zh-CN" w:bidi="ar-SA"/>
        </w:rPr>
      </w:pPr>
    </w:p>
    <w:p w14:paraId="237581C7">
      <w:pPr>
        <w:spacing w:line="460" w:lineRule="exact"/>
        <w:rPr>
          <w:rFonts w:ascii="仿宋_GB2312" w:hAnsi="仿宋_GB2312" w:eastAsia="仿宋_GB2312" w:cs="仿宋_GB2312"/>
          <w:color w:val="auto"/>
          <w:sz w:val="24"/>
          <w:highlight w:val="none"/>
        </w:rPr>
      </w:pPr>
    </w:p>
    <w:p w14:paraId="0B43AFD9">
      <w:pPr>
        <w:spacing w:line="460" w:lineRule="exact"/>
        <w:rPr>
          <w:rFonts w:ascii="仿宋_GB2312" w:hAnsi="仿宋_GB2312" w:eastAsia="仿宋_GB2312" w:cs="仿宋_GB2312"/>
          <w:color w:val="auto"/>
          <w:sz w:val="24"/>
          <w:highlight w:val="none"/>
        </w:rPr>
        <w:sectPr>
          <w:footerReference r:id="rId4" w:type="default"/>
          <w:pgSz w:w="11906" w:h="16838"/>
          <w:pgMar w:top="1134" w:right="1134" w:bottom="1134" w:left="1418" w:header="851" w:footer="992" w:gutter="0"/>
          <w:pgNumType w:fmt="numberInDash" w:start="1"/>
          <w:cols w:space="720" w:num="1"/>
          <w:docGrid w:type="lines" w:linePitch="312" w:charSpace="0"/>
        </w:sectPr>
      </w:pPr>
    </w:p>
    <w:p w14:paraId="123B08C7">
      <w:pPr>
        <w:keepNext/>
        <w:keepLines/>
        <w:widowControl w:val="0"/>
        <w:numPr>
          <w:ilvl w:val="0"/>
          <w:numId w:val="1"/>
        </w:numPr>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8" w:name="_Toc24957"/>
      <w:bookmarkStart w:id="9" w:name="_Toc31088"/>
      <w:bookmarkStart w:id="10" w:name="_Toc2468"/>
      <w:bookmarkStart w:id="11" w:name="_Toc25176"/>
      <w:r>
        <w:rPr>
          <w:rFonts w:hint="eastAsia" w:ascii="仿宋_GB2312" w:hAnsi="仿宋_GB2312" w:eastAsia="仿宋_GB2312" w:cs="仿宋_GB2312"/>
          <w:b/>
          <w:bCs/>
          <w:color w:val="auto"/>
          <w:kern w:val="44"/>
          <w:sz w:val="32"/>
          <w:szCs w:val="32"/>
          <w:highlight w:val="none"/>
          <w:lang w:val="en-US" w:eastAsia="zh-CN" w:bidi="ar-SA"/>
        </w:rPr>
        <w:t>比选</w:t>
      </w:r>
      <w:bookmarkEnd w:id="0"/>
      <w:bookmarkEnd w:id="1"/>
      <w:bookmarkEnd w:id="2"/>
      <w:bookmarkEnd w:id="3"/>
      <w:bookmarkEnd w:id="4"/>
      <w:bookmarkEnd w:id="5"/>
      <w:bookmarkEnd w:id="6"/>
      <w:bookmarkEnd w:id="7"/>
      <w:bookmarkEnd w:id="8"/>
      <w:bookmarkEnd w:id="9"/>
      <w:bookmarkEnd w:id="10"/>
      <w:bookmarkEnd w:id="11"/>
      <w:r>
        <w:rPr>
          <w:rFonts w:hint="eastAsia" w:ascii="仿宋_GB2312" w:hAnsi="仿宋_GB2312" w:eastAsia="仿宋_GB2312" w:cs="仿宋_GB2312"/>
          <w:b/>
          <w:bCs/>
          <w:color w:val="auto"/>
          <w:kern w:val="44"/>
          <w:sz w:val="32"/>
          <w:szCs w:val="32"/>
          <w:highlight w:val="none"/>
          <w:lang w:val="en-US" w:eastAsia="zh-CN" w:bidi="ar-SA"/>
        </w:rPr>
        <w:t>公告</w:t>
      </w:r>
    </w:p>
    <w:p w14:paraId="6CBCDC6C">
      <w:pPr>
        <w:keepNext w:val="0"/>
        <w:keepLines w:val="0"/>
        <w:pageBreakBefore w:val="0"/>
        <w:widowControl w:val="0"/>
        <w:kinsoku/>
        <w:overflowPunct/>
        <w:topLinePunct w:val="0"/>
        <w:autoSpaceDE/>
        <w:autoSpaceDN/>
        <w:bidi w:val="0"/>
        <w:adjustRightInd/>
        <w:snapToGrid/>
        <w:spacing w:after="156" w:afterLines="50" w:line="560" w:lineRule="exact"/>
        <w:ind w:firstLine="482" w:firstLineChars="200"/>
        <w:jc w:val="left"/>
        <w:textAlignment w:val="auto"/>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四川省铁产石油化工有限责任公司（以下简称：“比选人”“铁产石油公司”或“公司”）</w:t>
      </w:r>
      <w:r>
        <w:rPr>
          <w:rFonts w:hint="eastAsia" w:ascii="仿宋_GB2312" w:hAnsi="仿宋_GB2312" w:eastAsia="仿宋_GB2312" w:cs="仿宋_GB2312"/>
          <w:color w:val="auto"/>
          <w:kern w:val="2"/>
          <w:sz w:val="24"/>
          <w:szCs w:val="24"/>
          <w:highlight w:val="none"/>
          <w:lang w:val="en-US" w:eastAsia="zh-CN" w:bidi="ar-SA"/>
        </w:rPr>
        <w:t>公开比选某</w:t>
      </w:r>
      <w:r>
        <w:rPr>
          <w:rFonts w:hint="eastAsia" w:ascii="仿宋_GB2312" w:hAnsi="仿宋_GB2312" w:eastAsia="仿宋_GB2312" w:cs="仿宋_GB2312"/>
          <w:color w:val="auto"/>
          <w:sz w:val="24"/>
          <w:highlight w:val="none"/>
          <w:lang w:val="en-US" w:eastAsia="zh-CN"/>
        </w:rPr>
        <w:t>公司欠款案件专项法律服务机构</w:t>
      </w:r>
      <w:r>
        <w:rPr>
          <w:rFonts w:hint="eastAsia" w:ascii="仿宋_GB2312" w:hAnsi="仿宋_GB2312" w:eastAsia="仿宋_GB2312" w:cs="仿宋_GB2312"/>
          <w:color w:val="auto"/>
          <w:kern w:val="2"/>
          <w:sz w:val="24"/>
          <w:szCs w:val="24"/>
          <w:highlight w:val="none"/>
          <w:lang w:val="en-US" w:eastAsia="zh-CN" w:bidi="ar-SA"/>
        </w:rPr>
        <w:t xml:space="preserve">。根据四川省国资委相关规定、《蜀道投资集团法律事务管理暂行办法》等有关规定，现将公开比选有关事项公告如下： </w:t>
      </w:r>
    </w:p>
    <w:p w14:paraId="14D646E6">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12" w:name="_Toc26286"/>
      <w:bookmarkStart w:id="13" w:name="_Toc22141"/>
      <w:bookmarkStart w:id="14" w:name="_Toc13534"/>
      <w:r>
        <w:rPr>
          <w:rFonts w:hint="eastAsia" w:ascii="仿宋_GB2312" w:hAnsi="仿宋_GB2312" w:eastAsia="仿宋_GB2312" w:cs="仿宋_GB2312"/>
          <w:b/>
          <w:bCs/>
          <w:color w:val="auto"/>
          <w:kern w:val="2"/>
          <w:sz w:val="24"/>
          <w:szCs w:val="24"/>
          <w:highlight w:val="none"/>
          <w:lang w:val="en-US" w:eastAsia="zh-CN" w:bidi="ar-SA"/>
        </w:rPr>
        <w:t>一、</w:t>
      </w:r>
      <w:r>
        <w:rPr>
          <w:rFonts w:hint="eastAsia" w:ascii="仿宋_GB2312" w:hAnsi="仿宋_GB2312" w:eastAsia="仿宋_GB2312" w:cs="仿宋_GB2312"/>
          <w:b/>
          <w:bCs/>
          <w:color w:val="auto"/>
          <w:sz w:val="24"/>
          <w:highlight w:val="none"/>
        </w:rPr>
        <w:t>项目名称：</w:t>
      </w:r>
      <w:bookmarkEnd w:id="12"/>
      <w:bookmarkEnd w:id="13"/>
      <w:bookmarkEnd w:id="14"/>
    </w:p>
    <w:p w14:paraId="60D56BE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w:t>
      </w:r>
      <w:r>
        <w:rPr>
          <w:rFonts w:hint="eastAsia" w:ascii="仿宋_GB2312" w:hAnsi="仿宋_GB2312" w:eastAsia="仿宋_GB2312" w:cs="仿宋_GB2312"/>
          <w:color w:val="auto"/>
          <w:kern w:val="2"/>
          <w:sz w:val="24"/>
          <w:szCs w:val="24"/>
          <w:highlight w:val="none"/>
          <w:lang w:val="en-US" w:eastAsia="zh-CN" w:bidi="ar-SA"/>
        </w:rPr>
        <w:t>某</w:t>
      </w:r>
      <w:r>
        <w:rPr>
          <w:rFonts w:hint="eastAsia" w:ascii="仿宋_GB2312" w:hAnsi="仿宋_GB2312" w:eastAsia="仿宋_GB2312" w:cs="仿宋_GB2312"/>
          <w:color w:val="auto"/>
          <w:sz w:val="24"/>
          <w:highlight w:val="none"/>
          <w:lang w:val="en-US" w:eastAsia="zh-CN"/>
        </w:rPr>
        <w:t>公司欠款案件专项法律服务机构</w:t>
      </w:r>
      <w:r>
        <w:rPr>
          <w:rFonts w:hint="eastAsia" w:ascii="仿宋_GB2312" w:hAnsi="仿宋_GB2312" w:eastAsia="仿宋_GB2312" w:cs="仿宋_GB2312"/>
          <w:color w:val="auto"/>
          <w:sz w:val="24"/>
          <w:highlight w:val="none"/>
        </w:rPr>
        <w:t>。</w:t>
      </w:r>
    </w:p>
    <w:p w14:paraId="6EB61215">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color w:val="auto"/>
          <w:sz w:val="24"/>
          <w:highlight w:val="none"/>
        </w:rPr>
      </w:pPr>
      <w:bookmarkStart w:id="15" w:name="_Toc25535"/>
      <w:bookmarkStart w:id="16" w:name="_Toc22566"/>
      <w:bookmarkStart w:id="17" w:name="_Toc31392"/>
      <w:r>
        <w:rPr>
          <w:rFonts w:hint="eastAsia" w:ascii="仿宋_GB2312" w:hAnsi="仿宋_GB2312" w:eastAsia="仿宋_GB2312" w:cs="仿宋_GB2312"/>
          <w:b/>
          <w:color w:val="auto"/>
          <w:kern w:val="2"/>
          <w:sz w:val="24"/>
          <w:szCs w:val="24"/>
          <w:highlight w:val="none"/>
          <w:lang w:val="en-US" w:eastAsia="zh-CN" w:bidi="ar-SA"/>
        </w:rPr>
        <w:t>二、</w:t>
      </w:r>
      <w:r>
        <w:rPr>
          <w:rFonts w:hint="eastAsia" w:ascii="仿宋_GB2312" w:hAnsi="仿宋_GB2312" w:eastAsia="仿宋_GB2312" w:cs="仿宋_GB2312"/>
          <w:b/>
          <w:color w:val="auto"/>
          <w:sz w:val="24"/>
          <w:highlight w:val="none"/>
        </w:rPr>
        <w:t>资金来源：</w:t>
      </w:r>
      <w:bookmarkEnd w:id="15"/>
      <w:bookmarkEnd w:id="16"/>
      <w:bookmarkEnd w:id="17"/>
    </w:p>
    <w:p w14:paraId="209C62E2">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b/>
          <w:color w:val="auto"/>
          <w:sz w:val="24"/>
          <w:highlight w:val="none"/>
        </w:rPr>
      </w:pPr>
      <w:r>
        <w:rPr>
          <w:rFonts w:hint="eastAsia" w:ascii="仿宋_GB2312" w:hAnsi="仿宋_GB2312" w:eastAsia="仿宋_GB2312" w:cs="仿宋_GB2312"/>
          <w:color w:val="auto"/>
          <w:sz w:val="24"/>
          <w:highlight w:val="none"/>
        </w:rPr>
        <w:t>自筹资金。</w:t>
      </w:r>
    </w:p>
    <w:p w14:paraId="04C7FAC4">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18" w:name="_Toc30655"/>
      <w:bookmarkStart w:id="19" w:name="_Toc6088"/>
      <w:bookmarkStart w:id="20" w:name="_Toc4797"/>
      <w:r>
        <w:rPr>
          <w:rFonts w:hint="eastAsia" w:ascii="仿宋_GB2312" w:hAnsi="仿宋_GB2312" w:eastAsia="仿宋_GB2312" w:cs="仿宋_GB2312"/>
          <w:b/>
          <w:bCs/>
          <w:color w:val="auto"/>
          <w:sz w:val="24"/>
          <w:highlight w:val="none"/>
        </w:rPr>
        <w:t>三、比选项目简介：</w:t>
      </w:r>
      <w:bookmarkEnd w:id="18"/>
      <w:bookmarkEnd w:id="19"/>
      <w:bookmarkEnd w:id="20"/>
    </w:p>
    <w:tbl>
      <w:tblPr>
        <w:tblStyle w:val="7"/>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6"/>
        <w:gridCol w:w="2610"/>
        <w:gridCol w:w="2610"/>
      </w:tblGrid>
      <w:tr w14:paraId="421C9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66" w:type="dxa"/>
            <w:vAlign w:val="center"/>
          </w:tcPr>
          <w:p w14:paraId="3D25B48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2610" w:type="dxa"/>
            <w:vAlign w:val="center"/>
          </w:tcPr>
          <w:p w14:paraId="77514EDF">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tc>
        <w:tc>
          <w:tcPr>
            <w:tcW w:w="2610" w:type="dxa"/>
            <w:vAlign w:val="center"/>
          </w:tcPr>
          <w:p w14:paraId="29B46FB6">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项目编号</w:t>
            </w:r>
          </w:p>
        </w:tc>
      </w:tr>
      <w:tr w14:paraId="5C625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866" w:type="dxa"/>
            <w:vAlign w:val="center"/>
          </w:tcPr>
          <w:p w14:paraId="235DE789">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w:t>
            </w:r>
            <w:r>
              <w:rPr>
                <w:rFonts w:hint="eastAsia" w:ascii="仿宋_GB2312" w:hAnsi="仿宋_GB2312" w:eastAsia="仿宋_GB2312" w:cs="仿宋_GB2312"/>
                <w:color w:val="auto"/>
                <w:kern w:val="2"/>
                <w:sz w:val="24"/>
                <w:szCs w:val="24"/>
                <w:highlight w:val="none"/>
                <w:lang w:val="en-US" w:eastAsia="zh-CN" w:bidi="ar-SA"/>
              </w:rPr>
              <w:t>某</w:t>
            </w:r>
            <w:r>
              <w:rPr>
                <w:rFonts w:hint="eastAsia" w:ascii="仿宋_GB2312" w:hAnsi="仿宋_GB2312" w:eastAsia="仿宋_GB2312" w:cs="仿宋_GB2312"/>
                <w:color w:val="auto"/>
                <w:sz w:val="24"/>
                <w:highlight w:val="none"/>
                <w:lang w:val="en-US" w:eastAsia="zh-CN"/>
              </w:rPr>
              <w:t>公司欠款案件专项法律服务机构</w:t>
            </w:r>
          </w:p>
        </w:tc>
        <w:tc>
          <w:tcPr>
            <w:tcW w:w="2610" w:type="dxa"/>
            <w:vAlign w:val="center"/>
          </w:tcPr>
          <w:p w14:paraId="37195F98">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按照全风险模式报价。风险代理费按照收到案件本金、利息、违约金部分等比例支付，最高不超过9.2万元</w:t>
            </w:r>
          </w:p>
        </w:tc>
        <w:tc>
          <w:tcPr>
            <w:tcW w:w="2610" w:type="dxa"/>
            <w:vAlign w:val="center"/>
          </w:tcPr>
          <w:p w14:paraId="3317AFE2">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TCSY20260301</w:t>
            </w:r>
          </w:p>
        </w:tc>
      </w:tr>
      <w:tr w14:paraId="6C68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9086" w:type="dxa"/>
            <w:gridSpan w:val="3"/>
            <w:vAlign w:val="center"/>
          </w:tcPr>
          <w:p w14:paraId="77D67720">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具体内容详见本比选文件第五章。</w:t>
            </w:r>
          </w:p>
        </w:tc>
      </w:tr>
    </w:tbl>
    <w:p w14:paraId="5C42D0AC">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kern w:val="2"/>
          <w:sz w:val="24"/>
          <w:szCs w:val="24"/>
          <w:highlight w:val="none"/>
          <w:lang w:val="en-US" w:eastAsia="zh-CN" w:bidi="ar-SA"/>
        </w:rPr>
      </w:pPr>
      <w:bookmarkStart w:id="21" w:name="_Toc8827"/>
      <w:bookmarkStart w:id="22" w:name="_Toc9252"/>
      <w:bookmarkStart w:id="23" w:name="_Toc28898"/>
      <w:r>
        <w:rPr>
          <w:rFonts w:hint="eastAsia" w:ascii="仿宋_GB2312" w:hAnsi="仿宋_GB2312" w:eastAsia="仿宋_GB2312" w:cs="仿宋_GB2312"/>
          <w:b/>
          <w:bCs/>
          <w:color w:val="auto"/>
          <w:kern w:val="2"/>
          <w:sz w:val="24"/>
          <w:szCs w:val="24"/>
          <w:highlight w:val="none"/>
          <w:lang w:val="en-US" w:eastAsia="zh-CN" w:bidi="ar-SA"/>
        </w:rPr>
        <w:t>四、案件基本情况</w:t>
      </w:r>
    </w:p>
    <w:p w14:paraId="329C055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（一）涉案本金：约337万元；</w:t>
      </w:r>
    </w:p>
    <w:p w14:paraId="37951F1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（二）管辖地：四川省成都市都江堰市；</w:t>
      </w:r>
    </w:p>
    <w:p w14:paraId="0339E73A">
      <w:pPr>
        <w:pStyle w:val="2"/>
        <w:keepNext w:val="0"/>
        <w:keepLines w:val="0"/>
        <w:pageBreakBefore w:val="0"/>
        <w:widowControl w:val="0"/>
        <w:numPr>
          <w:ilvl w:val="0"/>
          <w:numId w:val="0"/>
        </w:numPr>
        <w:kinsoku/>
        <w:wordWrap/>
        <w:overflowPunct/>
        <w:topLinePunct w:val="0"/>
        <w:autoSpaceDE/>
        <w:autoSpaceDN/>
        <w:bidi w:val="0"/>
        <w:adjustRightInd/>
        <w:snapToGrid/>
        <w:spacing w:after="0" w:line="460" w:lineRule="exact"/>
        <w:ind w:firstLine="480" w:firstLineChars="200"/>
        <w:jc w:val="left"/>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lang w:val="en-US" w:eastAsia="zh-CN"/>
        </w:rPr>
        <w:t>（三）案件情况：2024年9月。比选人与某公司签订《柴油购销合同》，签订合同后按时足额供货，但该公司并未按照合同约定足额支付货款。</w:t>
      </w:r>
      <w:r>
        <w:rPr>
          <w:rFonts w:hint="default" w:ascii="仿宋_GB2312" w:hAnsi="仿宋_GB2312" w:eastAsia="仿宋_GB2312" w:cs="仿宋_GB2312"/>
          <w:color w:val="auto"/>
          <w:kern w:val="2"/>
          <w:sz w:val="24"/>
          <w:szCs w:val="24"/>
          <w:highlight w:val="none"/>
          <w:lang w:val="en-US" w:eastAsia="zh-CN" w:bidi="ar-SA"/>
        </w:rPr>
        <w:t>为维护公司合法权益，拟选聘在行业内有影响力且代理</w:t>
      </w:r>
      <w:r>
        <w:rPr>
          <w:rFonts w:hint="eastAsia" w:ascii="仿宋_GB2312" w:hAnsi="仿宋_GB2312" w:eastAsia="仿宋_GB2312" w:cs="仿宋_GB2312"/>
          <w:color w:val="auto"/>
          <w:kern w:val="2"/>
          <w:sz w:val="24"/>
          <w:szCs w:val="24"/>
          <w:highlight w:val="none"/>
          <w:lang w:val="en-US" w:eastAsia="zh-CN" w:bidi="ar-SA"/>
        </w:rPr>
        <w:t>执行案件</w:t>
      </w:r>
      <w:r>
        <w:rPr>
          <w:rFonts w:hint="default" w:ascii="仿宋_GB2312" w:hAnsi="仿宋_GB2312" w:eastAsia="仿宋_GB2312" w:cs="仿宋_GB2312"/>
          <w:color w:val="auto"/>
          <w:kern w:val="2"/>
          <w:sz w:val="24"/>
          <w:szCs w:val="24"/>
          <w:highlight w:val="none"/>
          <w:lang w:val="en-US" w:eastAsia="zh-CN" w:bidi="ar-SA"/>
        </w:rPr>
        <w:t>经验丰富的法律服务中介机构。</w:t>
      </w:r>
    </w:p>
    <w:p w14:paraId="0C197C7D">
      <w:pPr>
        <w:keepNext w:val="0"/>
        <w:keepLines w:val="0"/>
        <w:pageBreakBefore w:val="0"/>
        <w:widowControl w:val="0"/>
        <w:kinsoku/>
        <w:overflowPunct/>
        <w:topLinePunct w:val="0"/>
        <w:autoSpaceDE/>
        <w:autoSpaceDN/>
        <w:bidi w:val="0"/>
        <w:adjustRightInd/>
        <w:snapToGrid/>
        <w:spacing w:line="560" w:lineRule="exact"/>
        <w:ind w:firstLine="482" w:firstLineChars="200"/>
        <w:textAlignment w:val="auto"/>
        <w:rPr>
          <w:rFonts w:hint="default" w:ascii="仿宋_GB2312" w:hAnsi="仿宋_GB2312" w:eastAsia="仿宋_GB2312" w:cs="仿宋_GB2312"/>
          <w:b/>
          <w:bCs/>
          <w:color w:val="auto"/>
          <w:kern w:val="2"/>
          <w:sz w:val="24"/>
          <w:szCs w:val="24"/>
          <w:highlight w:val="none"/>
          <w:lang w:val="en-US" w:eastAsia="zh-CN" w:bidi="ar-SA"/>
        </w:rPr>
      </w:pPr>
    </w:p>
    <w:p w14:paraId="0AE516E1">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r>
        <w:rPr>
          <w:rFonts w:hint="eastAsia" w:ascii="仿宋_GB2312" w:hAnsi="仿宋_GB2312" w:eastAsia="仿宋_GB2312" w:cs="仿宋_GB2312"/>
          <w:b/>
          <w:bCs/>
          <w:color w:val="auto"/>
          <w:kern w:val="2"/>
          <w:sz w:val="24"/>
          <w:szCs w:val="24"/>
          <w:highlight w:val="none"/>
          <w:lang w:val="en-US" w:eastAsia="zh-CN" w:bidi="ar-SA"/>
        </w:rPr>
        <w:t>五、</w:t>
      </w:r>
      <w:r>
        <w:rPr>
          <w:rFonts w:hint="eastAsia" w:ascii="仿宋_GB2312" w:hAnsi="仿宋_GB2312" w:eastAsia="仿宋_GB2312" w:cs="仿宋_GB2312"/>
          <w:b/>
          <w:bCs/>
          <w:color w:val="auto"/>
          <w:sz w:val="24"/>
          <w:highlight w:val="none"/>
        </w:rPr>
        <w:t>对比选申请人的资格要求：</w:t>
      </w:r>
      <w:bookmarkEnd w:id="21"/>
      <w:bookmarkEnd w:id="22"/>
      <w:bookmarkEnd w:id="23"/>
    </w:p>
    <w:p w14:paraId="08F341C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资质要求：依法在中华人民共和国境内设立的律师事务所，持有合法有效律师事务所执业许可证，以及国家法律法规要求的相关从业资质（提供年检合格的律师事务所执业许可证复印件）；如分所或分支机构参加比选的，分所或分支机构须获得总所唯一授权，须提供总所的业务许可证复印件（可以一次授权或总体授权，同一个事务所的多家分支机构不可同时参加比选）；</w:t>
      </w:r>
    </w:p>
    <w:p w14:paraId="051874F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（二）人员要求：</w:t>
      </w:r>
      <w:r>
        <w:rPr>
          <w:rFonts w:hint="eastAsia" w:ascii="仿宋_GB2312" w:hAnsi="仿宋_GB2312" w:eastAsia="仿宋_GB2312" w:cs="仿宋_GB2312"/>
          <w:color w:val="auto"/>
          <w:sz w:val="24"/>
          <w:highlight w:val="none"/>
          <w:lang w:val="en-US" w:eastAsia="zh-CN"/>
        </w:rPr>
        <w:t>能在四川省内提供本地化服务，</w:t>
      </w:r>
      <w:r>
        <w:rPr>
          <w:rFonts w:hint="eastAsia" w:ascii="仿宋_GB2312" w:hAnsi="仿宋_GB2312" w:eastAsia="仿宋_GB2312" w:cs="仿宋_GB2312"/>
          <w:color w:val="auto"/>
          <w:sz w:val="24"/>
          <w:highlight w:val="none"/>
        </w:rPr>
        <w:t>组建相对固定且不少于</w:t>
      </w:r>
      <w:r>
        <w:rPr>
          <w:rFonts w:hint="eastAsia" w:ascii="仿宋_GB2312" w:hAnsi="仿宋_GB2312" w:eastAsia="仿宋_GB2312" w:cs="仿宋_GB2312"/>
          <w:color w:val="auto"/>
          <w:sz w:val="24"/>
          <w:highlight w:val="none"/>
          <w:lang w:val="en-US" w:eastAsia="zh-CN"/>
        </w:rPr>
        <w:t>3</w:t>
      </w:r>
      <w:r>
        <w:rPr>
          <w:rFonts w:hint="eastAsia" w:ascii="仿宋_GB2312" w:hAnsi="仿宋_GB2312" w:eastAsia="仿宋_GB2312" w:cs="仿宋_GB2312"/>
          <w:color w:val="auto"/>
          <w:sz w:val="24"/>
          <w:highlight w:val="none"/>
        </w:rPr>
        <w:t>人的律师团队，律师应具有司法行政主管部门颁发的《律师执业证》，执业时间3年以上，合法有效且年检合格</w:t>
      </w:r>
      <w:r>
        <w:rPr>
          <w:rFonts w:hint="eastAsia" w:ascii="仿宋_GB2312" w:hAnsi="仿宋_GB2312" w:eastAsia="仿宋_GB2312" w:cs="仿宋_GB2312"/>
          <w:color w:val="auto"/>
          <w:sz w:val="24"/>
          <w:highlight w:val="none"/>
          <w:lang w:eastAsia="zh-CN"/>
        </w:rPr>
        <w:t>；</w:t>
      </w:r>
    </w:p>
    <w:p w14:paraId="67B240A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（三）信誉要求：信誉良好，比选申请人及其执业律师最近3年内未受到司法行政部门的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和律师协会的行业处分，</w:t>
      </w:r>
      <w:r>
        <w:rPr>
          <w:rFonts w:hint="eastAsia" w:ascii="仿宋_GB2312" w:hAnsi="仿宋_GB2312" w:eastAsia="仿宋_GB2312" w:cs="仿宋_GB2312"/>
          <w:color w:val="auto"/>
          <w:sz w:val="24"/>
          <w:highlight w:val="none"/>
          <w:lang w:val="en-US" w:eastAsia="zh-CN"/>
        </w:rPr>
        <w:t>最近3年内</w:t>
      </w:r>
      <w:r>
        <w:rPr>
          <w:rFonts w:hint="eastAsia" w:ascii="仿宋_GB2312" w:hAnsi="仿宋_GB2312" w:eastAsia="仿宋_GB2312" w:cs="仿宋_GB2312"/>
          <w:color w:val="auto"/>
          <w:sz w:val="24"/>
          <w:highlight w:val="none"/>
        </w:rPr>
        <w:t>法律服务未因重大执业质量等问题受到省国资委的通报（提供网页查询截图）；</w:t>
      </w:r>
    </w:p>
    <w:p w14:paraId="572148C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（四）财务要求：财务状况良好，近</w:t>
      </w:r>
      <w:r>
        <w:rPr>
          <w:rFonts w:hint="eastAsia" w:ascii="仿宋_GB2312" w:hAnsi="仿宋_GB2312" w:eastAsia="仿宋_GB2312" w:cs="仿宋_GB2312"/>
          <w:color w:val="auto"/>
          <w:sz w:val="24"/>
          <w:highlight w:val="none"/>
          <w:lang w:eastAsia="zh-CN"/>
        </w:rPr>
        <w:t>3年无亏损</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2023年、2024年、2025</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44C69CD0">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五）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7771A12B">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）本项目不接受联合体投标</w:t>
      </w:r>
      <w:r>
        <w:rPr>
          <w:rFonts w:hint="eastAsia" w:ascii="仿宋_GB2312" w:hAnsi="仿宋_GB2312" w:eastAsia="仿宋_GB2312" w:cs="仿宋_GB2312"/>
          <w:color w:val="auto"/>
          <w:sz w:val="24"/>
          <w:highlight w:val="none"/>
          <w:lang w:eastAsia="zh-CN"/>
        </w:rPr>
        <w:t>。</w:t>
      </w:r>
    </w:p>
    <w:p w14:paraId="5CB9C6C6">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4" w:name="_Toc8257"/>
      <w:bookmarkStart w:id="25" w:name="_Toc24559"/>
      <w:bookmarkStart w:id="26" w:name="_Toc8698"/>
      <w:r>
        <w:rPr>
          <w:rFonts w:hint="eastAsia" w:ascii="仿宋_GB2312" w:hAnsi="仿宋_GB2312" w:eastAsia="仿宋_GB2312" w:cs="仿宋_GB2312"/>
          <w:b/>
          <w:bCs/>
          <w:color w:val="auto"/>
          <w:sz w:val="24"/>
          <w:highlight w:val="none"/>
          <w:lang w:val="en-US" w:eastAsia="zh-CN"/>
        </w:rPr>
        <w:t>六</w:t>
      </w:r>
      <w:r>
        <w:rPr>
          <w:rFonts w:hint="eastAsia" w:ascii="仿宋_GB2312" w:hAnsi="仿宋_GB2312" w:eastAsia="仿宋_GB2312" w:cs="仿宋_GB2312"/>
          <w:b/>
          <w:bCs/>
          <w:color w:val="auto"/>
          <w:sz w:val="24"/>
          <w:highlight w:val="none"/>
        </w:rPr>
        <w:t>、比选文件获取时间及地点</w:t>
      </w:r>
      <w:bookmarkEnd w:id="24"/>
      <w:bookmarkEnd w:id="25"/>
      <w:bookmarkEnd w:id="26"/>
    </w:p>
    <w:p w14:paraId="729E62BC">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1.获取比选文件</w:t>
      </w:r>
      <w:r>
        <w:rPr>
          <w:rFonts w:hint="eastAsia" w:ascii="仿宋_GB2312" w:hAnsi="仿宋_GB2312" w:eastAsia="仿宋_GB2312" w:cs="仿宋_GB2312"/>
          <w:color w:val="auto"/>
          <w:sz w:val="24"/>
          <w:highlight w:val="none"/>
        </w:rPr>
        <w:t>时间：自</w:t>
      </w:r>
      <w:r>
        <w:rPr>
          <w:rFonts w:hint="eastAsia" w:ascii="仿宋_GB2312" w:hAnsi="仿宋_GB2312" w:eastAsia="仿宋_GB2312" w:cs="仿宋_GB2312"/>
          <w:color w:val="auto"/>
          <w:sz w:val="24"/>
          <w:highlight w:val="none"/>
          <w:lang w:val="en-US" w:eastAsia="zh-CN"/>
        </w:rPr>
        <w:t>2026年4月21日</w:t>
      </w:r>
      <w:r>
        <w:rPr>
          <w:rFonts w:hint="eastAsia" w:ascii="仿宋_GB2312" w:hAnsi="仿宋_GB2312" w:eastAsia="仿宋_GB2312" w:cs="仿宋_GB2312"/>
          <w:color w:val="auto"/>
          <w:sz w:val="24"/>
          <w:highlight w:val="none"/>
        </w:rPr>
        <w:t>至</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24日9:00前</w:t>
      </w:r>
      <w:r>
        <w:rPr>
          <w:rFonts w:hint="eastAsia" w:ascii="仿宋_GB2312" w:hAnsi="仿宋_GB2312" w:eastAsia="仿宋_GB2312" w:cs="仿宋_GB2312"/>
          <w:color w:val="auto"/>
          <w:sz w:val="24"/>
          <w:highlight w:val="none"/>
        </w:rPr>
        <w:t>。</w:t>
      </w:r>
    </w:p>
    <w:p w14:paraId="61D02ED7">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2.比选文件获取方式：本次比选公告在四川蜀道物流集团有限公司网站（https://www.shudaowl.com/xwzx/jtyw/index.shtml）发布。比选申请人通过指定网站自行下载。</w:t>
      </w:r>
    </w:p>
    <w:p w14:paraId="2BEC074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27" w:name="_Toc17101"/>
      <w:bookmarkStart w:id="28" w:name="_Toc10949"/>
      <w:bookmarkStart w:id="29" w:name="_Toc6668"/>
      <w:r>
        <w:rPr>
          <w:rFonts w:hint="eastAsia" w:ascii="仿宋_GB2312" w:hAnsi="仿宋_GB2312" w:eastAsia="仿宋_GB2312" w:cs="仿宋_GB2312"/>
          <w:b/>
          <w:bCs/>
          <w:color w:val="auto"/>
          <w:sz w:val="24"/>
          <w:highlight w:val="none"/>
          <w:lang w:val="en-US" w:eastAsia="zh-CN"/>
        </w:rPr>
        <w:t>七</w:t>
      </w:r>
      <w:r>
        <w:rPr>
          <w:rFonts w:hint="eastAsia" w:ascii="仿宋_GB2312" w:hAnsi="仿宋_GB2312" w:eastAsia="仿宋_GB2312" w:cs="仿宋_GB2312"/>
          <w:b/>
          <w:bCs/>
          <w:color w:val="auto"/>
          <w:sz w:val="24"/>
          <w:highlight w:val="none"/>
        </w:rPr>
        <w:t>、比选申请书的递交：</w:t>
      </w:r>
      <w:bookmarkEnd w:id="27"/>
      <w:bookmarkEnd w:id="28"/>
      <w:bookmarkEnd w:id="29"/>
    </w:p>
    <w:p w14:paraId="538929F5">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1.递交比选申请书</w:t>
      </w:r>
      <w:r>
        <w:rPr>
          <w:rFonts w:hint="eastAsia" w:ascii="仿宋_GB2312" w:hAnsi="仿宋_GB2312" w:eastAsia="仿宋_GB2312" w:cs="仿宋_GB2312"/>
          <w:color w:val="auto"/>
          <w:sz w:val="24"/>
          <w:highlight w:val="none"/>
          <w:lang w:val="en-US" w:eastAsia="zh-CN"/>
        </w:rPr>
        <w:t>递交</w:t>
      </w:r>
      <w:r>
        <w:rPr>
          <w:rFonts w:hint="eastAsia" w:ascii="仿宋_GB2312" w:hAnsi="仿宋_GB2312" w:eastAsia="仿宋_GB2312" w:cs="仿宋_GB2312"/>
          <w:color w:val="auto"/>
          <w:sz w:val="24"/>
          <w:highlight w:val="none"/>
        </w:rPr>
        <w:t>时间</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4月24日9：30至10</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0</w:t>
      </w:r>
      <w:r>
        <w:rPr>
          <w:rFonts w:hint="eastAsia" w:ascii="仿宋_GB2312" w:hAnsi="仿宋_GB2312" w:eastAsia="仿宋_GB2312" w:cs="仿宋_GB2312"/>
          <w:color w:val="auto"/>
          <w:sz w:val="24"/>
          <w:highlight w:val="none"/>
        </w:rPr>
        <w:t>0（北京时间）。</w:t>
      </w:r>
    </w:p>
    <w:p w14:paraId="5AC25BC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2.递交比选申请书地点：四川省成都市青羊区光华北五路266号青羊总部经济基地2号楼A座6楼。</w:t>
      </w:r>
    </w:p>
    <w:p w14:paraId="419786E1">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3.逾期送达或者未送达指定地点的比选申请书，比选人将不予接收。</w:t>
      </w:r>
    </w:p>
    <w:p w14:paraId="16AD4EDE">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b/>
          <w:bCs/>
          <w:color w:val="auto"/>
          <w:sz w:val="24"/>
          <w:highlight w:val="none"/>
        </w:rPr>
      </w:pPr>
      <w:bookmarkStart w:id="30" w:name="_Toc11556"/>
      <w:bookmarkStart w:id="31" w:name="_Toc44"/>
      <w:bookmarkStart w:id="32" w:name="_Toc3060"/>
      <w:r>
        <w:rPr>
          <w:rFonts w:hint="eastAsia" w:ascii="仿宋_GB2312" w:hAnsi="仿宋_GB2312" w:eastAsia="仿宋_GB2312" w:cs="仿宋_GB2312"/>
          <w:b/>
          <w:bCs/>
          <w:color w:val="auto"/>
          <w:sz w:val="24"/>
          <w:highlight w:val="none"/>
          <w:lang w:val="en-US" w:eastAsia="zh-CN"/>
        </w:rPr>
        <w:t>八</w:t>
      </w:r>
      <w:r>
        <w:rPr>
          <w:rFonts w:hint="eastAsia" w:ascii="仿宋_GB2312" w:hAnsi="仿宋_GB2312" w:eastAsia="仿宋_GB2312" w:cs="仿宋_GB2312"/>
          <w:b/>
          <w:bCs/>
          <w:color w:val="auto"/>
          <w:sz w:val="24"/>
          <w:highlight w:val="none"/>
        </w:rPr>
        <w:t>、比选结果</w:t>
      </w:r>
      <w:bookmarkEnd w:id="30"/>
      <w:bookmarkEnd w:id="31"/>
      <w:bookmarkEnd w:id="32"/>
      <w:r>
        <w:rPr>
          <w:rFonts w:hint="eastAsia" w:ascii="仿宋_GB2312" w:hAnsi="仿宋_GB2312" w:eastAsia="仿宋_GB2312" w:cs="仿宋_GB2312"/>
          <w:b/>
          <w:bCs/>
          <w:color w:val="auto"/>
          <w:sz w:val="24"/>
          <w:highlight w:val="none"/>
        </w:rPr>
        <w:t>公示</w:t>
      </w:r>
    </w:p>
    <w:p w14:paraId="15501B6E">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bookmarkStart w:id="33" w:name="_Toc27109"/>
      <w:bookmarkStart w:id="34" w:name="_Toc20715"/>
      <w:bookmarkStart w:id="35" w:name="_Toc3220"/>
      <w:r>
        <w:rPr>
          <w:rFonts w:hint="eastAsia" w:ascii="仿宋_GB2312" w:hAnsi="仿宋_GB2312" w:eastAsia="仿宋_GB2312" w:cs="仿宋_GB2312"/>
          <w:color w:val="auto"/>
          <w:sz w:val="24"/>
          <w:highlight w:val="none"/>
        </w:rPr>
        <w:t>比选结果在四川蜀道物流集团有限公司网站（https://www.shudaowl.com/xwzx/jtyw/index.shtml）比选申请人或者其他利害关系人对评审结果有异议的，应当在公示期间提出。</w:t>
      </w:r>
    </w:p>
    <w:p w14:paraId="271DAEBC">
      <w:pPr>
        <w:keepNext w:val="0"/>
        <w:keepLines w:val="0"/>
        <w:pageBreakBefore w:val="0"/>
        <w:widowControl w:val="0"/>
        <w:kinsoku/>
        <w:overflowPunct/>
        <w:topLinePunct w:val="0"/>
        <w:autoSpaceDE/>
        <w:autoSpaceDN/>
        <w:bidi w:val="0"/>
        <w:adjustRightInd/>
        <w:snapToGrid/>
        <w:spacing w:line="560" w:lineRule="exac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lang w:val="en-US" w:eastAsia="zh-CN"/>
        </w:rPr>
        <w:t>九</w:t>
      </w:r>
      <w:r>
        <w:rPr>
          <w:rFonts w:hint="eastAsia" w:ascii="仿宋_GB2312" w:hAnsi="仿宋_GB2312" w:eastAsia="仿宋_GB2312" w:cs="仿宋_GB2312"/>
          <w:b/>
          <w:bCs/>
          <w:color w:val="auto"/>
          <w:sz w:val="24"/>
          <w:highlight w:val="none"/>
        </w:rPr>
        <w:t>、联系方式</w:t>
      </w:r>
      <w:bookmarkEnd w:id="33"/>
      <w:bookmarkEnd w:id="34"/>
      <w:bookmarkEnd w:id="35"/>
    </w:p>
    <w:p w14:paraId="70281DBF">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四川省铁产石油化工有限责任公司</w:t>
      </w:r>
    </w:p>
    <w:p w14:paraId="4A522B8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地址：四川省成都市青羊区光华北五路266号青羊总部经济基地2号楼A座6楼</w:t>
      </w:r>
    </w:p>
    <w:p w14:paraId="112BF7B3">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苟格</w:t>
      </w:r>
    </w:p>
    <w:p w14:paraId="69E79EAA">
      <w:pPr>
        <w:keepNext w:val="0"/>
        <w:keepLines w:val="0"/>
        <w:pageBreakBefore w:val="0"/>
        <w:widowControl w:val="0"/>
        <w:kinsoku/>
        <w:overflowPunct/>
        <w:topLinePunct w:val="0"/>
        <w:autoSpaceDE/>
        <w:autoSpaceDN/>
        <w:bidi w:val="0"/>
        <w:adjustRightInd/>
        <w:snapToGrid/>
        <w:spacing w:line="560" w:lineRule="exact"/>
        <w:ind w:firstLine="480" w:firstLineChars="200"/>
        <w:textAlignment w:val="auto"/>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 xml:space="preserve">15828331774  </w:t>
      </w:r>
    </w:p>
    <w:p w14:paraId="0D5038C6">
      <w:pPr>
        <w:keepNext w:val="0"/>
        <w:keepLines w:val="0"/>
        <w:pageBreakBefore w:val="0"/>
        <w:widowControl w:val="0"/>
        <w:kinsoku/>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四川省铁产石油化工有限责任公司</w:t>
      </w:r>
    </w:p>
    <w:p w14:paraId="4FCBD0F1">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21</w:t>
      </w:r>
      <w:r>
        <w:rPr>
          <w:rFonts w:hint="eastAsia" w:ascii="仿宋_GB2312" w:hAnsi="仿宋_GB2312" w:eastAsia="仿宋_GB2312" w:cs="仿宋_GB2312"/>
          <w:color w:val="auto"/>
          <w:sz w:val="24"/>
          <w:highlight w:val="none"/>
        </w:rPr>
        <w:t xml:space="preserve">日       </w:t>
      </w:r>
    </w:p>
    <w:p w14:paraId="7BAC5BD8">
      <w:pPr>
        <w:spacing w:line="460" w:lineRule="exact"/>
        <w:jc w:val="center"/>
        <w:rPr>
          <w:rFonts w:ascii="仿宋_GB2312" w:hAnsi="仿宋_GB2312" w:eastAsia="仿宋_GB2312" w:cs="仿宋_GB2312"/>
          <w:color w:val="auto"/>
          <w:sz w:val="24"/>
          <w:szCs w:val="24"/>
          <w:highlight w:val="none"/>
        </w:rPr>
        <w:sectPr>
          <w:footerReference r:id="rId5" w:type="default"/>
          <w:pgSz w:w="11906" w:h="16838"/>
          <w:pgMar w:top="1134" w:right="1134" w:bottom="1134" w:left="1418" w:header="851" w:footer="992" w:gutter="0"/>
          <w:pgNumType w:fmt="decimal" w:start="1"/>
          <w:cols w:space="720" w:num="1"/>
          <w:docGrid w:type="lines" w:linePitch="312" w:charSpace="0"/>
        </w:sectPr>
      </w:pPr>
      <w:bookmarkStart w:id="36" w:name="_Toc15543"/>
      <w:bookmarkStart w:id="37" w:name="_Toc10831"/>
    </w:p>
    <w:p w14:paraId="27DC214D">
      <w:pPr>
        <w:keepNext/>
        <w:keepLines/>
        <w:widowControl w:val="0"/>
        <w:spacing w:before="0" w:after="156" w:afterLines="50" w:line="460" w:lineRule="exact"/>
        <w:jc w:val="center"/>
        <w:outlineLvl w:val="0"/>
        <w:rPr>
          <w:rFonts w:ascii="仿宋_GB2312" w:hAnsi="仿宋_GB2312" w:eastAsia="仿宋_GB2312" w:cs="仿宋_GB2312"/>
          <w:b/>
          <w:bCs/>
          <w:color w:val="auto"/>
          <w:kern w:val="44"/>
          <w:sz w:val="32"/>
          <w:szCs w:val="32"/>
          <w:highlight w:val="none"/>
          <w:lang w:val="en-US" w:eastAsia="zh-CN" w:bidi="ar-SA"/>
        </w:rPr>
      </w:pPr>
      <w:bookmarkStart w:id="38" w:name="_Toc28121"/>
      <w:bookmarkStart w:id="39" w:name="_Toc18098"/>
      <w:bookmarkStart w:id="40" w:name="_Toc32694"/>
      <w:bookmarkStart w:id="41" w:name="_Toc29401"/>
      <w:bookmarkStart w:id="42" w:name="_Toc11789"/>
      <w:bookmarkStart w:id="43" w:name="_Toc12159"/>
      <w:bookmarkStart w:id="44" w:name="_Toc2958"/>
      <w:bookmarkStart w:id="45" w:name="_Toc11060"/>
      <w:bookmarkStart w:id="46" w:name="_Toc28084"/>
      <w:bookmarkStart w:id="47" w:name="_Toc8513"/>
      <w:r>
        <w:rPr>
          <w:rFonts w:hint="eastAsia" w:ascii="仿宋_GB2312" w:hAnsi="仿宋_GB2312" w:eastAsia="仿宋_GB2312" w:cs="仿宋_GB2312"/>
          <w:b/>
          <w:bCs/>
          <w:color w:val="auto"/>
          <w:kern w:val="44"/>
          <w:sz w:val="32"/>
          <w:szCs w:val="32"/>
          <w:highlight w:val="none"/>
          <w:lang w:val="en-US" w:eastAsia="zh-CN" w:bidi="ar-SA"/>
        </w:rPr>
        <w:t>第二章 比选申请人须知</w:t>
      </w:r>
      <w:bookmarkEnd w:id="36"/>
      <w:bookmarkEnd w:id="37"/>
      <w:bookmarkEnd w:id="38"/>
      <w:bookmarkEnd w:id="39"/>
      <w:bookmarkEnd w:id="40"/>
      <w:bookmarkEnd w:id="41"/>
      <w:bookmarkEnd w:id="42"/>
      <w:bookmarkEnd w:id="43"/>
      <w:bookmarkEnd w:id="44"/>
      <w:bookmarkEnd w:id="45"/>
      <w:bookmarkEnd w:id="46"/>
      <w:bookmarkEnd w:id="47"/>
    </w:p>
    <w:p w14:paraId="6E1A1817">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bookmarkStart w:id="48" w:name="_Toc7543"/>
      <w:bookmarkStart w:id="49" w:name="_Toc28840"/>
      <w:bookmarkStart w:id="50" w:name="_Toc20515"/>
      <w:bookmarkStart w:id="51" w:name="_Toc13191"/>
      <w:bookmarkStart w:id="52" w:name="_Toc29372"/>
      <w:r>
        <w:rPr>
          <w:rFonts w:hint="eastAsia" w:ascii="仿宋_GB2312" w:hAnsi="仿宋_GB2312" w:eastAsia="仿宋_GB2312" w:cs="仿宋_GB2312"/>
          <w:b/>
          <w:bCs/>
          <w:color w:val="auto"/>
          <w:kern w:val="28"/>
          <w:sz w:val="24"/>
          <w:szCs w:val="24"/>
          <w:highlight w:val="none"/>
          <w:lang w:val="en-US" w:eastAsia="zh-CN" w:bidi="ar-SA"/>
        </w:rPr>
        <w:t>一、比选申请人须知前附表</w:t>
      </w:r>
      <w:bookmarkEnd w:id="48"/>
      <w:bookmarkEnd w:id="49"/>
      <w:bookmarkEnd w:id="50"/>
      <w:bookmarkEnd w:id="51"/>
      <w:bookmarkEnd w:id="52"/>
    </w:p>
    <w:tbl>
      <w:tblPr>
        <w:tblStyle w:val="7"/>
        <w:tblW w:w="985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9"/>
        <w:gridCol w:w="2392"/>
        <w:gridCol w:w="6662"/>
      </w:tblGrid>
      <w:tr w14:paraId="64D230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 w:hRule="atLeast"/>
          <w:jc w:val="center"/>
        </w:trPr>
        <w:tc>
          <w:tcPr>
            <w:tcW w:w="799" w:type="dxa"/>
            <w:vAlign w:val="center"/>
          </w:tcPr>
          <w:p w14:paraId="48B654C2">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序号</w:t>
            </w:r>
          </w:p>
        </w:tc>
        <w:tc>
          <w:tcPr>
            <w:tcW w:w="2392" w:type="dxa"/>
            <w:vAlign w:val="center"/>
          </w:tcPr>
          <w:p w14:paraId="792B9C1C">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内    容</w:t>
            </w:r>
          </w:p>
        </w:tc>
        <w:tc>
          <w:tcPr>
            <w:tcW w:w="6662" w:type="dxa"/>
            <w:vAlign w:val="center"/>
          </w:tcPr>
          <w:p w14:paraId="3141B91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说 明 与 要 求</w:t>
            </w:r>
          </w:p>
        </w:tc>
      </w:tr>
      <w:tr w14:paraId="25F9F0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8" w:hRule="atLeast"/>
          <w:jc w:val="center"/>
        </w:trPr>
        <w:tc>
          <w:tcPr>
            <w:tcW w:w="799" w:type="dxa"/>
            <w:vAlign w:val="center"/>
          </w:tcPr>
          <w:p w14:paraId="3860CAF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392" w:type="dxa"/>
            <w:vAlign w:val="center"/>
          </w:tcPr>
          <w:p w14:paraId="19C430C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w:t>
            </w:r>
          </w:p>
        </w:tc>
        <w:tc>
          <w:tcPr>
            <w:tcW w:w="6662" w:type="dxa"/>
            <w:vAlign w:val="center"/>
          </w:tcPr>
          <w:p w14:paraId="6946275F">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比选人：</w:t>
            </w:r>
            <w:r>
              <w:rPr>
                <w:rFonts w:hint="eastAsia" w:ascii="仿宋_GB2312" w:hAnsi="仿宋_GB2312" w:eastAsia="仿宋_GB2312" w:cs="仿宋_GB2312"/>
                <w:color w:val="auto"/>
                <w:sz w:val="24"/>
                <w:highlight w:val="none"/>
                <w:lang w:val="en-US" w:eastAsia="zh-CN"/>
              </w:rPr>
              <w:t>四川省铁产石油化工有限责任公司</w:t>
            </w:r>
          </w:p>
          <w:p w14:paraId="5A373AA5">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地址：四川省成都市青羊区光华北五路266号青羊总部经济基地2号楼A座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eastAsia" w:ascii="仿宋_GB2312" w:hAnsi="仿宋_GB2312" w:eastAsia="仿宋_GB2312" w:cs="仿宋_GB2312"/>
                <w:color w:val="auto"/>
                <w:sz w:val="24"/>
                <w:highlight w:val="none"/>
              </w:rPr>
              <w:t>楼</w:t>
            </w:r>
          </w:p>
          <w:p w14:paraId="04C7397C">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rPr>
              <w:t>联系人：</w:t>
            </w:r>
            <w:r>
              <w:rPr>
                <w:rFonts w:hint="eastAsia" w:ascii="仿宋_GB2312" w:hAnsi="仿宋_GB2312" w:eastAsia="仿宋_GB2312" w:cs="仿宋_GB2312"/>
                <w:color w:val="auto"/>
                <w:sz w:val="24"/>
                <w:highlight w:val="none"/>
                <w:lang w:val="en-US" w:eastAsia="zh-CN"/>
              </w:rPr>
              <w:t xml:space="preserve">苟格  </w:t>
            </w:r>
          </w:p>
          <w:p w14:paraId="6CD8ED95">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联系电话：</w:t>
            </w:r>
            <w:r>
              <w:rPr>
                <w:rFonts w:hint="eastAsia" w:ascii="仿宋_GB2312" w:hAnsi="仿宋_GB2312" w:eastAsia="仿宋_GB2312" w:cs="仿宋_GB2312"/>
                <w:color w:val="auto"/>
                <w:sz w:val="24"/>
                <w:highlight w:val="none"/>
                <w:lang w:val="en-US" w:eastAsia="zh-CN"/>
              </w:rPr>
              <w:t>15828331774</w:t>
            </w:r>
          </w:p>
          <w:p w14:paraId="4FF468A1">
            <w:pPr>
              <w:pStyle w:val="2"/>
              <w:rPr>
                <w:rFonts w:hint="default" w:eastAsia="仿宋_GB2312"/>
                <w:color w:val="auto"/>
                <w:highlight w:val="none"/>
                <w:lang w:val="en-US" w:eastAsia="zh-CN"/>
              </w:rPr>
            </w:pPr>
            <w:r>
              <w:rPr>
                <w:rFonts w:hint="eastAsia" w:ascii="仿宋_GB2312" w:hAnsi="仿宋_GB2312" w:eastAsia="仿宋_GB2312" w:cs="仿宋_GB2312"/>
                <w:color w:val="auto"/>
                <w:sz w:val="24"/>
                <w:highlight w:val="none"/>
                <w:lang w:val="en-US" w:eastAsia="zh-CN"/>
              </w:rPr>
              <w:t>电子邮箱：15828331774@163.com</w:t>
            </w:r>
          </w:p>
        </w:tc>
      </w:tr>
      <w:tr w14:paraId="3A3A49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3349B831">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392" w:type="dxa"/>
            <w:vAlign w:val="center"/>
          </w:tcPr>
          <w:p w14:paraId="2A325B4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6662" w:type="dxa"/>
            <w:vAlign w:val="center"/>
          </w:tcPr>
          <w:p w14:paraId="42B20CFD">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w:t>
            </w:r>
          </w:p>
        </w:tc>
      </w:tr>
      <w:tr w14:paraId="3EB9CA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6C255C3D">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392" w:type="dxa"/>
            <w:vAlign w:val="center"/>
          </w:tcPr>
          <w:p w14:paraId="128ED43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比选申请书的</w:t>
            </w:r>
          </w:p>
          <w:p w14:paraId="29019AD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印制和签署</w:t>
            </w:r>
          </w:p>
          <w:p w14:paraId="34096718">
            <w:pPr>
              <w:spacing w:line="460" w:lineRule="exact"/>
              <w:jc w:val="center"/>
              <w:rPr>
                <w:rFonts w:ascii="仿宋_GB2312" w:hAnsi="仿宋_GB2312" w:eastAsia="仿宋_GB2312" w:cs="仿宋_GB2312"/>
                <w:color w:val="auto"/>
                <w:sz w:val="24"/>
                <w:highlight w:val="none"/>
              </w:rPr>
            </w:pPr>
          </w:p>
        </w:tc>
        <w:tc>
          <w:tcPr>
            <w:tcW w:w="6662" w:type="dxa"/>
            <w:vAlign w:val="center"/>
          </w:tcPr>
          <w:p w14:paraId="4FA9DBBE">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比选申请书数量：</w:t>
            </w:r>
            <w:r>
              <w:rPr>
                <w:rFonts w:hint="eastAsia" w:ascii="仿宋_GB2312" w:hAnsi="仿宋_GB2312" w:eastAsia="仿宋_GB2312" w:cs="仿宋_GB2312"/>
                <w:color w:val="auto"/>
                <w:sz w:val="24"/>
                <w:highlight w:val="none"/>
              </w:rPr>
              <w:t>正本壹份，副本壹份</w:t>
            </w:r>
          </w:p>
          <w:p w14:paraId="40238E08">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制作要求：</w:t>
            </w:r>
            <w:r>
              <w:rPr>
                <w:rFonts w:hint="eastAsia" w:ascii="仿宋_GB2312" w:hAnsi="仿宋_GB2312" w:eastAsia="仿宋_GB2312" w:cs="仿宋_GB2312"/>
                <w:color w:val="auto"/>
                <w:sz w:val="24"/>
                <w:highlight w:val="none"/>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5E981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799" w:type="dxa"/>
            <w:vAlign w:val="center"/>
          </w:tcPr>
          <w:p w14:paraId="52236FB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w:t>
            </w:r>
          </w:p>
        </w:tc>
        <w:tc>
          <w:tcPr>
            <w:tcW w:w="2392" w:type="dxa"/>
            <w:vAlign w:val="center"/>
          </w:tcPr>
          <w:p w14:paraId="55B5FFDA">
            <w:pPr>
              <w:spacing w:line="460" w:lineRule="exact"/>
              <w:jc w:val="center"/>
              <w:rPr>
                <w:rFonts w:ascii="仿宋_GB2312" w:hAnsi="仿宋_GB2312" w:eastAsia="仿宋_GB2312" w:cs="仿宋_GB2312"/>
                <w:color w:val="auto"/>
                <w:sz w:val="24"/>
                <w:highlight w:val="none"/>
              </w:rPr>
            </w:pPr>
          </w:p>
          <w:p w14:paraId="32B86E37">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最高限价</w:t>
            </w:r>
          </w:p>
          <w:p w14:paraId="5D68CAAA">
            <w:pPr>
              <w:spacing w:line="460" w:lineRule="exact"/>
              <w:jc w:val="center"/>
              <w:rPr>
                <w:rFonts w:ascii="仿宋_GB2312" w:hAnsi="仿宋_GB2312" w:eastAsia="仿宋_GB2312" w:cs="仿宋_GB2312"/>
                <w:color w:val="auto"/>
                <w:sz w:val="24"/>
                <w:highlight w:val="none"/>
              </w:rPr>
            </w:pPr>
          </w:p>
        </w:tc>
        <w:tc>
          <w:tcPr>
            <w:tcW w:w="6662" w:type="dxa"/>
            <w:vAlign w:val="center"/>
          </w:tcPr>
          <w:p w14:paraId="362A3127">
            <w:pPr>
              <w:spacing w:line="460" w:lineRule="exact"/>
              <w:jc w:val="center"/>
              <w:rPr>
                <w:rFonts w:hint="default" w:ascii="仿宋_GB2312" w:hAnsi="仿宋_GB2312" w:eastAsia="仿宋_GB2312" w:cs="仿宋_GB2312"/>
                <w:color w:val="auto"/>
                <w:sz w:val="24"/>
                <w:highlight w:val="none"/>
                <w:lang w:val="en-US" w:eastAsia="zh-CN"/>
              </w:rPr>
            </w:pPr>
          </w:p>
          <w:p w14:paraId="7C8280FB">
            <w:pPr>
              <w:pStyle w:val="2"/>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风险代理费：不超过9.2万（含本数）</w:t>
            </w:r>
          </w:p>
          <w:p w14:paraId="42877236">
            <w:pPr>
              <w:pStyle w:val="2"/>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报价超过最高限价将无法进入综合评分阶段</w:t>
            </w:r>
          </w:p>
        </w:tc>
      </w:tr>
      <w:tr w14:paraId="3E449A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99" w:type="dxa"/>
            <w:vAlign w:val="center"/>
          </w:tcPr>
          <w:p w14:paraId="07A709AF">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2392" w:type="dxa"/>
            <w:vAlign w:val="center"/>
          </w:tcPr>
          <w:p w14:paraId="02F3136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报价方式</w:t>
            </w:r>
          </w:p>
        </w:tc>
        <w:tc>
          <w:tcPr>
            <w:tcW w:w="6662" w:type="dxa"/>
            <w:vAlign w:val="center"/>
          </w:tcPr>
          <w:p w14:paraId="6EA3FB61">
            <w:pPr>
              <w:pStyle w:val="2"/>
              <w:keepNext w:val="0"/>
              <w:keepLines w:val="0"/>
              <w:pageBreakBefore w:val="0"/>
              <w:widowControl/>
              <w:kinsoku/>
              <w:wordWrap/>
              <w:overflowPunct/>
              <w:topLinePunct w:val="0"/>
              <w:autoSpaceDE/>
              <w:autoSpaceDN/>
              <w:bidi w:val="0"/>
              <w:adjustRightInd w:val="0"/>
              <w:snapToGrid w:val="0"/>
              <w:spacing w:line="560" w:lineRule="exact"/>
              <w:ind w:right="0"/>
              <w:jc w:val="left"/>
              <w:textAlignment w:val="baseline"/>
              <w:rPr>
                <w:rFonts w:hint="eastAsia" w:ascii="仿宋_GB2312" w:hAnsi="仿宋_GB2312" w:eastAsia="仿宋_GB2312" w:cs="仿宋_GB2312"/>
                <w:snapToGrid/>
                <w:color w:val="000000"/>
                <w:kern w:val="2"/>
                <w:sz w:val="24"/>
                <w:szCs w:val="24"/>
                <w:lang w:val="en-US" w:eastAsia="zh-CN" w:bidi="ar-SA"/>
              </w:rPr>
            </w:pPr>
            <w:r>
              <w:rPr>
                <w:rFonts w:hint="eastAsia" w:ascii="仿宋_GB2312" w:hAnsi="仿宋_GB2312" w:eastAsia="仿宋_GB2312" w:cs="仿宋_GB2312"/>
                <w:snapToGrid/>
                <w:color w:val="000000"/>
                <w:kern w:val="2"/>
                <w:sz w:val="24"/>
                <w:szCs w:val="24"/>
                <w:lang w:val="en-US" w:eastAsia="zh-CN" w:bidi="ar-SA"/>
              </w:rPr>
              <w:t>按照“全风险代理费”方式进行报价。风险代理费以“元”为单位.</w:t>
            </w:r>
            <w:r>
              <w:rPr>
                <w:rFonts w:hint="eastAsia" w:ascii="仿宋_GB2312" w:hAnsi="仿宋_GB2312" w:eastAsia="仿宋_GB2312" w:cs="仿宋_GB2312"/>
                <w:color w:val="auto"/>
                <w:sz w:val="24"/>
                <w:highlight w:val="none"/>
                <w:lang w:val="en-US" w:eastAsia="zh-CN"/>
              </w:rPr>
              <w:t>其中，风险代理费按照收回本金、利息、违约金部分进行计价。</w:t>
            </w:r>
            <w:r>
              <w:rPr>
                <w:rFonts w:hint="eastAsia" w:ascii="仿宋_GB2312" w:hAnsi="仿宋_GB2312" w:eastAsia="仿宋_GB2312" w:cs="仿宋_GB2312"/>
                <w:snapToGrid/>
                <w:color w:val="000000"/>
                <w:kern w:val="2"/>
                <w:sz w:val="24"/>
                <w:szCs w:val="24"/>
                <w:lang w:val="en-US" w:eastAsia="zh-CN" w:bidi="ar-SA"/>
              </w:rPr>
              <w:t>报价费用包括但不限于</w:t>
            </w:r>
            <w:r>
              <w:rPr>
                <w:rFonts w:hint="default" w:ascii="仿宋_GB2312" w:hAnsi="仿宋_GB2312" w:eastAsia="仿宋_GB2312" w:cs="仿宋_GB2312"/>
                <w:color w:val="auto"/>
                <w:sz w:val="24"/>
                <w:highlight w:val="none"/>
                <w:lang w:val="en-US" w:eastAsia="zh-CN"/>
              </w:rPr>
              <w:t>诉讼阶段一审、二审（若有）、再审（若有）代理费用和执行阶段（若有）代理费用</w:t>
            </w:r>
            <w:r>
              <w:rPr>
                <w:rFonts w:hint="eastAsia" w:ascii="仿宋_GB2312" w:hAnsi="仿宋_GB2312" w:eastAsia="仿宋_GB2312" w:cs="仿宋_GB2312"/>
                <w:color w:val="auto"/>
                <w:sz w:val="24"/>
                <w:highlight w:val="none"/>
                <w:lang w:val="en-US" w:eastAsia="zh-CN"/>
              </w:rPr>
              <w:t>，</w:t>
            </w:r>
            <w:r>
              <w:rPr>
                <w:rFonts w:hint="eastAsia" w:ascii="仿宋_GB2312" w:hAnsi="仿宋_GB2312" w:eastAsia="仿宋_GB2312" w:cs="仿宋_GB2312"/>
                <w:snapToGrid/>
                <w:color w:val="000000"/>
                <w:kern w:val="2"/>
                <w:sz w:val="24"/>
                <w:szCs w:val="24"/>
                <w:lang w:val="en-US" w:eastAsia="zh-CN" w:bidi="ar-SA"/>
              </w:rPr>
              <w:t>差旅费。不包含案件办理过程中可能涉及的诉讼费、保全费、鉴定费、公告费等第三方收取的相关费用。</w:t>
            </w:r>
          </w:p>
          <w:p w14:paraId="0ACFD44A">
            <w:pPr>
              <w:spacing w:line="460" w:lineRule="exact"/>
              <w:jc w:val="left"/>
              <w:rPr>
                <w:rFonts w:hint="default" w:ascii="仿宋_GB2312" w:hAnsi="仿宋_GB2312" w:eastAsia="仿宋_GB2312" w:cs="仿宋_GB2312"/>
                <w:color w:val="auto"/>
                <w:sz w:val="24"/>
                <w:highlight w:val="none"/>
                <w:lang w:val="en-US" w:eastAsia="zh-CN"/>
              </w:rPr>
            </w:pPr>
          </w:p>
        </w:tc>
      </w:tr>
      <w:tr w14:paraId="7D31F8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3D6BB3DF">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p>
        </w:tc>
        <w:tc>
          <w:tcPr>
            <w:tcW w:w="2392" w:type="dxa"/>
            <w:vAlign w:val="center"/>
          </w:tcPr>
          <w:p w14:paraId="74250DD7">
            <w:pPr>
              <w:spacing w:line="460" w:lineRule="exact"/>
              <w:jc w:val="center"/>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考察现场、标前</w:t>
            </w:r>
          </w:p>
          <w:p w14:paraId="1B569A2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答疑会</w:t>
            </w:r>
          </w:p>
        </w:tc>
        <w:tc>
          <w:tcPr>
            <w:tcW w:w="6662" w:type="dxa"/>
            <w:vAlign w:val="center"/>
          </w:tcPr>
          <w:p w14:paraId="2D70E6C4">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本项目不组织现场考察、标前答疑会</w:t>
            </w:r>
          </w:p>
        </w:tc>
      </w:tr>
      <w:tr w14:paraId="39E362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637D75AA">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7</w:t>
            </w:r>
          </w:p>
        </w:tc>
        <w:tc>
          <w:tcPr>
            <w:tcW w:w="2392" w:type="dxa"/>
            <w:vAlign w:val="center"/>
          </w:tcPr>
          <w:p w14:paraId="62BB7FD8">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现场陈述</w:t>
            </w:r>
          </w:p>
        </w:tc>
        <w:tc>
          <w:tcPr>
            <w:tcW w:w="6662" w:type="dxa"/>
            <w:vAlign w:val="center"/>
          </w:tcPr>
          <w:p w14:paraId="204D354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本项目不组织现场陈述</w:t>
            </w:r>
          </w:p>
        </w:tc>
      </w:tr>
      <w:tr w14:paraId="2BC31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6" w:hRule="atLeast"/>
          <w:jc w:val="center"/>
        </w:trPr>
        <w:tc>
          <w:tcPr>
            <w:tcW w:w="799" w:type="dxa"/>
            <w:vAlign w:val="center"/>
          </w:tcPr>
          <w:p w14:paraId="04E85BAE">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8</w:t>
            </w:r>
          </w:p>
        </w:tc>
        <w:tc>
          <w:tcPr>
            <w:tcW w:w="2392" w:type="dxa"/>
            <w:vAlign w:val="center"/>
          </w:tcPr>
          <w:p w14:paraId="508AEAA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评审方法</w:t>
            </w:r>
          </w:p>
        </w:tc>
        <w:tc>
          <w:tcPr>
            <w:tcW w:w="6662" w:type="dxa"/>
            <w:vAlign w:val="center"/>
          </w:tcPr>
          <w:p w14:paraId="67CD58D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详见比选文件第六章。</w:t>
            </w:r>
          </w:p>
        </w:tc>
      </w:tr>
      <w:tr w14:paraId="008AE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2" w:hRule="atLeast"/>
          <w:jc w:val="center"/>
        </w:trPr>
        <w:tc>
          <w:tcPr>
            <w:tcW w:w="799" w:type="dxa"/>
            <w:vAlign w:val="center"/>
          </w:tcPr>
          <w:p w14:paraId="6855380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9</w:t>
            </w:r>
          </w:p>
        </w:tc>
        <w:tc>
          <w:tcPr>
            <w:tcW w:w="2392" w:type="dxa"/>
            <w:vAlign w:val="center"/>
          </w:tcPr>
          <w:p w14:paraId="30813A9E">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关于比选文件规定的时间释义</w:t>
            </w:r>
          </w:p>
        </w:tc>
        <w:tc>
          <w:tcPr>
            <w:tcW w:w="6662" w:type="dxa"/>
            <w:vAlign w:val="center"/>
          </w:tcPr>
          <w:p w14:paraId="61EDAA3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本项目比选文件中规定的时间均以北京时间为准。</w:t>
            </w:r>
          </w:p>
        </w:tc>
      </w:tr>
      <w:tr w14:paraId="1949BF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0F1511DD">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10</w:t>
            </w:r>
          </w:p>
        </w:tc>
        <w:tc>
          <w:tcPr>
            <w:tcW w:w="2392" w:type="dxa"/>
            <w:vAlign w:val="center"/>
          </w:tcPr>
          <w:p w14:paraId="56B5A6C6">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参与比选活动保证金</w:t>
            </w:r>
          </w:p>
        </w:tc>
        <w:tc>
          <w:tcPr>
            <w:tcW w:w="6662" w:type="dxa"/>
            <w:vAlign w:val="center"/>
          </w:tcPr>
          <w:p w14:paraId="2B68CA29">
            <w:pPr>
              <w:spacing w:line="460" w:lineRule="exact"/>
              <w:jc w:val="center"/>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本项目不作要求。</w:t>
            </w:r>
          </w:p>
        </w:tc>
      </w:tr>
      <w:tr w14:paraId="22B806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244AD62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11</w:t>
            </w:r>
          </w:p>
        </w:tc>
        <w:tc>
          <w:tcPr>
            <w:tcW w:w="2392" w:type="dxa"/>
            <w:vAlign w:val="center"/>
          </w:tcPr>
          <w:p w14:paraId="295445D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案件情况</w:t>
            </w:r>
          </w:p>
        </w:tc>
        <w:tc>
          <w:tcPr>
            <w:tcW w:w="6662" w:type="dxa"/>
            <w:vAlign w:val="center"/>
          </w:tcPr>
          <w:p w14:paraId="1BDA34A5">
            <w:pPr>
              <w:spacing w:line="460" w:lineRule="exac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鉴于本案性质为买卖合同纠纷，涉案金额较大，情况复杂，请在</w:t>
            </w:r>
            <w:r>
              <w:rPr>
                <w:rFonts w:hint="eastAsia" w:ascii="仿宋_GB2312" w:hAnsi="仿宋_GB2312" w:eastAsia="仿宋_GB2312" w:cs="仿宋_GB2312"/>
                <w:color w:val="auto"/>
                <w:sz w:val="24"/>
                <w:highlight w:val="none"/>
                <w:lang w:val="en-US" w:eastAsia="zh-CN"/>
              </w:rPr>
              <w:t>2026</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lang w:val="en-US" w:eastAsia="zh-CN"/>
              </w:rPr>
              <w:t>4</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lang w:val="en-US" w:eastAsia="zh-CN"/>
              </w:rPr>
              <w:t>24</w:t>
            </w:r>
            <w:r>
              <w:rPr>
                <w:rFonts w:hint="eastAsia" w:ascii="仿宋_GB2312" w:hAnsi="仿宋_GB2312" w:eastAsia="仿宋_GB2312" w:cs="仿宋_GB2312"/>
                <w:color w:val="auto"/>
                <w:sz w:val="24"/>
                <w:highlight w:val="none"/>
              </w:rPr>
              <w:t>日</w:t>
            </w:r>
            <w:r>
              <w:rPr>
                <w:rFonts w:hint="eastAsia" w:ascii="仿宋_GB2312" w:hAnsi="仿宋_GB2312" w:eastAsia="仿宋_GB2312" w:cs="仿宋_GB2312"/>
                <w:color w:val="auto"/>
                <w:sz w:val="24"/>
                <w:highlight w:val="none"/>
                <w:lang w:val="en-US" w:eastAsia="zh-CN"/>
              </w:rPr>
              <w:t>9：00</w:t>
            </w:r>
            <w:r>
              <w:rPr>
                <w:rFonts w:hint="eastAsia" w:ascii="仿宋_GB2312" w:hAnsi="仿宋_GB2312" w:eastAsia="仿宋_GB2312" w:cs="仿宋_GB2312"/>
                <w:color w:val="auto"/>
                <w:sz w:val="24"/>
                <w:highlight w:val="none"/>
              </w:rPr>
              <w:t>前，将</w:t>
            </w:r>
            <w:r>
              <w:rPr>
                <w:rFonts w:hint="eastAsia" w:ascii="仿宋_GB2312" w:hAnsi="仿宋_GB2312" w:eastAsia="仿宋_GB2312" w:cs="仿宋_GB2312"/>
                <w:color w:val="auto"/>
                <w:sz w:val="24"/>
                <w:highlight w:val="none"/>
                <w:lang w:val="en-US" w:eastAsia="zh-CN"/>
              </w:rPr>
              <w:t>第四章四点“比选申请人的资格要求证明材料承诺函</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反馈至</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。该承诺函需加盖</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公章，并由法定代表人或授权代表签字，</w:t>
            </w:r>
            <w:r>
              <w:rPr>
                <w:rFonts w:hint="eastAsia" w:ascii="仿宋_GB2312" w:hAnsi="仿宋_GB2312" w:eastAsia="仿宋_GB2312" w:cs="仿宋_GB2312"/>
                <w:color w:val="auto"/>
                <w:sz w:val="24"/>
                <w:highlight w:val="none"/>
                <w:lang w:val="en-US" w:eastAsia="zh-CN"/>
              </w:rPr>
              <w:t>以邮件的形式将扫描件及联系方式发送至邮箱15828331774@163.com</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并将原件附在响应文件中，</w:t>
            </w:r>
            <w:r>
              <w:rPr>
                <w:rFonts w:hint="eastAsia" w:ascii="仿宋_GB2312" w:hAnsi="仿宋_GB2312" w:eastAsia="仿宋_GB2312" w:cs="仿宋_GB2312"/>
                <w:color w:val="auto"/>
                <w:sz w:val="24"/>
                <w:highlight w:val="none"/>
              </w:rPr>
              <w:t>以确保案件信息的保密性和安全性。</w:t>
            </w:r>
          </w:p>
          <w:p w14:paraId="38E27E11">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在收到</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签署的承诺函后，</w:t>
            </w:r>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将向</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提供详细的案件材料，以便</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深入研究分析。同时，为方便</w:t>
            </w:r>
            <w:r>
              <w:rPr>
                <w:rFonts w:hint="eastAsia" w:ascii="仿宋_GB2312" w:hAnsi="仿宋_GB2312" w:eastAsia="仿宋_GB2312" w:cs="仿宋_GB2312"/>
                <w:color w:val="auto"/>
                <w:sz w:val="24"/>
                <w:highlight w:val="none"/>
                <w:lang w:val="en-US" w:eastAsia="zh-CN"/>
              </w:rPr>
              <w:t>比选申请人</w:t>
            </w:r>
            <w:r>
              <w:rPr>
                <w:rFonts w:hint="eastAsia" w:ascii="仿宋_GB2312" w:hAnsi="仿宋_GB2312" w:eastAsia="仿宋_GB2312" w:cs="仿宋_GB2312"/>
                <w:color w:val="auto"/>
                <w:sz w:val="24"/>
                <w:highlight w:val="none"/>
              </w:rPr>
              <w:t>进一步了解案件情况，也可</w:t>
            </w:r>
            <w:r>
              <w:rPr>
                <w:rFonts w:hint="eastAsia" w:ascii="仿宋_GB2312" w:hAnsi="仿宋_GB2312" w:eastAsia="仿宋_GB2312" w:cs="仿宋_GB2312"/>
                <w:color w:val="auto"/>
                <w:sz w:val="24"/>
                <w:highlight w:val="none"/>
                <w:lang w:val="en-US" w:eastAsia="zh-CN"/>
              </w:rPr>
              <w:t>与比选人联系，</w:t>
            </w:r>
            <w:r>
              <w:rPr>
                <w:rFonts w:hint="eastAsia" w:ascii="仿宋_GB2312" w:hAnsi="仿宋_GB2312" w:eastAsia="仿宋_GB2312" w:cs="仿宋_GB2312"/>
                <w:color w:val="auto"/>
                <w:sz w:val="24"/>
                <w:highlight w:val="none"/>
              </w:rPr>
              <w:t>安排相关律师前往</w:t>
            </w:r>
            <w:r>
              <w:rPr>
                <w:rFonts w:hint="eastAsia" w:ascii="仿宋_GB2312" w:hAnsi="仿宋_GB2312" w:eastAsia="仿宋_GB2312" w:cs="仿宋_GB2312"/>
                <w:color w:val="auto"/>
                <w:sz w:val="24"/>
                <w:highlight w:val="none"/>
                <w:lang w:val="en-US" w:eastAsia="zh-CN"/>
              </w:rPr>
              <w:t>比选人公司</w:t>
            </w:r>
            <w:r>
              <w:rPr>
                <w:rFonts w:hint="eastAsia" w:ascii="仿宋_GB2312" w:hAnsi="仿宋_GB2312" w:eastAsia="仿宋_GB2312" w:cs="仿宋_GB2312"/>
                <w:color w:val="auto"/>
                <w:sz w:val="24"/>
                <w:highlight w:val="none"/>
              </w:rPr>
              <w:t>现场查阅案件材料。</w:t>
            </w:r>
          </w:p>
        </w:tc>
      </w:tr>
      <w:tr w14:paraId="0B78F3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138D0581">
            <w:pPr>
              <w:spacing w:line="460" w:lineRule="exact"/>
              <w:jc w:val="center"/>
              <w:rPr>
                <w:rFonts w:hint="default" w:ascii="仿宋_GB2312" w:hAnsi="仿宋_GB2312" w:eastAsia="仿宋_GB2312" w:cs="仿宋_GB2312"/>
                <w:color w:val="auto"/>
                <w:sz w:val="24"/>
                <w:highlight w:val="none"/>
                <w:lang w:val="en-US" w:eastAsia="zh-CN"/>
              </w:rPr>
            </w:pPr>
            <w:bookmarkStart w:id="53" w:name="_Toc29260"/>
            <w:bookmarkStart w:id="54" w:name="_Toc10423"/>
            <w:bookmarkStart w:id="55" w:name="_Toc26013"/>
            <w:r>
              <w:rPr>
                <w:rFonts w:hint="eastAsia" w:ascii="仿宋_GB2312" w:hAnsi="仿宋_GB2312" w:eastAsia="仿宋_GB2312" w:cs="仿宋_GB2312"/>
                <w:color w:val="auto"/>
                <w:sz w:val="24"/>
                <w:highlight w:val="none"/>
                <w:lang w:val="en-US" w:eastAsia="zh-CN"/>
              </w:rPr>
              <w:t>12</w:t>
            </w:r>
          </w:p>
        </w:tc>
        <w:tc>
          <w:tcPr>
            <w:tcW w:w="2392" w:type="dxa"/>
            <w:vAlign w:val="center"/>
          </w:tcPr>
          <w:p w14:paraId="6D25BDE6">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报价有效期</w:t>
            </w:r>
          </w:p>
        </w:tc>
        <w:tc>
          <w:tcPr>
            <w:tcW w:w="6662" w:type="dxa"/>
            <w:vAlign w:val="center"/>
          </w:tcPr>
          <w:p w14:paraId="64B2C8A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报价截止之日起</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w:t>
            </w:r>
          </w:p>
        </w:tc>
      </w:tr>
      <w:tr w14:paraId="0E6C5B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01F47A2">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13</w:t>
            </w:r>
          </w:p>
        </w:tc>
        <w:tc>
          <w:tcPr>
            <w:tcW w:w="2392" w:type="dxa"/>
            <w:vAlign w:val="center"/>
          </w:tcPr>
          <w:p w14:paraId="5090289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签字盖章</w:t>
            </w:r>
          </w:p>
        </w:tc>
        <w:tc>
          <w:tcPr>
            <w:tcW w:w="6662" w:type="dxa"/>
            <w:vAlign w:val="center"/>
          </w:tcPr>
          <w:p w14:paraId="7B8BE38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比选申请人必须按照采购文件的规定和要求签字、盖章。</w:t>
            </w:r>
          </w:p>
        </w:tc>
      </w:tr>
      <w:tr w14:paraId="69F5463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75487330">
            <w:pPr>
              <w:spacing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14</w:t>
            </w:r>
          </w:p>
        </w:tc>
        <w:tc>
          <w:tcPr>
            <w:tcW w:w="2392" w:type="dxa"/>
            <w:vAlign w:val="center"/>
          </w:tcPr>
          <w:p w14:paraId="0C0E7D5A">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响应文件的装订</w:t>
            </w:r>
          </w:p>
        </w:tc>
        <w:tc>
          <w:tcPr>
            <w:tcW w:w="6662" w:type="dxa"/>
            <w:vAlign w:val="center"/>
          </w:tcPr>
          <w:p w14:paraId="6E2276D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一份正本和一份副本分别装订。</w:t>
            </w:r>
          </w:p>
        </w:tc>
      </w:tr>
      <w:tr w14:paraId="494F9AB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6D74FA3">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5</w:t>
            </w:r>
          </w:p>
        </w:tc>
        <w:tc>
          <w:tcPr>
            <w:tcW w:w="2392" w:type="dxa"/>
            <w:vAlign w:val="center"/>
          </w:tcPr>
          <w:p w14:paraId="49B339D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响应文件封面的标注</w:t>
            </w:r>
          </w:p>
        </w:tc>
        <w:tc>
          <w:tcPr>
            <w:tcW w:w="6662" w:type="dxa"/>
            <w:vAlign w:val="center"/>
          </w:tcPr>
          <w:p w14:paraId="2460DD80">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响应文件正本和副本的封面上均应标明：</w:t>
            </w:r>
            <w:r>
              <w:rPr>
                <w:rFonts w:hint="eastAsia" w:ascii="仿宋_GB2312" w:hAnsi="仿宋_GB2312" w:eastAsia="仿宋_GB2312" w:cs="仿宋_GB2312"/>
                <w:color w:val="auto"/>
                <w:sz w:val="24"/>
                <w:highlight w:val="none"/>
                <w:lang w:val="en-US" w:eastAsia="zh-CN"/>
              </w:rPr>
              <w:t>项目编号、</w:t>
            </w:r>
            <w:r>
              <w:rPr>
                <w:rFonts w:hint="eastAsia" w:ascii="仿宋_GB2312" w:hAnsi="仿宋_GB2312" w:eastAsia="仿宋_GB2312" w:cs="仿宋_GB2312"/>
                <w:color w:val="auto"/>
                <w:sz w:val="24"/>
                <w:highlight w:val="none"/>
              </w:rPr>
              <w:t>采购项目名称、申请人名称、年月日；并分别在右上角标明“正本”和“副本”字样。</w:t>
            </w:r>
          </w:p>
        </w:tc>
      </w:tr>
      <w:tr w14:paraId="21F12E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2C21B13">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6</w:t>
            </w:r>
          </w:p>
        </w:tc>
        <w:tc>
          <w:tcPr>
            <w:tcW w:w="2392" w:type="dxa"/>
            <w:vAlign w:val="center"/>
          </w:tcPr>
          <w:p w14:paraId="623725B5">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响应文件外层密封袋的标注</w:t>
            </w:r>
          </w:p>
        </w:tc>
        <w:tc>
          <w:tcPr>
            <w:tcW w:w="6662" w:type="dxa"/>
            <w:vAlign w:val="center"/>
          </w:tcPr>
          <w:p w14:paraId="74A82209">
            <w:pPr>
              <w:widowControl w:val="0"/>
              <w:spacing w:line="4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项目编号、采购项目名称、申请人名称、响应时间，密封袋背面应贴上密封条并注明“开标前不得开启”字样</w:t>
            </w:r>
          </w:p>
        </w:tc>
      </w:tr>
      <w:tr w14:paraId="6D6E15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5E00BA2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7</w:t>
            </w:r>
          </w:p>
        </w:tc>
        <w:tc>
          <w:tcPr>
            <w:tcW w:w="2392" w:type="dxa"/>
            <w:vAlign w:val="center"/>
          </w:tcPr>
          <w:p w14:paraId="143ECD5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递交报价文件地点</w:t>
            </w:r>
          </w:p>
        </w:tc>
        <w:tc>
          <w:tcPr>
            <w:tcW w:w="6662" w:type="dxa"/>
            <w:vAlign w:val="center"/>
          </w:tcPr>
          <w:p w14:paraId="720E356C">
            <w:pPr>
              <w:spacing w:line="460" w:lineRule="exact"/>
              <w:rPr>
                <w:rFonts w:ascii="仿宋_GB2312" w:hAnsi="仿宋_GB2312" w:eastAsia="仿宋_GB2312" w:cs="仿宋_GB2312"/>
                <w:color w:val="auto"/>
                <w:sz w:val="24"/>
                <w:highlight w:val="none"/>
              </w:rPr>
            </w:pPr>
            <w:r>
              <w:rPr>
                <w:rFonts w:hint="default" w:ascii="仿宋_GB2312" w:hAnsi="仿宋_GB2312" w:eastAsia="仿宋_GB2312" w:cs="仿宋_GB2312"/>
                <w:color w:val="auto"/>
                <w:sz w:val="24"/>
                <w:highlight w:val="none"/>
              </w:rPr>
              <w:t>四川省成都市青羊区光华北五路266号青羊总部经济基地2号楼A座</w:t>
            </w:r>
            <w:r>
              <w:rPr>
                <w:rFonts w:hint="eastAsia" w:ascii="仿宋_GB2312" w:hAnsi="仿宋_GB2312" w:eastAsia="仿宋_GB2312" w:cs="仿宋_GB2312"/>
                <w:color w:val="auto"/>
                <w:sz w:val="24"/>
                <w:highlight w:val="none"/>
                <w:lang w:val="en-US" w:eastAsia="zh-CN"/>
              </w:rPr>
              <w:t>6</w:t>
            </w:r>
            <w:r>
              <w:rPr>
                <w:rFonts w:hint="default" w:ascii="仿宋_GB2312" w:hAnsi="仿宋_GB2312" w:eastAsia="仿宋_GB2312" w:cs="仿宋_GB2312"/>
                <w:color w:val="auto"/>
                <w:sz w:val="24"/>
                <w:highlight w:val="none"/>
              </w:rPr>
              <w:t>楼</w:t>
            </w:r>
          </w:p>
        </w:tc>
      </w:tr>
      <w:tr w14:paraId="06E7A9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62FFE40D">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8</w:t>
            </w:r>
          </w:p>
        </w:tc>
        <w:tc>
          <w:tcPr>
            <w:tcW w:w="2392" w:type="dxa"/>
            <w:vAlign w:val="center"/>
          </w:tcPr>
          <w:p w14:paraId="26381A33">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评审时间和地点</w:t>
            </w:r>
          </w:p>
        </w:tc>
        <w:tc>
          <w:tcPr>
            <w:tcW w:w="6662" w:type="dxa"/>
            <w:vAlign w:val="center"/>
          </w:tcPr>
          <w:p w14:paraId="514A135D">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评审时间：同报价截止时间；</w:t>
            </w:r>
          </w:p>
          <w:p w14:paraId="37849662">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评审地点：同递交响应文件地点。</w:t>
            </w:r>
          </w:p>
        </w:tc>
      </w:tr>
      <w:tr w14:paraId="78D647A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2" w:hRule="atLeast"/>
          <w:jc w:val="center"/>
        </w:trPr>
        <w:tc>
          <w:tcPr>
            <w:tcW w:w="799" w:type="dxa"/>
            <w:vAlign w:val="center"/>
          </w:tcPr>
          <w:p w14:paraId="4F73A1C0">
            <w:pPr>
              <w:spacing w:line="460" w:lineRule="exact"/>
              <w:jc w:val="center"/>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val="en-US" w:eastAsia="zh-CN"/>
              </w:rPr>
              <w:t>9</w:t>
            </w:r>
          </w:p>
        </w:tc>
        <w:tc>
          <w:tcPr>
            <w:tcW w:w="2392" w:type="dxa"/>
            <w:vAlign w:val="center"/>
          </w:tcPr>
          <w:p w14:paraId="1042261B">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付款方式</w:t>
            </w:r>
          </w:p>
        </w:tc>
        <w:tc>
          <w:tcPr>
            <w:tcW w:w="6662" w:type="dxa"/>
            <w:vAlign w:val="center"/>
          </w:tcPr>
          <w:p w14:paraId="363A2B02">
            <w:pPr>
              <w:spacing w:line="460" w:lineRule="exact"/>
              <w:rPr>
                <w:rFonts w:hint="default" w:ascii="仿宋_GB2312" w:hAnsi="仿宋_GB2312" w:eastAsia="仿宋_GB2312" w:cs="仿宋_GB2312"/>
                <w:color w:val="auto"/>
                <w:sz w:val="24"/>
                <w:highlight w:val="none"/>
                <w:lang w:val="en-US"/>
              </w:rPr>
            </w:pPr>
            <w:r>
              <w:rPr>
                <w:rFonts w:hint="eastAsia" w:ascii="仿宋_GB2312" w:hAnsi="仿宋_GB2312" w:eastAsia="仿宋_GB2312" w:cs="仿宋_GB2312"/>
                <w:color w:val="auto"/>
                <w:sz w:val="24"/>
                <w:highlight w:val="none"/>
                <w:lang w:val="en-US" w:eastAsia="zh-CN"/>
              </w:rPr>
              <w:t>风险代理费按照比选人收到案件本金、利息、违约金等比例支付。比选人收到的案件回款均认定为“先本后息”，详见合同。</w:t>
            </w:r>
          </w:p>
        </w:tc>
      </w:tr>
    </w:tbl>
    <w:p w14:paraId="1F703BEB">
      <w:pPr>
        <w:spacing w:before="240" w:after="60" w:line="460" w:lineRule="exact"/>
        <w:outlineLvl w:val="1"/>
        <w:rPr>
          <w:rFonts w:hint="eastAsia" w:ascii="仿宋_GB2312" w:hAnsi="仿宋_GB2312" w:eastAsia="仿宋_GB2312" w:cs="仿宋_GB2312"/>
          <w:b/>
          <w:color w:val="auto"/>
          <w:sz w:val="24"/>
          <w:highlight w:val="none"/>
        </w:rPr>
      </w:pPr>
      <w:bookmarkStart w:id="56" w:name="_Toc30748"/>
      <w:bookmarkStart w:id="57" w:name="_Toc23806"/>
      <w:bookmarkStart w:id="58" w:name="_Toc7226"/>
    </w:p>
    <w:p w14:paraId="34C9A16A">
      <w:pPr>
        <w:spacing w:before="240" w:after="60" w:line="460" w:lineRule="exact"/>
        <w:outlineLvl w:val="1"/>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二、总则</w:t>
      </w:r>
      <w:bookmarkEnd w:id="53"/>
      <w:bookmarkEnd w:id="54"/>
      <w:bookmarkEnd w:id="55"/>
      <w:bookmarkEnd w:id="56"/>
      <w:bookmarkEnd w:id="57"/>
      <w:bookmarkEnd w:id="58"/>
    </w:p>
    <w:p w14:paraId="70B6F10A">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59" w:name="_Toc183682342"/>
      <w:bookmarkStart w:id="60" w:name="_Toc183582205"/>
      <w:bookmarkStart w:id="61" w:name="_Toc14336241"/>
      <w:bookmarkStart w:id="62" w:name="_Toc505261839"/>
      <w:bookmarkStart w:id="63" w:name="_Toc474326973"/>
      <w:bookmarkStart w:id="64" w:name="_Toc444620282"/>
      <w:bookmarkStart w:id="65" w:name="_Toc22245"/>
      <w:bookmarkStart w:id="66" w:name="_Toc465149293"/>
      <w:bookmarkStart w:id="67" w:name="_Toc362988437"/>
      <w:bookmarkStart w:id="68" w:name="_Toc25528"/>
      <w:bookmarkStart w:id="69" w:name="_Toc15283"/>
      <w:bookmarkStart w:id="70" w:name="_Toc474502513"/>
      <w:bookmarkStart w:id="71" w:name="_Toc361325741"/>
      <w:bookmarkStart w:id="72" w:name="_Toc13301"/>
      <w:bookmarkStart w:id="73" w:name="_Toc513468977"/>
      <w:bookmarkStart w:id="74" w:name="_Toc480453647"/>
      <w:bookmarkStart w:id="75" w:name="_Toc466391880"/>
      <w:bookmarkStart w:id="76" w:name="_Toc217446034"/>
      <w:bookmarkStart w:id="77" w:name="_Toc14301616"/>
      <w:bookmarkStart w:id="78" w:name="_Toc14948"/>
      <w:bookmarkStart w:id="79" w:name="_Toc23579"/>
      <w:bookmarkStart w:id="80" w:name="_Toc361388549"/>
      <w:r>
        <w:rPr>
          <w:rFonts w:hint="eastAsia" w:ascii="仿宋_GB2312" w:hAnsi="仿宋_GB2312" w:eastAsia="仿宋_GB2312" w:cs="仿宋_GB2312"/>
          <w:b/>
          <w:bCs/>
          <w:color w:val="auto"/>
          <w:kern w:val="2"/>
          <w:sz w:val="24"/>
          <w:szCs w:val="24"/>
          <w:highlight w:val="none"/>
          <w:lang w:val="en-US" w:eastAsia="zh-CN" w:bidi="ar-SA"/>
        </w:rPr>
        <w:t>1</w:t>
      </w:r>
      <w:bookmarkEnd w:id="59"/>
      <w:bookmarkEnd w:id="60"/>
      <w:r>
        <w:rPr>
          <w:rFonts w:hint="eastAsia" w:ascii="仿宋_GB2312" w:hAnsi="仿宋_GB2312" w:eastAsia="仿宋_GB2312" w:cs="仿宋_GB2312"/>
          <w:b/>
          <w:bCs/>
          <w:color w:val="auto"/>
          <w:kern w:val="2"/>
          <w:sz w:val="24"/>
          <w:szCs w:val="24"/>
          <w:highlight w:val="none"/>
          <w:lang w:val="en-US" w:eastAsia="zh-CN" w:bidi="ar-SA"/>
        </w:rPr>
        <w:t>.适用范围</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09155A9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本比选文件仅适用于本次比选项目。</w:t>
      </w:r>
    </w:p>
    <w:p w14:paraId="511C54AE">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81" w:name="_Toc13250"/>
      <w:bookmarkStart w:id="82" w:name="_Toc16870"/>
      <w:bookmarkStart w:id="83" w:name="_Toc505261840"/>
      <w:bookmarkStart w:id="84" w:name="_Toc474502514"/>
      <w:bookmarkStart w:id="85" w:name="_Toc7966"/>
      <w:bookmarkStart w:id="86" w:name="_Toc361388550"/>
      <w:bookmarkStart w:id="87" w:name="_Toc513468978"/>
      <w:bookmarkStart w:id="88" w:name="_Toc29183"/>
      <w:bookmarkStart w:id="89" w:name="_Toc217446035"/>
      <w:bookmarkStart w:id="90" w:name="_Toc465149294"/>
      <w:bookmarkStart w:id="91" w:name="_Toc24301"/>
      <w:bookmarkStart w:id="92" w:name="_Toc14336242"/>
      <w:bookmarkStart w:id="93" w:name="_Toc444620283"/>
      <w:bookmarkStart w:id="94" w:name="_Toc480453648"/>
      <w:bookmarkStart w:id="95" w:name="_Toc14301617"/>
      <w:bookmarkStart w:id="96" w:name="_Toc9946"/>
      <w:bookmarkStart w:id="97" w:name="_Toc474326974"/>
      <w:bookmarkStart w:id="98" w:name="_Toc362988438"/>
      <w:bookmarkStart w:id="99" w:name="_Toc466391881"/>
      <w:bookmarkStart w:id="100" w:name="_Toc361325742"/>
      <w:r>
        <w:rPr>
          <w:rFonts w:hint="eastAsia" w:ascii="仿宋_GB2312" w:hAnsi="仿宋_GB2312" w:eastAsia="仿宋_GB2312" w:cs="仿宋_GB2312"/>
          <w:b/>
          <w:bCs/>
          <w:color w:val="auto"/>
          <w:kern w:val="2"/>
          <w:sz w:val="24"/>
          <w:szCs w:val="24"/>
          <w:highlight w:val="none"/>
          <w:lang w:val="en-US" w:eastAsia="zh-CN" w:bidi="ar-SA"/>
        </w:rPr>
        <w:t>2.有关定义</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0E5786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2.1“比选人”系指本次比选活动的采购方。</w:t>
      </w:r>
    </w:p>
    <w:p w14:paraId="69CE2C74">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2.2“比选申请人”系指获取了比选文件拟参加比选活动和向比选人提供服务的律师事务所。</w:t>
      </w:r>
    </w:p>
    <w:p w14:paraId="2C4F05CE">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01" w:name="_Toc183682344"/>
      <w:bookmarkStart w:id="102" w:name="_Toc217390843"/>
      <w:bookmarkStart w:id="103" w:name="_Toc183582207"/>
      <w:bookmarkStart w:id="104" w:name="_Toc217446036"/>
      <w:bookmarkStart w:id="105" w:name="_Toc2091"/>
      <w:bookmarkStart w:id="106" w:name="_Toc14336243"/>
      <w:bookmarkStart w:id="107" w:name="_Toc14301618"/>
      <w:bookmarkStart w:id="108" w:name="_Toc474502515"/>
      <w:bookmarkStart w:id="109" w:name="_Toc469403730"/>
      <w:bookmarkStart w:id="110" w:name="_Toc32609"/>
      <w:bookmarkStart w:id="111" w:name="_Toc474326975"/>
      <w:bookmarkStart w:id="112" w:name="_Toc23605"/>
      <w:bookmarkStart w:id="113" w:name="_Toc505261841"/>
      <w:bookmarkStart w:id="114" w:name="_Toc20749"/>
      <w:bookmarkStart w:id="115" w:name="_Toc513468979"/>
      <w:bookmarkStart w:id="116" w:name="_Toc480453649"/>
      <w:bookmarkStart w:id="117" w:name="_Toc11316"/>
      <w:bookmarkStart w:id="118" w:name="_Toc30072"/>
      <w:r>
        <w:rPr>
          <w:rFonts w:hint="eastAsia" w:ascii="仿宋_GB2312" w:hAnsi="仿宋_GB2312" w:eastAsia="仿宋_GB2312" w:cs="仿宋_GB2312"/>
          <w:b/>
          <w:bCs/>
          <w:color w:val="auto"/>
          <w:kern w:val="2"/>
          <w:sz w:val="24"/>
          <w:szCs w:val="24"/>
          <w:highlight w:val="none"/>
          <w:lang w:val="en-US" w:eastAsia="zh-CN" w:bidi="ar-SA"/>
        </w:rPr>
        <w:t>3.合格的</w:t>
      </w:r>
      <w:bookmarkEnd w:id="101"/>
      <w:bookmarkEnd w:id="102"/>
      <w:bookmarkEnd w:id="103"/>
      <w:bookmarkEnd w:id="104"/>
      <w:r>
        <w:rPr>
          <w:rFonts w:hint="eastAsia" w:ascii="仿宋_GB2312" w:hAnsi="仿宋_GB2312" w:eastAsia="仿宋_GB2312" w:cs="仿宋_GB2312"/>
          <w:b/>
          <w:bCs/>
          <w:color w:val="auto"/>
          <w:kern w:val="2"/>
          <w:sz w:val="24"/>
          <w:szCs w:val="24"/>
          <w:highlight w:val="none"/>
          <w:lang w:val="en-US" w:eastAsia="zh-CN" w:bidi="ar-SA"/>
        </w:rPr>
        <w:t>比选申请人</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190759B4">
      <w:pPr>
        <w:spacing w:line="460" w:lineRule="exact"/>
        <w:ind w:firstLine="480" w:firstLineChars="200"/>
        <w:rPr>
          <w:rFonts w:ascii="仿宋_GB2312" w:hAnsi="仿宋_GB2312" w:eastAsia="仿宋_GB2312" w:cs="仿宋_GB2312"/>
          <w:color w:val="auto"/>
          <w:spacing w:val="-4"/>
          <w:sz w:val="24"/>
          <w:highlight w:val="none"/>
        </w:rPr>
      </w:pPr>
      <w:r>
        <w:rPr>
          <w:rFonts w:hint="eastAsia" w:ascii="仿宋_GB2312" w:hAnsi="仿宋_GB2312" w:eastAsia="仿宋_GB2312" w:cs="仿宋_GB2312"/>
          <w:color w:val="auto"/>
          <w:sz w:val="24"/>
          <w:highlight w:val="none"/>
        </w:rPr>
        <w:t>6.1 本比选文件规定的比选申请人的资格要求</w:t>
      </w:r>
      <w:r>
        <w:rPr>
          <w:rFonts w:hint="eastAsia" w:ascii="仿宋_GB2312" w:hAnsi="仿宋_GB2312" w:eastAsia="仿宋_GB2312" w:cs="仿宋_GB2312"/>
          <w:color w:val="auto"/>
          <w:spacing w:val="-4"/>
          <w:sz w:val="24"/>
          <w:highlight w:val="none"/>
        </w:rPr>
        <w:t>。</w:t>
      </w:r>
    </w:p>
    <w:p w14:paraId="01EBCB6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6.2 遵守国家有关的</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、规章和其他政策制度。</w:t>
      </w:r>
    </w:p>
    <w:p w14:paraId="341C5C82">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19" w:name="_Toc505261842"/>
      <w:bookmarkStart w:id="120" w:name="_Toc26743"/>
      <w:bookmarkStart w:id="121" w:name="_Toc183582208"/>
      <w:bookmarkStart w:id="122" w:name="_Toc31967"/>
      <w:bookmarkStart w:id="123" w:name="_Toc183682345"/>
      <w:bookmarkStart w:id="124" w:name="_Toc10177"/>
      <w:bookmarkStart w:id="125" w:name="_Toc474326976"/>
      <w:bookmarkStart w:id="126" w:name="_Toc469403731"/>
      <w:bookmarkStart w:id="127" w:name="_Toc19314"/>
      <w:bookmarkStart w:id="128" w:name="_Toc513468980"/>
      <w:bookmarkStart w:id="129" w:name="_Toc14336244"/>
      <w:bookmarkStart w:id="130" w:name="_Toc474502516"/>
      <w:bookmarkStart w:id="131" w:name="_Toc14301619"/>
      <w:bookmarkStart w:id="132" w:name="_Toc217446037"/>
      <w:bookmarkStart w:id="133" w:name="_Toc6617"/>
      <w:bookmarkStart w:id="134" w:name="_Toc480453650"/>
      <w:bookmarkStart w:id="135" w:name="_Toc460"/>
      <w:r>
        <w:rPr>
          <w:rFonts w:hint="eastAsia" w:ascii="仿宋_GB2312" w:hAnsi="仿宋_GB2312" w:eastAsia="仿宋_GB2312" w:cs="仿宋_GB2312"/>
          <w:b/>
          <w:bCs/>
          <w:color w:val="auto"/>
          <w:kern w:val="2"/>
          <w:sz w:val="24"/>
          <w:szCs w:val="24"/>
          <w:highlight w:val="none"/>
          <w:lang w:val="en-US" w:eastAsia="zh-CN" w:bidi="ar-SA"/>
        </w:rPr>
        <w:t>4.比选费用</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3D17203A">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比选申请人参加比选的有关费用由比选申请人自行承担。本次比选不组织</w:t>
      </w:r>
      <w:r>
        <w:rPr>
          <w:rFonts w:hint="eastAsia" w:ascii="仿宋_GB2312" w:hAnsi="仿宋_GB2312" w:eastAsia="仿宋_GB2312" w:cs="仿宋_GB2312"/>
          <w:color w:val="auto"/>
          <w:sz w:val="24"/>
          <w:highlight w:val="none"/>
          <w:lang w:val="en-US" w:eastAsia="zh-CN"/>
        </w:rPr>
        <w:t>现场陈述</w:t>
      </w:r>
      <w:r>
        <w:rPr>
          <w:rFonts w:hint="eastAsia" w:ascii="仿宋_GB2312" w:hAnsi="仿宋_GB2312" w:eastAsia="仿宋_GB2312" w:cs="仿宋_GB2312"/>
          <w:color w:val="auto"/>
          <w:sz w:val="24"/>
          <w:highlight w:val="none"/>
        </w:rPr>
        <w:t>。</w:t>
      </w:r>
    </w:p>
    <w:p w14:paraId="77351BB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36" w:name="_Toc32101"/>
      <w:bookmarkStart w:id="137" w:name="_Toc504054565"/>
      <w:bookmarkStart w:id="138" w:name="_Toc14336245"/>
      <w:bookmarkStart w:id="139" w:name="_Toc2744"/>
      <w:bookmarkStart w:id="140" w:name="_Toc14301620"/>
      <w:bookmarkStart w:id="141" w:name="_Toc22778"/>
      <w:bookmarkStart w:id="142" w:name="_Toc26717"/>
      <w:bookmarkStart w:id="143" w:name="_Toc5426"/>
      <w:bookmarkStart w:id="144" w:name="_Toc11322"/>
      <w:bookmarkStart w:id="145" w:name="_Toc4788"/>
      <w:bookmarkStart w:id="146" w:name="_Toc504035834"/>
      <w:bookmarkStart w:id="147" w:name="_Toc504051941"/>
      <w:bookmarkStart w:id="148" w:name="_Toc17385"/>
      <w:bookmarkStart w:id="149" w:name="_Toc504054389"/>
      <w:bookmarkStart w:id="150" w:name="_Toc29910"/>
      <w:r>
        <w:rPr>
          <w:rFonts w:hint="eastAsia" w:ascii="仿宋_GB2312" w:hAnsi="仿宋_GB2312" w:eastAsia="仿宋_GB2312" w:cs="仿宋_GB2312"/>
          <w:b/>
          <w:bCs/>
          <w:color w:val="auto"/>
          <w:kern w:val="2"/>
          <w:sz w:val="24"/>
          <w:szCs w:val="24"/>
          <w:highlight w:val="none"/>
          <w:lang w:val="en-US" w:eastAsia="zh-CN" w:bidi="ar-SA"/>
        </w:rPr>
        <w:t>5.比选文件的澄清和修改</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47D16F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提交比选申请书截止之日前，比选人可以对已发出的比选文件进行必要的澄清或者修改，澄清或者修改的内容作为比选文件的组成部分。澄清或者修改的内容可能影响比选申请书编制的，比选人应当在提交比选申请书截止之日3个工作日前，</w:t>
      </w:r>
      <w:r>
        <w:rPr>
          <w:rFonts w:hint="eastAsia" w:ascii="仿宋_GB2312" w:hAnsi="仿宋_GB2312" w:eastAsia="仿宋_GB2312" w:cs="仿宋_GB2312"/>
          <w:color w:val="auto"/>
          <w:sz w:val="24"/>
          <w:highlight w:val="none"/>
          <w:lang w:val="en-US" w:eastAsia="zh-CN"/>
        </w:rPr>
        <w:t>通过报名邮箱以</w:t>
      </w:r>
      <w:r>
        <w:rPr>
          <w:rFonts w:hint="eastAsia" w:ascii="仿宋_GB2312" w:hAnsi="仿宋_GB2312" w:eastAsia="仿宋_GB2312" w:cs="仿宋_GB2312"/>
          <w:color w:val="auto"/>
          <w:sz w:val="24"/>
          <w:highlight w:val="none"/>
        </w:rPr>
        <w:t>书面形式通知所有</w:t>
      </w:r>
      <w:r>
        <w:rPr>
          <w:rFonts w:hint="eastAsia" w:ascii="仿宋_GB2312" w:hAnsi="仿宋_GB2312" w:eastAsia="仿宋_GB2312" w:cs="仿宋_GB2312"/>
          <w:color w:val="auto"/>
          <w:sz w:val="24"/>
          <w:highlight w:val="none"/>
          <w:lang w:val="en-US" w:eastAsia="zh-CN"/>
        </w:rPr>
        <w:t>报名的</w:t>
      </w:r>
      <w:r>
        <w:rPr>
          <w:rFonts w:hint="eastAsia" w:ascii="仿宋_GB2312" w:hAnsi="仿宋_GB2312" w:eastAsia="仿宋_GB2312" w:cs="仿宋_GB2312"/>
          <w:color w:val="auto"/>
          <w:sz w:val="24"/>
          <w:highlight w:val="none"/>
        </w:rPr>
        <w:t>比选申请人，不足3个工作日的，应当顺延提交比选申请书截止之日。</w:t>
      </w:r>
    </w:p>
    <w:p w14:paraId="033F41D7">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51" w:name="_Toc504035838"/>
      <w:bookmarkStart w:id="152" w:name="_Toc18304"/>
      <w:bookmarkStart w:id="153" w:name="_Toc504054569"/>
      <w:bookmarkStart w:id="154" w:name="_Toc14301622"/>
      <w:bookmarkStart w:id="155" w:name="_Toc1599"/>
      <w:bookmarkStart w:id="156" w:name="_Toc6269"/>
      <w:bookmarkStart w:id="157" w:name="_Toc504051945"/>
      <w:bookmarkStart w:id="158" w:name="_Toc25286"/>
      <w:bookmarkStart w:id="159" w:name="_Toc27212"/>
      <w:bookmarkStart w:id="160" w:name="_Toc14336247"/>
      <w:bookmarkStart w:id="161" w:name="_Toc14543"/>
      <w:bookmarkStart w:id="162" w:name="_Toc30557"/>
      <w:bookmarkStart w:id="163" w:name="_Toc27771"/>
      <w:bookmarkStart w:id="164" w:name="_Toc2025"/>
      <w:bookmarkStart w:id="165" w:name="_Toc504054393"/>
      <w:r>
        <w:rPr>
          <w:rFonts w:hint="eastAsia" w:ascii="仿宋_GB2312" w:hAnsi="仿宋_GB2312" w:eastAsia="仿宋_GB2312" w:cs="仿宋_GB2312"/>
          <w:b/>
          <w:bCs/>
          <w:color w:val="auto"/>
          <w:kern w:val="2"/>
          <w:sz w:val="24"/>
          <w:szCs w:val="24"/>
          <w:highlight w:val="none"/>
          <w:lang w:val="en-US" w:eastAsia="zh-CN" w:bidi="ar-SA"/>
        </w:rPr>
        <w:t>4.比选申请书的语言</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Pr>
          <w:rFonts w:hint="eastAsia" w:ascii="仿宋_GB2312" w:hAnsi="仿宋_GB2312" w:eastAsia="仿宋_GB2312" w:cs="仿宋_GB2312"/>
          <w:b/>
          <w:bCs/>
          <w:color w:val="auto"/>
          <w:kern w:val="2"/>
          <w:sz w:val="24"/>
          <w:szCs w:val="24"/>
          <w:highlight w:val="none"/>
          <w:lang w:val="en-US" w:eastAsia="zh-CN" w:bidi="ar-SA"/>
        </w:rPr>
        <w:t>（实质性要求）</w:t>
      </w:r>
    </w:p>
    <w:p w14:paraId="42216483">
      <w:pPr>
        <w:spacing w:line="460" w:lineRule="exact"/>
        <w:ind w:right="240" w:firstLine="480" w:firstLineChars="200"/>
        <w:rPr>
          <w:rFonts w:ascii="仿宋_GB2312" w:hAnsi="仿宋_GB2312" w:eastAsia="仿宋_GB2312" w:cs="仿宋_GB2312"/>
          <w:color w:val="auto"/>
          <w:sz w:val="24"/>
          <w:highlight w:val="none"/>
        </w:rPr>
      </w:pPr>
      <w:bookmarkStart w:id="166" w:name="_Toc14301623"/>
      <w:bookmarkStart w:id="167" w:name="_Toc14336248"/>
      <w:r>
        <w:rPr>
          <w:rFonts w:hint="eastAsia" w:ascii="仿宋_GB2312" w:hAnsi="仿宋_GB2312" w:eastAsia="仿宋_GB2312" w:cs="仿宋_GB2312"/>
          <w:color w:val="auto"/>
          <w:sz w:val="24"/>
          <w:highlight w:val="none"/>
        </w:rPr>
        <w:t>4.1 比选申请人提交的比选申请书以及比选申请人与比选人就有关比选活动的所有来往书面文件均须使用简体中文。比选申请书中如附有外文资料，必须逐一对应翻译成简体中文并加盖比选申请人公章后附在相关外文资料后面，否则，比选申请人的比选申请书将作为无效处理。</w:t>
      </w:r>
    </w:p>
    <w:p w14:paraId="770D71CC">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4.2 翻译的简体中文资料与外文资料如果出现差异和矛盾，以简体中文版本为准。</w:t>
      </w:r>
    </w:p>
    <w:p w14:paraId="6178E68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68" w:name="_Toc20396"/>
      <w:bookmarkStart w:id="169" w:name="_Toc5449"/>
      <w:bookmarkStart w:id="170" w:name="_Toc12988"/>
      <w:bookmarkStart w:id="171" w:name="_Toc17939"/>
      <w:r>
        <w:rPr>
          <w:rFonts w:hint="eastAsia" w:ascii="仿宋_GB2312" w:hAnsi="仿宋_GB2312" w:eastAsia="仿宋_GB2312" w:cs="仿宋_GB2312"/>
          <w:b/>
          <w:bCs/>
          <w:color w:val="auto"/>
          <w:kern w:val="2"/>
          <w:sz w:val="24"/>
          <w:szCs w:val="24"/>
          <w:highlight w:val="none"/>
          <w:lang w:val="en-US" w:eastAsia="zh-CN" w:bidi="ar-SA"/>
        </w:rPr>
        <w:t>5.参与比选报价货币</w:t>
      </w:r>
      <w:bookmarkEnd w:id="166"/>
      <w:bookmarkEnd w:id="167"/>
      <w:bookmarkEnd w:id="168"/>
      <w:bookmarkEnd w:id="169"/>
      <w:bookmarkEnd w:id="170"/>
      <w:bookmarkEnd w:id="171"/>
      <w:r>
        <w:rPr>
          <w:rFonts w:hint="eastAsia" w:ascii="仿宋_GB2312" w:hAnsi="仿宋_GB2312" w:eastAsia="仿宋_GB2312" w:cs="仿宋_GB2312"/>
          <w:b/>
          <w:bCs/>
          <w:color w:val="auto"/>
          <w:kern w:val="2"/>
          <w:sz w:val="24"/>
          <w:szCs w:val="24"/>
          <w:highlight w:val="none"/>
          <w:lang w:val="en-US" w:eastAsia="zh-CN" w:bidi="ar-SA"/>
        </w:rPr>
        <w:t>（实质性要求）</w:t>
      </w:r>
    </w:p>
    <w:p w14:paraId="2F1652DF">
      <w:pPr>
        <w:spacing w:line="460" w:lineRule="exact"/>
        <w:ind w:right="240" w:firstLine="480" w:firstLineChars="200"/>
        <w:rPr>
          <w:rFonts w:ascii="仿宋_GB2312" w:hAnsi="仿宋_GB2312" w:eastAsia="仿宋_GB2312" w:cs="仿宋_GB2312"/>
          <w:color w:val="auto"/>
          <w:sz w:val="24"/>
          <w:highlight w:val="none"/>
        </w:rPr>
      </w:pPr>
      <w:bookmarkStart w:id="172" w:name="_Toc14336249"/>
      <w:bookmarkStart w:id="173" w:name="_Toc14301624"/>
      <w:bookmarkStart w:id="174" w:name="_Toc1582"/>
      <w:bookmarkStart w:id="175" w:name="_Toc11001"/>
      <w:bookmarkStart w:id="176" w:name="_Toc19337"/>
      <w:bookmarkStart w:id="177" w:name="_Toc14205"/>
      <w:r>
        <w:rPr>
          <w:rFonts w:hint="eastAsia" w:ascii="仿宋_GB2312" w:hAnsi="仿宋_GB2312" w:eastAsia="仿宋_GB2312" w:cs="仿宋_GB2312"/>
          <w:color w:val="auto"/>
          <w:sz w:val="24"/>
          <w:highlight w:val="none"/>
        </w:rPr>
        <w:t>参选机构应对比选报价进行严格的费用预算。所有参加本次比选的机构应充分计算和考虑其完成项目需要支付的各项费用，使用人民币报价；不得以低于成本的报价进行恶性竞争，最低比选报价并非中选的唯一条件。</w:t>
      </w:r>
    </w:p>
    <w:p w14:paraId="7E2EA7F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r>
        <w:rPr>
          <w:rFonts w:hint="eastAsia" w:ascii="仿宋_GB2312" w:hAnsi="仿宋_GB2312" w:eastAsia="仿宋_GB2312" w:cs="仿宋_GB2312"/>
          <w:b/>
          <w:bCs/>
          <w:color w:val="auto"/>
          <w:kern w:val="2"/>
          <w:sz w:val="24"/>
          <w:szCs w:val="24"/>
          <w:highlight w:val="none"/>
          <w:lang w:val="en-US" w:eastAsia="zh-CN" w:bidi="ar-SA"/>
        </w:rPr>
        <w:t>6.</w:t>
      </w:r>
      <w:bookmarkStart w:id="178" w:name="_Toc9395"/>
      <w:bookmarkStart w:id="179" w:name="_Toc474502529"/>
      <w:bookmarkStart w:id="180" w:name="_Toc183582218"/>
      <w:bookmarkStart w:id="181" w:name="_Toc361388565"/>
      <w:bookmarkStart w:id="182" w:name="_Toc513468993"/>
      <w:bookmarkStart w:id="183" w:name="_Toc24845"/>
      <w:bookmarkStart w:id="184" w:name="_Toc466391896"/>
      <w:bookmarkStart w:id="185" w:name="_Toc474326989"/>
      <w:bookmarkStart w:id="186" w:name="_Toc362988453"/>
      <w:bookmarkStart w:id="187" w:name="_Toc361325757"/>
      <w:bookmarkStart w:id="188" w:name="_Toc480453663"/>
      <w:bookmarkStart w:id="189" w:name="_Toc465149309"/>
      <w:bookmarkStart w:id="190" w:name="_Toc217446049"/>
      <w:bookmarkStart w:id="191" w:name="_Toc505261855"/>
      <w:bookmarkStart w:id="192" w:name="_Toc444620298"/>
      <w:bookmarkStart w:id="193" w:name="_Toc183682355"/>
      <w:r>
        <w:rPr>
          <w:rFonts w:hint="eastAsia" w:ascii="仿宋_GB2312" w:hAnsi="仿宋_GB2312" w:eastAsia="仿宋_GB2312" w:cs="仿宋_GB2312"/>
          <w:b/>
          <w:bCs/>
          <w:color w:val="auto"/>
          <w:kern w:val="2"/>
          <w:sz w:val="24"/>
          <w:szCs w:val="24"/>
          <w:highlight w:val="none"/>
          <w:lang w:val="en-US" w:eastAsia="zh-CN" w:bidi="ar-SA"/>
        </w:rPr>
        <w:t>比选申请书格式</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r>
        <w:rPr>
          <w:rFonts w:hint="eastAsia" w:ascii="仿宋_GB2312" w:hAnsi="仿宋_GB2312" w:eastAsia="仿宋_GB2312" w:cs="仿宋_GB2312"/>
          <w:b/>
          <w:bCs/>
          <w:color w:val="auto"/>
          <w:kern w:val="2"/>
          <w:sz w:val="24"/>
          <w:szCs w:val="24"/>
          <w:highlight w:val="none"/>
          <w:lang w:val="en-US" w:eastAsia="zh-CN" w:bidi="ar-SA"/>
        </w:rPr>
        <w:tab/>
      </w:r>
    </w:p>
    <w:p w14:paraId="047C2C22">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比选申请人应执行比选文件第四章的规定要求，对于没有格式要求的部分由比选申请人自行编写。</w:t>
      </w:r>
    </w:p>
    <w:p w14:paraId="1EBDF2B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194" w:name="_Toc505261857"/>
      <w:bookmarkStart w:id="195" w:name="_Toc18346"/>
      <w:bookmarkStart w:id="196" w:name="_Toc6382"/>
      <w:bookmarkStart w:id="197" w:name="_Toc17700"/>
      <w:bookmarkStart w:id="198" w:name="_Toc480453665"/>
      <w:bookmarkStart w:id="199" w:name="_Toc513468995"/>
      <w:bookmarkStart w:id="200" w:name="_Toc469403746"/>
      <w:bookmarkStart w:id="201" w:name="_Toc183682361"/>
      <w:bookmarkStart w:id="202" w:name="_Toc474502531"/>
      <w:bookmarkStart w:id="203" w:name="_Toc308164801"/>
      <w:bookmarkStart w:id="204" w:name="_Toc25148"/>
      <w:bookmarkStart w:id="205" w:name="_Toc217446051"/>
      <w:bookmarkStart w:id="206" w:name="_Toc183582224"/>
      <w:bookmarkStart w:id="207" w:name="_Toc26194"/>
      <w:bookmarkStart w:id="208" w:name="_Toc14301625"/>
      <w:bookmarkStart w:id="209" w:name="_Toc29834"/>
      <w:bookmarkStart w:id="210" w:name="_Toc474326991"/>
      <w:bookmarkStart w:id="211" w:name="_Toc14336250"/>
      <w:r>
        <w:rPr>
          <w:rFonts w:hint="eastAsia" w:ascii="仿宋_GB2312" w:hAnsi="仿宋_GB2312" w:eastAsia="仿宋_GB2312" w:cs="仿宋_GB2312"/>
          <w:b/>
          <w:bCs/>
          <w:color w:val="auto"/>
          <w:kern w:val="2"/>
          <w:sz w:val="24"/>
          <w:szCs w:val="24"/>
          <w:highlight w:val="none"/>
          <w:lang w:val="en-US" w:eastAsia="zh-CN" w:bidi="ar-SA"/>
        </w:rPr>
        <w:t>7.比选有效期</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Fonts w:hint="eastAsia" w:ascii="仿宋_GB2312" w:hAnsi="仿宋_GB2312" w:eastAsia="仿宋_GB2312" w:cs="仿宋_GB2312"/>
          <w:b/>
          <w:bCs/>
          <w:color w:val="auto"/>
          <w:kern w:val="2"/>
          <w:sz w:val="24"/>
          <w:szCs w:val="24"/>
          <w:highlight w:val="none"/>
          <w:lang w:val="en-US" w:eastAsia="zh-CN" w:bidi="ar-SA"/>
        </w:rPr>
        <w:t>（实质性要求）</w:t>
      </w:r>
    </w:p>
    <w:p w14:paraId="056AFABA">
      <w:pPr>
        <w:spacing w:line="460" w:lineRule="exact"/>
        <w:ind w:right="240"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本项目比选有效期为比选申请书递交截止时间届满后</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天。比选申请人在比选申请书中必须载明比选有效期，比选申请书中载明的比选有效期可以长于比选文件规定的期限，但不得短于比选文件规定的期限。否则，其比选申请书将作为无效处理。</w:t>
      </w:r>
    </w:p>
    <w:p w14:paraId="0C81923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12" w:name="_Toc183582227"/>
      <w:bookmarkStart w:id="213" w:name="_Toc183682364"/>
      <w:bookmarkStart w:id="214" w:name="_Toc505261860"/>
      <w:bookmarkStart w:id="215" w:name="_Toc513468998"/>
      <w:bookmarkStart w:id="216" w:name="_Toc4735"/>
      <w:bookmarkStart w:id="217" w:name="_Toc18366"/>
      <w:bookmarkStart w:id="218" w:name="_Toc480453668"/>
      <w:bookmarkStart w:id="219" w:name="_Toc14336251"/>
      <w:bookmarkStart w:id="220" w:name="_Toc11976"/>
      <w:bookmarkStart w:id="221" w:name="_Toc469403749"/>
      <w:bookmarkStart w:id="222" w:name="_Toc308164804"/>
      <w:bookmarkStart w:id="223" w:name="_Toc31719"/>
      <w:bookmarkStart w:id="224" w:name="_Toc28318"/>
      <w:bookmarkStart w:id="225" w:name="_Toc11118"/>
      <w:bookmarkStart w:id="226" w:name="_Toc14301626"/>
      <w:bookmarkStart w:id="227" w:name="_Toc474326994"/>
      <w:bookmarkStart w:id="228" w:name="_Toc474502534"/>
      <w:bookmarkStart w:id="229" w:name="_Toc217446054"/>
      <w:r>
        <w:rPr>
          <w:rFonts w:hint="eastAsia" w:ascii="仿宋_GB2312" w:hAnsi="仿宋_GB2312" w:eastAsia="仿宋_GB2312" w:cs="仿宋_GB2312"/>
          <w:b/>
          <w:bCs/>
          <w:color w:val="auto"/>
          <w:kern w:val="2"/>
          <w:sz w:val="24"/>
          <w:szCs w:val="24"/>
          <w:highlight w:val="none"/>
          <w:lang w:val="en-US" w:eastAsia="zh-CN" w:bidi="ar-SA"/>
        </w:rPr>
        <w:t>8.比选申请书的</w:t>
      </w:r>
      <w:bookmarkEnd w:id="212"/>
      <w:bookmarkEnd w:id="213"/>
      <w:r>
        <w:rPr>
          <w:rFonts w:hint="eastAsia" w:ascii="仿宋_GB2312" w:hAnsi="仿宋_GB2312" w:eastAsia="仿宋_GB2312" w:cs="仿宋_GB2312"/>
          <w:b/>
          <w:bCs/>
          <w:color w:val="auto"/>
          <w:kern w:val="2"/>
          <w:sz w:val="24"/>
          <w:szCs w:val="24"/>
          <w:highlight w:val="none"/>
          <w:lang w:val="en-US" w:eastAsia="zh-CN" w:bidi="ar-SA"/>
        </w:rPr>
        <w:t>递交</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05604A3">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应当在比选文件要求递交比选申请书的截止时间前，将比选申请书密封送达指定地点。比选人收到比选申请书后，将如实记录比选申请书的送达时间和密封情况，签收保存，任何单位和个人不得在截止时间前开启比选申请书。逾期送达或者未按照比选文件要求密封的比选申请书，比选人将拒收。</w:t>
      </w:r>
    </w:p>
    <w:p w14:paraId="4144AEF3">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30" w:name="_Toc183582228"/>
      <w:bookmarkStart w:id="231" w:name="_Toc183682365"/>
      <w:bookmarkStart w:id="232" w:name="_Toc480453669"/>
      <w:bookmarkStart w:id="233" w:name="_Toc217446055"/>
      <w:bookmarkStart w:id="234" w:name="_Toc474502535"/>
      <w:bookmarkStart w:id="235" w:name="_Toc14301627"/>
      <w:bookmarkStart w:id="236" w:name="_Toc32552"/>
      <w:bookmarkStart w:id="237" w:name="_Toc7462"/>
      <w:bookmarkStart w:id="238" w:name="_Toc3240"/>
      <w:bookmarkStart w:id="239" w:name="_Toc505261861"/>
      <w:bookmarkStart w:id="240" w:name="_Toc513468999"/>
      <w:bookmarkStart w:id="241" w:name="_Toc14336252"/>
      <w:bookmarkStart w:id="242" w:name="_Toc3621"/>
      <w:bookmarkStart w:id="243" w:name="_Toc474326995"/>
      <w:bookmarkStart w:id="244" w:name="_Toc9560"/>
      <w:bookmarkStart w:id="245" w:name="_Toc1663"/>
      <w:bookmarkStart w:id="246" w:name="_Toc469403750"/>
      <w:r>
        <w:rPr>
          <w:rFonts w:hint="eastAsia" w:ascii="仿宋_GB2312" w:hAnsi="仿宋_GB2312" w:eastAsia="仿宋_GB2312" w:cs="仿宋_GB2312"/>
          <w:b/>
          <w:bCs/>
          <w:color w:val="auto"/>
          <w:kern w:val="2"/>
          <w:sz w:val="24"/>
          <w:szCs w:val="24"/>
          <w:highlight w:val="none"/>
          <w:lang w:val="en-US" w:eastAsia="zh-CN" w:bidi="ar-SA"/>
        </w:rPr>
        <w:t>9.比选申请书的修改和撤</w:t>
      </w:r>
      <w:bookmarkEnd w:id="230"/>
      <w:bookmarkEnd w:id="231"/>
      <w:r>
        <w:rPr>
          <w:rFonts w:hint="eastAsia" w:ascii="仿宋_GB2312" w:hAnsi="仿宋_GB2312" w:eastAsia="仿宋_GB2312" w:cs="仿宋_GB2312"/>
          <w:b/>
          <w:bCs/>
          <w:color w:val="auto"/>
          <w:kern w:val="2"/>
          <w:sz w:val="24"/>
          <w:szCs w:val="24"/>
          <w:highlight w:val="none"/>
          <w:lang w:val="en-US" w:eastAsia="zh-CN" w:bidi="ar-SA"/>
        </w:rPr>
        <w:t>回</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p>
    <w:p w14:paraId="2E600C6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9.1 比选申请人在递交了比选申请书后，可以修改或撤回其比选申请书，但必须在规定的递交比选文件截止时间前，以书面形式通知比选人。</w:t>
      </w:r>
    </w:p>
    <w:p w14:paraId="5156FF3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9.2在比选申请书递交截止时间之后，比选申请人不得对其递交的比选申请书做任何修改及撤回。</w:t>
      </w:r>
    </w:p>
    <w:p w14:paraId="7EE21BD4">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47" w:name="_Toc27592"/>
      <w:bookmarkStart w:id="248" w:name="_Toc14336253"/>
      <w:bookmarkStart w:id="249" w:name="_Toc480453675"/>
      <w:bookmarkStart w:id="250" w:name="_Toc513469005"/>
      <w:bookmarkStart w:id="251" w:name="_Toc505261867"/>
      <w:bookmarkStart w:id="252" w:name="_Toc8913"/>
      <w:bookmarkStart w:id="253" w:name="_Toc474327001"/>
      <w:bookmarkStart w:id="254" w:name="_Toc469403753"/>
      <w:bookmarkStart w:id="255" w:name="_Toc14301628"/>
      <w:bookmarkStart w:id="256" w:name="_Toc474502541"/>
      <w:bookmarkStart w:id="257" w:name="_Toc10432"/>
      <w:bookmarkStart w:id="258" w:name="_Toc29745"/>
      <w:bookmarkStart w:id="259" w:name="_Toc21815"/>
      <w:bookmarkStart w:id="260" w:name="_Toc25628"/>
      <w:r>
        <w:rPr>
          <w:rFonts w:hint="eastAsia" w:ascii="仿宋_GB2312" w:hAnsi="仿宋_GB2312" w:eastAsia="仿宋_GB2312" w:cs="仿宋_GB2312"/>
          <w:b/>
          <w:bCs/>
          <w:color w:val="auto"/>
          <w:kern w:val="2"/>
          <w:sz w:val="24"/>
          <w:szCs w:val="24"/>
          <w:highlight w:val="none"/>
          <w:lang w:val="en-US" w:eastAsia="zh-CN" w:bidi="ar-SA"/>
        </w:rPr>
        <w:t>10.</w:t>
      </w:r>
      <w:bookmarkEnd w:id="247"/>
      <w:bookmarkEnd w:id="248"/>
      <w:bookmarkEnd w:id="249"/>
      <w:bookmarkEnd w:id="250"/>
      <w:bookmarkEnd w:id="251"/>
      <w:bookmarkEnd w:id="252"/>
      <w:bookmarkEnd w:id="253"/>
      <w:bookmarkEnd w:id="254"/>
      <w:bookmarkEnd w:id="255"/>
      <w:bookmarkEnd w:id="256"/>
      <w:r>
        <w:rPr>
          <w:rFonts w:hint="eastAsia" w:ascii="仿宋_GB2312" w:hAnsi="仿宋_GB2312" w:eastAsia="仿宋_GB2312" w:cs="仿宋_GB2312"/>
          <w:b/>
          <w:bCs/>
          <w:color w:val="auto"/>
          <w:kern w:val="2"/>
          <w:sz w:val="24"/>
          <w:szCs w:val="24"/>
          <w:highlight w:val="none"/>
          <w:lang w:val="en-US" w:eastAsia="zh-CN" w:bidi="ar-SA"/>
        </w:rPr>
        <w:t>中选通知书</w:t>
      </w:r>
      <w:bookmarkEnd w:id="257"/>
      <w:bookmarkEnd w:id="258"/>
      <w:bookmarkEnd w:id="259"/>
      <w:bookmarkEnd w:id="260"/>
    </w:p>
    <w:p w14:paraId="3B53D424">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比选人对确定的中选人发放中选通知书，未中选人不另发通知</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中选通知书为签订合同的依据之一，是合同的有效组成部分。</w:t>
      </w:r>
    </w:p>
    <w:p w14:paraId="3F739D3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61" w:name="_Toc217446065"/>
      <w:bookmarkStart w:id="262" w:name="_Toc16953"/>
      <w:bookmarkStart w:id="263" w:name="_Toc8200"/>
      <w:bookmarkStart w:id="264" w:name="_Toc22962"/>
      <w:bookmarkStart w:id="265" w:name="_Toc480453677"/>
      <w:bookmarkStart w:id="266" w:name="_Toc505261869"/>
      <w:bookmarkStart w:id="267" w:name="_Toc14301629"/>
      <w:bookmarkStart w:id="268" w:name="_Toc513469007"/>
      <w:bookmarkStart w:id="269" w:name="_Toc17978"/>
      <w:bookmarkStart w:id="270" w:name="_Toc474502543"/>
      <w:bookmarkStart w:id="271" w:name="_Toc14336254"/>
      <w:bookmarkStart w:id="272" w:name="_Toc32005"/>
      <w:bookmarkStart w:id="273" w:name="_Toc308164811"/>
      <w:bookmarkStart w:id="274" w:name="_Toc474327003"/>
      <w:bookmarkStart w:id="275" w:name="_Toc30793"/>
      <w:bookmarkStart w:id="276" w:name="_Toc469403755"/>
      <w:r>
        <w:rPr>
          <w:rFonts w:hint="eastAsia" w:ascii="仿宋_GB2312" w:hAnsi="仿宋_GB2312" w:eastAsia="仿宋_GB2312" w:cs="仿宋_GB2312"/>
          <w:b/>
          <w:bCs/>
          <w:color w:val="auto"/>
          <w:kern w:val="2"/>
          <w:sz w:val="24"/>
          <w:szCs w:val="24"/>
          <w:highlight w:val="none"/>
          <w:lang w:val="en-US" w:eastAsia="zh-CN" w:bidi="ar-SA"/>
        </w:rPr>
        <w:t>11.签订合同</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2F3AE2C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中选人应在中选通知书发出之日起</w:t>
      </w:r>
      <w:r>
        <w:rPr>
          <w:rFonts w:hint="eastAsia" w:ascii="仿宋_GB2312" w:hAnsi="仿宋_GB2312" w:eastAsia="仿宋_GB2312" w:cs="仿宋_GB2312"/>
          <w:color w:val="auto"/>
          <w:sz w:val="24"/>
          <w:highlight w:val="none"/>
          <w:lang w:val="en-US" w:eastAsia="zh-CN"/>
        </w:rPr>
        <w:t>30</w:t>
      </w:r>
      <w:r>
        <w:rPr>
          <w:rFonts w:hint="eastAsia" w:ascii="仿宋_GB2312" w:hAnsi="仿宋_GB2312" w:eastAsia="仿宋_GB2312" w:cs="仿宋_GB2312"/>
          <w:color w:val="auto"/>
          <w:sz w:val="24"/>
          <w:highlight w:val="none"/>
        </w:rPr>
        <w:t>日内与比选人签订合同，中选人无故不签订合同或放弃中选的，比选人可以与排在中选人之后第一位的中选候选人签订合同，以此类推。</w:t>
      </w:r>
    </w:p>
    <w:p w14:paraId="01DA137C">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77" w:name="_Toc23832"/>
      <w:bookmarkStart w:id="278" w:name="_Toc469403756"/>
      <w:bookmarkStart w:id="279" w:name="_Toc9244"/>
      <w:bookmarkStart w:id="280" w:name="_Toc14336255"/>
      <w:bookmarkStart w:id="281" w:name="_Toc474327004"/>
      <w:bookmarkStart w:id="282" w:name="_Toc28310"/>
      <w:bookmarkStart w:id="283" w:name="_Toc480453678"/>
      <w:bookmarkStart w:id="284" w:name="_Toc474502544"/>
      <w:bookmarkStart w:id="285" w:name="_Toc16727"/>
      <w:bookmarkStart w:id="286" w:name="_Toc820"/>
      <w:bookmarkStart w:id="287" w:name="_Toc513469008"/>
      <w:bookmarkStart w:id="288" w:name="_Toc18127"/>
      <w:bookmarkStart w:id="289" w:name="_Toc14301630"/>
      <w:bookmarkStart w:id="290" w:name="_Toc505261870"/>
      <w:r>
        <w:rPr>
          <w:rFonts w:hint="eastAsia" w:ascii="仿宋_GB2312" w:hAnsi="仿宋_GB2312" w:eastAsia="仿宋_GB2312" w:cs="仿宋_GB2312"/>
          <w:b/>
          <w:bCs/>
          <w:color w:val="auto"/>
          <w:kern w:val="2"/>
          <w:sz w:val="24"/>
          <w:szCs w:val="24"/>
          <w:highlight w:val="none"/>
          <w:lang w:val="en-US" w:eastAsia="zh-CN" w:bidi="ar-SA"/>
        </w:rPr>
        <w:t>12.合同分包</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r>
        <w:rPr>
          <w:rFonts w:hint="eastAsia" w:ascii="仿宋_GB2312" w:hAnsi="仿宋_GB2312" w:eastAsia="仿宋_GB2312" w:cs="仿宋_GB2312"/>
          <w:b/>
          <w:bCs/>
          <w:color w:val="auto"/>
          <w:kern w:val="2"/>
          <w:sz w:val="24"/>
          <w:szCs w:val="24"/>
          <w:highlight w:val="none"/>
          <w:lang w:val="en-US" w:eastAsia="zh-CN" w:bidi="ar-SA"/>
        </w:rPr>
        <w:t>（实质性要求）</w:t>
      </w:r>
    </w:p>
    <w:p w14:paraId="08FD6145">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本项目不允许分包。</w:t>
      </w:r>
    </w:p>
    <w:p w14:paraId="634A1347">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291" w:name="_Toc480453679"/>
      <w:bookmarkStart w:id="292" w:name="_Toc469403757"/>
      <w:bookmarkStart w:id="293" w:name="_Toc22181"/>
      <w:bookmarkStart w:id="294" w:name="_Toc474327005"/>
      <w:bookmarkStart w:id="295" w:name="_Toc474502545"/>
      <w:bookmarkStart w:id="296" w:name="_Toc10585"/>
      <w:bookmarkStart w:id="297" w:name="_Toc26320"/>
      <w:bookmarkStart w:id="298" w:name="_Toc11503"/>
      <w:bookmarkStart w:id="299" w:name="_Toc14666"/>
      <w:bookmarkStart w:id="300" w:name="_Toc505261871"/>
      <w:bookmarkStart w:id="301" w:name="_Toc10843"/>
      <w:bookmarkStart w:id="302" w:name="_Toc513469009"/>
      <w:bookmarkStart w:id="303" w:name="_Toc14336256"/>
      <w:bookmarkStart w:id="304" w:name="_Toc14301631"/>
      <w:r>
        <w:rPr>
          <w:rFonts w:hint="eastAsia" w:ascii="仿宋_GB2312" w:hAnsi="仿宋_GB2312" w:eastAsia="仿宋_GB2312" w:cs="仿宋_GB2312"/>
          <w:b/>
          <w:bCs/>
          <w:color w:val="auto"/>
          <w:kern w:val="2"/>
          <w:sz w:val="24"/>
          <w:szCs w:val="24"/>
          <w:highlight w:val="none"/>
          <w:lang w:val="en-US" w:eastAsia="zh-CN" w:bidi="ar-SA"/>
        </w:rPr>
        <w:t>13.合同转包</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r>
        <w:rPr>
          <w:rFonts w:hint="eastAsia" w:ascii="仿宋_GB2312" w:hAnsi="仿宋_GB2312" w:eastAsia="仿宋_GB2312" w:cs="仿宋_GB2312"/>
          <w:b/>
          <w:bCs/>
          <w:color w:val="auto"/>
          <w:kern w:val="2"/>
          <w:sz w:val="24"/>
          <w:szCs w:val="24"/>
          <w:highlight w:val="none"/>
          <w:lang w:val="en-US" w:eastAsia="zh-CN" w:bidi="ar-SA"/>
        </w:rPr>
        <w:t>（实质性要求）</w:t>
      </w:r>
    </w:p>
    <w:p w14:paraId="330BD5A8">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采购项目严禁中选人将任何采购合同义务进行转包。本项目所称转包，是指中选人将采购合同义务转让给第三人，并退出现有采购合同当事人双方的权利义务关系，受让人（即第三人）成为采购合同的另一方当事人的行为。</w:t>
      </w:r>
    </w:p>
    <w:p w14:paraId="1A82A75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中选人转包的，视同拒绝履行采购合同义务，将依法追究法律责任。</w:t>
      </w:r>
    </w:p>
    <w:p w14:paraId="45FBD4AF">
      <w:pPr>
        <w:keepNext/>
        <w:keepLines/>
        <w:widowControl w:val="0"/>
        <w:spacing w:before="140" w:after="140" w:line="460" w:lineRule="exact"/>
        <w:jc w:val="both"/>
        <w:outlineLvl w:val="2"/>
        <w:rPr>
          <w:rFonts w:ascii="仿宋_GB2312" w:hAnsi="仿宋_GB2312" w:eastAsia="仿宋_GB2312" w:cs="仿宋_GB2312"/>
          <w:b/>
          <w:bCs/>
          <w:color w:val="auto"/>
          <w:kern w:val="2"/>
          <w:sz w:val="24"/>
          <w:szCs w:val="24"/>
          <w:highlight w:val="none"/>
          <w:lang w:val="en-US" w:eastAsia="zh-CN" w:bidi="ar-SA"/>
        </w:rPr>
      </w:pPr>
      <w:bookmarkStart w:id="305" w:name="_Toc7747"/>
      <w:bookmarkStart w:id="306" w:name="_Toc513469010"/>
      <w:bookmarkStart w:id="307" w:name="_Toc412"/>
      <w:bookmarkStart w:id="308" w:name="_Toc474502546"/>
      <w:bookmarkStart w:id="309" w:name="_Toc2586"/>
      <w:bookmarkStart w:id="310" w:name="_Toc474327006"/>
      <w:bookmarkStart w:id="311" w:name="_Toc16676"/>
      <w:bookmarkStart w:id="312" w:name="_Toc14336257"/>
      <w:bookmarkStart w:id="313" w:name="_Toc22161"/>
      <w:bookmarkStart w:id="314" w:name="_Toc505261872"/>
      <w:bookmarkStart w:id="315" w:name="_Toc480453680"/>
      <w:bookmarkStart w:id="316" w:name="_Toc6848"/>
      <w:bookmarkStart w:id="317" w:name="_Toc14301632"/>
      <w:bookmarkStart w:id="318" w:name="_Toc469403758"/>
      <w:r>
        <w:rPr>
          <w:rFonts w:hint="eastAsia" w:ascii="仿宋_GB2312" w:hAnsi="仿宋_GB2312" w:eastAsia="仿宋_GB2312" w:cs="仿宋_GB2312"/>
          <w:b/>
          <w:bCs/>
          <w:color w:val="auto"/>
          <w:kern w:val="2"/>
          <w:sz w:val="24"/>
          <w:szCs w:val="24"/>
          <w:highlight w:val="none"/>
          <w:lang w:val="en-US" w:eastAsia="zh-CN" w:bidi="ar-SA"/>
        </w:rPr>
        <w:t>14.补充合同</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5511AF4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履行过程中，比选人需要追加与合同标的相同的货物或者服务的，在不改变合同其他条款的前提下，可以与中选人协商签订补充合同，且采购服务的名称、履约方式、验收标准等必须与原采购合同一致，价格不高于原合同。</w:t>
      </w:r>
    </w:p>
    <w:p w14:paraId="5A1CC1B3">
      <w:pPr>
        <w:rPr>
          <w:rFonts w:ascii="仿宋_GB2312" w:hAnsi="仿宋_GB2312" w:eastAsia="仿宋_GB2312" w:cs="仿宋_GB2312"/>
          <w:b/>
          <w:bCs/>
          <w:color w:val="auto"/>
          <w:sz w:val="32"/>
          <w:szCs w:val="32"/>
          <w:highlight w:val="none"/>
        </w:rPr>
      </w:pPr>
      <w:bookmarkStart w:id="319" w:name="_Toc21644"/>
      <w:bookmarkStart w:id="320" w:name="_Toc3622"/>
      <w:bookmarkStart w:id="321" w:name="_Toc12575"/>
      <w:bookmarkStart w:id="322" w:name="_Toc24237"/>
      <w:bookmarkStart w:id="323" w:name="_Toc19085"/>
      <w:bookmarkStart w:id="324" w:name="_Toc31275"/>
      <w:bookmarkStart w:id="325" w:name="_Toc17862"/>
      <w:bookmarkStart w:id="326" w:name="_Toc7013"/>
      <w:bookmarkStart w:id="327" w:name="_Toc5478"/>
      <w:bookmarkStart w:id="328" w:name="_Toc21638"/>
      <w:bookmarkStart w:id="329" w:name="_Toc16770"/>
      <w:r>
        <w:rPr>
          <w:rFonts w:hint="eastAsia" w:ascii="仿宋_GB2312" w:hAnsi="仿宋_GB2312" w:eastAsia="仿宋_GB2312" w:cs="仿宋_GB2312"/>
          <w:b/>
          <w:bCs/>
          <w:color w:val="auto"/>
          <w:sz w:val="32"/>
          <w:szCs w:val="32"/>
          <w:highlight w:val="none"/>
        </w:rPr>
        <w:br w:type="page"/>
      </w:r>
    </w:p>
    <w:p w14:paraId="67613A11">
      <w:pPr>
        <w:spacing w:line="460" w:lineRule="exact"/>
        <w:ind w:firstLine="643"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32"/>
          <w:szCs w:val="32"/>
          <w:highlight w:val="none"/>
        </w:rPr>
        <w:t>第三章 比选申请人的资格要求证明材料</w:t>
      </w:r>
      <w:bookmarkEnd w:id="319"/>
      <w:bookmarkEnd w:id="320"/>
      <w:bookmarkEnd w:id="321"/>
      <w:bookmarkEnd w:id="322"/>
      <w:bookmarkEnd w:id="323"/>
      <w:bookmarkEnd w:id="324"/>
      <w:bookmarkEnd w:id="325"/>
      <w:bookmarkEnd w:id="326"/>
      <w:bookmarkEnd w:id="327"/>
      <w:bookmarkEnd w:id="328"/>
      <w:bookmarkEnd w:id="329"/>
    </w:p>
    <w:p w14:paraId="6FF89940">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一、依法在中华人民共和国境内设立的律师事务所，持有合法有效律师事务所执业许可证，以及国家法律法规要求的相关从业资质；如分所或分支机构参加比选的，分所或分支机构须获得总所唯一授权；</w:t>
      </w:r>
    </w:p>
    <w:p w14:paraId="716A99DF">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color w:val="auto"/>
          <w:sz w:val="24"/>
          <w:highlight w:val="none"/>
        </w:rPr>
        <w:t>提供年检合格的律师事务所执业许可证，不具备执业许可证的组织机构，提供行政主管部门颁发的有效证书（证明文件），如法人登记证书等。</w:t>
      </w:r>
    </w:p>
    <w:p w14:paraId="32E4BC30">
      <w:pPr>
        <w:spacing w:line="460" w:lineRule="exact"/>
        <w:ind w:firstLine="482"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t>证明材料2：</w:t>
      </w:r>
      <w:r>
        <w:rPr>
          <w:rFonts w:hint="eastAsia" w:ascii="仿宋_GB2312" w:hAnsi="仿宋_GB2312" w:eastAsia="仿宋_GB2312" w:cs="仿宋_GB2312"/>
          <w:color w:val="auto"/>
          <w:sz w:val="24"/>
          <w:highlight w:val="none"/>
        </w:rPr>
        <w:t>提供总所的业务许可证复印件，可以一次授权或总体授权，同一个事务所的多家分支机构不可同时参加比选。</w:t>
      </w:r>
    </w:p>
    <w:p w14:paraId="621D5584">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二、人员要求：，</w:t>
      </w:r>
      <w:r>
        <w:rPr>
          <w:rFonts w:hint="eastAsia" w:ascii="仿宋_GB2312" w:hAnsi="仿宋_GB2312" w:eastAsia="仿宋_GB2312" w:cs="仿宋_GB2312"/>
          <w:bCs/>
          <w:color w:val="auto"/>
          <w:sz w:val="24"/>
          <w:highlight w:val="none"/>
          <w:lang w:val="en-US" w:eastAsia="zh-CN"/>
        </w:rPr>
        <w:t>能在四川省内提供本地化服务，</w:t>
      </w:r>
      <w:r>
        <w:rPr>
          <w:rFonts w:hint="eastAsia" w:ascii="仿宋_GB2312" w:hAnsi="仿宋_GB2312" w:eastAsia="仿宋_GB2312" w:cs="仿宋_GB2312"/>
          <w:bCs/>
          <w:color w:val="auto"/>
          <w:sz w:val="24"/>
          <w:highlight w:val="none"/>
        </w:rPr>
        <w:t>能够组建相对固定且不少于3人的律师团队，</w:t>
      </w:r>
      <w:r>
        <w:rPr>
          <w:rFonts w:hint="eastAsia" w:ascii="仿宋_GB2312" w:hAnsi="仿宋_GB2312" w:eastAsia="仿宋_GB2312" w:cs="仿宋_GB2312"/>
          <w:color w:val="auto"/>
          <w:sz w:val="24"/>
          <w:highlight w:val="none"/>
        </w:rPr>
        <w:t>律师应具有司法行政主管部门颁发的《律师执业证》，执业时间3年以上，合法有效且年检合格。</w:t>
      </w:r>
    </w:p>
    <w:p w14:paraId="148EDC46">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证明材料1：</w:t>
      </w:r>
      <w:r>
        <w:rPr>
          <w:rFonts w:hint="eastAsia" w:ascii="仿宋_GB2312" w:hAnsi="仿宋_GB2312" w:eastAsia="仿宋_GB2312" w:cs="仿宋_GB2312"/>
          <w:bCs/>
          <w:color w:val="auto"/>
          <w:sz w:val="24"/>
          <w:highlight w:val="none"/>
        </w:rPr>
        <w:t>提供证明文件。</w:t>
      </w:r>
    </w:p>
    <w:p w14:paraId="16A171FF">
      <w:pPr>
        <w:spacing w:line="460" w:lineRule="exact"/>
        <w:ind w:firstLine="482" w:firstLineChars="200"/>
        <w:rPr>
          <w:rFonts w:ascii="Calibri" w:hAnsi="Calibri"/>
          <w:color w:val="auto"/>
          <w:highlight w:val="none"/>
        </w:rPr>
      </w:pPr>
      <w:r>
        <w:rPr>
          <w:rFonts w:hint="eastAsia" w:ascii="仿宋_GB2312" w:hAnsi="仿宋_GB2312" w:eastAsia="仿宋_GB2312" w:cs="仿宋_GB2312"/>
          <w:b/>
          <w:color w:val="auto"/>
          <w:sz w:val="24"/>
          <w:highlight w:val="none"/>
          <w:lang w:val="en-US" w:eastAsia="zh-CN"/>
        </w:rPr>
        <w:t>证明材料2：</w:t>
      </w:r>
      <w:r>
        <w:rPr>
          <w:rFonts w:hint="eastAsia" w:ascii="仿宋_GB2312" w:hAnsi="仿宋_GB2312" w:eastAsia="仿宋_GB2312" w:cs="仿宋_GB2312"/>
          <w:b w:val="0"/>
          <w:bCs/>
          <w:color w:val="auto"/>
          <w:sz w:val="24"/>
          <w:highlight w:val="none"/>
        </w:rPr>
        <w:t>提供</w:t>
      </w:r>
      <w:r>
        <w:rPr>
          <w:rFonts w:hint="eastAsia" w:ascii="仿宋_GB2312" w:hAnsi="仿宋_GB2312" w:eastAsia="仿宋_GB2312" w:cs="仿宋_GB2312"/>
          <w:bCs/>
          <w:color w:val="auto"/>
          <w:sz w:val="24"/>
          <w:highlight w:val="none"/>
        </w:rPr>
        <w:t>法律顾问团队的具体情况，包含团队负责人及主要成员的基本信息等。</w:t>
      </w:r>
    </w:p>
    <w:p w14:paraId="057A2932">
      <w:pPr>
        <w:spacing w:line="460" w:lineRule="exact"/>
        <w:ind w:firstLine="480"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Cs/>
          <w:color w:val="auto"/>
          <w:sz w:val="24"/>
          <w:highlight w:val="none"/>
        </w:rPr>
        <w:t>三、信誉要求：</w:t>
      </w:r>
      <w:r>
        <w:rPr>
          <w:rFonts w:hint="eastAsia" w:ascii="仿宋_GB2312" w:hAnsi="仿宋_GB2312" w:eastAsia="仿宋_GB2312" w:cs="仿宋_GB2312"/>
          <w:color w:val="auto"/>
          <w:sz w:val="24"/>
          <w:highlight w:val="none"/>
        </w:rPr>
        <w:t>信誉良好，比选申请人及其执业律师最近3年内未受到司法行政部门的</w:t>
      </w:r>
      <w:r>
        <w:rPr>
          <w:rFonts w:hint="eastAsia" w:ascii="仿宋_GB2312" w:hAnsi="仿宋_GB2312" w:eastAsia="仿宋_GB2312" w:cs="仿宋_GB2312"/>
          <w:color w:val="auto"/>
          <w:sz w:val="24"/>
          <w:highlight w:val="none"/>
          <w:lang w:eastAsia="zh-CN"/>
        </w:rPr>
        <w:t>行政处罚</w:t>
      </w:r>
      <w:r>
        <w:rPr>
          <w:rFonts w:hint="eastAsia" w:ascii="仿宋_GB2312" w:hAnsi="仿宋_GB2312" w:eastAsia="仿宋_GB2312" w:cs="仿宋_GB2312"/>
          <w:color w:val="auto"/>
          <w:sz w:val="24"/>
          <w:highlight w:val="none"/>
        </w:rPr>
        <w:t>和律师协会的行业处分，最近3年内提供的法律服务未因重大执业质量等问题受到省国资委的通报</w:t>
      </w:r>
      <w:r>
        <w:rPr>
          <w:rFonts w:hint="eastAsia" w:ascii="仿宋_GB2312" w:hAnsi="仿宋_GB2312" w:eastAsia="仿宋_GB2312" w:cs="仿宋_GB2312"/>
          <w:bCs/>
          <w:color w:val="auto"/>
          <w:sz w:val="24"/>
          <w:highlight w:val="none"/>
        </w:rPr>
        <w:t>；</w:t>
      </w:r>
    </w:p>
    <w:p w14:paraId="61A13B4C">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bCs/>
          <w:color w:val="auto"/>
          <w:sz w:val="24"/>
          <w:highlight w:val="none"/>
        </w:rPr>
        <w:t>相关网站查询截图。</w:t>
      </w:r>
    </w:p>
    <w:p w14:paraId="26ECBB8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bCs/>
          <w:color w:val="auto"/>
          <w:sz w:val="24"/>
          <w:highlight w:val="none"/>
        </w:rPr>
        <w:t>四、财务要求：</w:t>
      </w:r>
      <w:r>
        <w:rPr>
          <w:rFonts w:hint="eastAsia" w:ascii="仿宋_GB2312" w:hAnsi="仿宋_GB2312" w:eastAsia="仿宋_GB2312" w:cs="仿宋_GB2312"/>
          <w:color w:val="auto"/>
          <w:sz w:val="24"/>
          <w:highlight w:val="none"/>
        </w:rPr>
        <w:t>财务状况良好，近年财务报表无亏损；</w:t>
      </w:r>
    </w:p>
    <w:p w14:paraId="529E3878">
      <w:pPr>
        <w:spacing w:line="460" w:lineRule="exact"/>
        <w:ind w:firstLine="482" w:firstLineChars="200"/>
        <w:rPr>
          <w:rFonts w:ascii="仿宋_GB2312" w:hAnsi="仿宋_GB2312" w:eastAsia="仿宋_GB2312" w:cs="仿宋_GB2312"/>
          <w:bCs/>
          <w:color w:val="auto"/>
          <w:sz w:val="24"/>
          <w:highlight w:val="none"/>
        </w:rPr>
      </w:pPr>
      <w:r>
        <w:rPr>
          <w:rFonts w:hint="eastAsia" w:ascii="仿宋_GB2312" w:hAnsi="仿宋_GB2312" w:eastAsia="仿宋_GB2312" w:cs="仿宋_GB2312"/>
          <w:b/>
          <w:color w:val="auto"/>
          <w:sz w:val="24"/>
          <w:highlight w:val="none"/>
        </w:rPr>
        <w:t>证明材料：</w:t>
      </w:r>
      <w:r>
        <w:rPr>
          <w:rFonts w:hint="eastAsia" w:ascii="仿宋_GB2312" w:hAnsi="仿宋_GB2312" w:eastAsia="仿宋_GB2312" w:cs="仿宋_GB2312"/>
          <w:color w:val="auto"/>
          <w:sz w:val="24"/>
          <w:highlight w:val="none"/>
        </w:rPr>
        <w:t>提供</w:t>
      </w:r>
      <w:r>
        <w:rPr>
          <w:rFonts w:hint="eastAsia" w:ascii="仿宋_GB2312" w:hAnsi="仿宋_GB2312" w:eastAsia="仿宋_GB2312" w:cs="仿宋_GB2312"/>
          <w:color w:val="auto"/>
          <w:sz w:val="24"/>
          <w:highlight w:val="none"/>
          <w:lang w:val="en-US" w:eastAsia="zh-CN"/>
        </w:rPr>
        <w:t>2023年、2024年、2025</w:t>
      </w:r>
      <w:r>
        <w:rPr>
          <w:rFonts w:hint="eastAsia" w:ascii="仿宋_GB2312" w:hAnsi="仿宋_GB2312" w:eastAsia="仿宋_GB2312" w:cs="仿宋_GB2312"/>
          <w:color w:val="auto"/>
          <w:sz w:val="24"/>
          <w:highlight w:val="none"/>
        </w:rPr>
        <w:t>年度经审计后年度财务审计报告</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若成立不足3年的，请提供所有</w:t>
      </w:r>
      <w:r>
        <w:rPr>
          <w:rFonts w:hint="eastAsia" w:ascii="仿宋_GB2312" w:hAnsi="仿宋_GB2312" w:eastAsia="仿宋_GB2312" w:cs="仿宋_GB2312"/>
          <w:color w:val="auto"/>
          <w:sz w:val="24"/>
          <w:highlight w:val="none"/>
        </w:rPr>
        <w:t>经审计后年度财务审计报告。</w:t>
      </w:r>
    </w:p>
    <w:p w14:paraId="0F1EED91">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不得存在下列情形之一：比选日前三年内存在弄虚作假、恶意串通、营私舞弊等严重不诚信行为；比选日前两年内存在违反国家有关法律法规的行为；分别接受利益相对方委托，就同一事项提供有利益冲突的法律服务；出具虚假或重大失实的业务报告；曾违反法律服务合同约定给委托方造成重大损失；比选申请人处于被责令停业、财产被冻结、接管、破产状态。</w:t>
      </w:r>
    </w:p>
    <w:p w14:paraId="0ABFEC40">
      <w:pPr>
        <w:spacing w:line="460" w:lineRule="exact"/>
        <w:ind w:left="420" w:leftChars="200"/>
        <w:rPr>
          <w:rFonts w:ascii="仿宋_GB2312" w:hAnsi="仿宋_GB2312" w:eastAsia="仿宋_GB2312" w:cs="仿宋_GB2312"/>
          <w:color w:val="auto"/>
          <w:sz w:val="24"/>
          <w:highlight w:val="none"/>
        </w:rPr>
      </w:pPr>
      <w:r>
        <w:rPr>
          <w:rFonts w:hint="eastAsia" w:ascii="仿宋_GB2312" w:hAnsi="仿宋_GB2312" w:eastAsia="仿宋_GB2312" w:cs="仿宋_GB2312"/>
          <w:b/>
          <w:bCs/>
          <w:color w:val="auto"/>
          <w:sz w:val="24"/>
          <w:highlight w:val="none"/>
        </w:rPr>
        <w:t>证明材料：</w:t>
      </w:r>
      <w:r>
        <w:rPr>
          <w:rFonts w:hint="eastAsia" w:ascii="仿宋_GB2312" w:hAnsi="仿宋_GB2312" w:eastAsia="仿宋_GB2312" w:cs="仿宋_GB2312"/>
          <w:color w:val="auto"/>
          <w:sz w:val="24"/>
          <w:highlight w:val="none"/>
        </w:rPr>
        <w:t>提供承诺函。</w:t>
      </w:r>
    </w:p>
    <w:p w14:paraId="77A084CC">
      <w:pPr>
        <w:rPr>
          <w:rFonts w:ascii="仿宋_GB2312" w:hAnsi="仿宋_GB2312" w:eastAsia="仿宋_GB2312" w:cs="仿宋_GB2312"/>
          <w:color w:val="auto"/>
          <w:sz w:val="24"/>
          <w:highlight w:val="none"/>
        </w:rPr>
        <w:sectPr>
          <w:footerReference r:id="rId6" w:type="default"/>
          <w:pgSz w:w="11906" w:h="16838"/>
          <w:pgMar w:top="1440" w:right="1800" w:bottom="1440" w:left="1800" w:header="851" w:footer="992" w:gutter="0"/>
          <w:pgNumType w:fmt="decimal"/>
          <w:cols w:space="720" w:num="1"/>
          <w:docGrid w:type="lines" w:linePitch="312" w:charSpace="0"/>
        </w:sectPr>
      </w:pPr>
      <w:bookmarkStart w:id="330" w:name="_Toc31452"/>
      <w:bookmarkStart w:id="331" w:name="_Toc25368"/>
    </w:p>
    <w:p w14:paraId="523AFD56">
      <w:pPr>
        <w:spacing w:after="156" w:afterLines="50" w:line="460" w:lineRule="exact"/>
        <w:jc w:val="center"/>
        <w:rPr>
          <w:rFonts w:ascii="仿宋_GB2312" w:hAnsi="仿宋_GB2312" w:eastAsia="仿宋_GB2312" w:cs="仿宋_GB2312"/>
          <w:b/>
          <w:bCs/>
          <w:color w:val="auto"/>
          <w:sz w:val="32"/>
          <w:szCs w:val="32"/>
          <w:highlight w:val="none"/>
        </w:rPr>
      </w:pPr>
      <w:bookmarkStart w:id="332" w:name="_Toc2868"/>
      <w:bookmarkStart w:id="333" w:name="_Toc302"/>
      <w:bookmarkStart w:id="334" w:name="_Toc26622"/>
      <w:bookmarkStart w:id="335" w:name="_Toc9510"/>
      <w:bookmarkStart w:id="336" w:name="_Toc6072"/>
      <w:bookmarkStart w:id="337" w:name="_Toc11356"/>
      <w:bookmarkStart w:id="338" w:name="_Toc22600"/>
      <w:bookmarkStart w:id="339" w:name="_Toc2113"/>
      <w:bookmarkStart w:id="340" w:name="_Toc21489"/>
      <w:bookmarkStart w:id="341" w:name="_Toc27539"/>
      <w:r>
        <w:rPr>
          <w:rFonts w:hint="eastAsia" w:ascii="仿宋_GB2312" w:hAnsi="仿宋_GB2312" w:eastAsia="仿宋_GB2312" w:cs="仿宋_GB2312"/>
          <w:b/>
          <w:bCs/>
          <w:color w:val="auto"/>
          <w:sz w:val="32"/>
          <w:szCs w:val="32"/>
          <w:highlight w:val="none"/>
        </w:rPr>
        <w:t>第四章 比选申请书格式</w:t>
      </w:r>
      <w:bookmarkEnd w:id="330"/>
      <w:bookmarkEnd w:id="331"/>
      <w:bookmarkEnd w:id="332"/>
      <w:bookmarkEnd w:id="333"/>
      <w:bookmarkEnd w:id="334"/>
      <w:bookmarkEnd w:id="335"/>
      <w:bookmarkEnd w:id="336"/>
      <w:bookmarkEnd w:id="337"/>
      <w:bookmarkEnd w:id="338"/>
      <w:bookmarkEnd w:id="339"/>
      <w:bookmarkEnd w:id="340"/>
      <w:bookmarkEnd w:id="341"/>
    </w:p>
    <w:p w14:paraId="3515FF5A">
      <w:pPr>
        <w:spacing w:line="460" w:lineRule="exact"/>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说明：</w:t>
      </w:r>
    </w:p>
    <w:p w14:paraId="4B44E45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1</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比选申请人在制作比选申请书时可参考本章所附格式。</w:t>
      </w:r>
    </w:p>
    <w:p w14:paraId="480E1627">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比选申请书应按规定签署、盖章。</w:t>
      </w:r>
    </w:p>
    <w:p w14:paraId="6C87E8B9">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3</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本章所附格式大小只是范例，比选申请人可根据自己的实际情况进行调整。</w:t>
      </w:r>
    </w:p>
    <w:p w14:paraId="5F1FB9FF">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b/>
          <w:color w:val="auto"/>
          <w:sz w:val="24"/>
          <w:highlight w:val="none"/>
        </w:rPr>
        <w:br w:type="page"/>
      </w:r>
      <w:bookmarkStart w:id="342" w:name="_Toc22771"/>
      <w:bookmarkStart w:id="343" w:name="_Toc11259"/>
      <w:bookmarkStart w:id="344" w:name="_Toc7986"/>
      <w:bookmarkStart w:id="345" w:name="_Toc5206"/>
      <w:bookmarkStart w:id="346" w:name="_Toc24031"/>
      <w:r>
        <w:rPr>
          <w:rFonts w:hint="eastAsia" w:ascii="仿宋_GB2312" w:hAnsi="仿宋_GB2312" w:eastAsia="仿宋_GB2312" w:cs="仿宋_GB2312"/>
          <w:b/>
          <w:bCs/>
          <w:color w:val="auto"/>
          <w:sz w:val="30"/>
          <w:szCs w:val="30"/>
          <w:highlight w:val="none"/>
        </w:rPr>
        <w:t>一、比选申请书封面</w:t>
      </w:r>
      <w:bookmarkEnd w:id="342"/>
      <w:bookmarkEnd w:id="343"/>
      <w:bookmarkEnd w:id="344"/>
      <w:bookmarkEnd w:id="345"/>
      <w:bookmarkEnd w:id="346"/>
    </w:p>
    <w:p w14:paraId="11629024">
      <w:pPr>
        <w:spacing w:line="460" w:lineRule="exact"/>
        <w:jc w:val="center"/>
        <w:rPr>
          <w:rFonts w:ascii="仿宋_GB2312" w:hAnsi="仿宋_GB2312" w:eastAsia="仿宋_GB2312" w:cs="仿宋_GB2312"/>
          <w:b/>
          <w:color w:val="auto"/>
          <w:sz w:val="24"/>
          <w:highlight w:val="none"/>
        </w:rPr>
      </w:pPr>
    </w:p>
    <w:p w14:paraId="0EF79742">
      <w:pPr>
        <w:spacing w:line="460" w:lineRule="exact"/>
        <w:jc w:val="center"/>
        <w:rPr>
          <w:rFonts w:hint="default" w:ascii="仿宋_GB2312" w:hAnsi="仿宋_GB2312" w:eastAsia="仿宋_GB2312" w:cs="仿宋_GB2312"/>
          <w:b/>
          <w:color w:val="auto"/>
          <w:sz w:val="30"/>
          <w:szCs w:val="30"/>
          <w:highlight w:val="none"/>
          <w:u w:val="single"/>
          <w:lang w:val="en-US"/>
        </w:rPr>
      </w:pPr>
      <w:r>
        <w:rPr>
          <w:rFonts w:hint="eastAsia" w:ascii="仿宋_GB2312" w:hAnsi="仿宋_GB2312" w:eastAsia="仿宋_GB2312" w:cs="仿宋_GB2312"/>
          <w:b/>
          <w:color w:val="auto"/>
          <w:sz w:val="30"/>
          <w:szCs w:val="30"/>
          <w:highlight w:val="none"/>
          <w:u w:val="single"/>
          <w:lang w:val="en-US" w:eastAsia="zh-CN"/>
        </w:rPr>
        <w:t>四川省铁产石油化工有限责任公司</w:t>
      </w:r>
    </w:p>
    <w:p w14:paraId="20F8774E">
      <w:pPr>
        <w:spacing w:line="460" w:lineRule="exact"/>
        <w:jc w:val="center"/>
        <w:rPr>
          <w:rFonts w:hint="eastAsia" w:ascii="仿宋_GB2312" w:hAnsi="仿宋_GB2312" w:eastAsia="仿宋_GB2312" w:cs="仿宋_GB2312"/>
          <w:b/>
          <w:color w:val="auto"/>
          <w:sz w:val="24"/>
          <w:highlight w:val="none"/>
          <w:lang w:val="en-US" w:eastAsia="zh-CN"/>
        </w:rPr>
      </w:pPr>
      <w:r>
        <w:rPr>
          <w:rFonts w:hint="eastAsia" w:ascii="仿宋_GB2312" w:hAnsi="仿宋_GB2312" w:eastAsia="仿宋_GB2312" w:cs="仿宋_GB2312"/>
          <w:b/>
          <w:color w:val="auto"/>
          <w:sz w:val="30"/>
          <w:szCs w:val="30"/>
          <w:highlight w:val="none"/>
          <w:lang w:val="en-US" w:eastAsia="zh-CN"/>
        </w:rPr>
        <w:t>关于选聘某公司欠款案件专项法律服务机构</w:t>
      </w:r>
    </w:p>
    <w:p w14:paraId="68856E77">
      <w:pPr>
        <w:spacing w:line="460" w:lineRule="exact"/>
        <w:jc w:val="left"/>
        <w:rPr>
          <w:rFonts w:ascii="仿宋_GB2312" w:hAnsi="仿宋_GB2312" w:eastAsia="仿宋_GB2312" w:cs="仿宋_GB2312"/>
          <w:b/>
          <w:color w:val="auto"/>
          <w:sz w:val="24"/>
          <w:highlight w:val="none"/>
        </w:rPr>
      </w:pPr>
    </w:p>
    <w:p w14:paraId="491E7AAA">
      <w:pPr>
        <w:spacing w:line="460" w:lineRule="exact"/>
        <w:jc w:val="left"/>
        <w:rPr>
          <w:rFonts w:ascii="仿宋_GB2312" w:hAnsi="仿宋_GB2312" w:eastAsia="仿宋_GB2312" w:cs="仿宋_GB2312"/>
          <w:b/>
          <w:color w:val="auto"/>
          <w:sz w:val="24"/>
          <w:highlight w:val="none"/>
        </w:rPr>
      </w:pPr>
    </w:p>
    <w:p w14:paraId="183E01C6">
      <w:pPr>
        <w:pStyle w:val="2"/>
        <w:rPr>
          <w:color w:val="auto"/>
        </w:rPr>
      </w:pPr>
    </w:p>
    <w:p w14:paraId="0A0BFA3D">
      <w:pPr>
        <w:spacing w:line="460" w:lineRule="exact"/>
        <w:jc w:val="left"/>
        <w:rPr>
          <w:rFonts w:ascii="仿宋_GB2312" w:hAnsi="仿宋_GB2312" w:eastAsia="仿宋_GB2312" w:cs="仿宋_GB2312"/>
          <w:b/>
          <w:color w:val="auto"/>
          <w:sz w:val="24"/>
          <w:highlight w:val="none"/>
        </w:rPr>
      </w:pPr>
    </w:p>
    <w:p w14:paraId="081E1411">
      <w:pPr>
        <w:spacing w:line="460" w:lineRule="exact"/>
        <w:jc w:val="left"/>
        <w:rPr>
          <w:rFonts w:ascii="仿宋_GB2312" w:hAnsi="仿宋_GB2312" w:eastAsia="仿宋_GB2312" w:cs="仿宋_GB2312"/>
          <w:b/>
          <w:color w:val="auto"/>
          <w:sz w:val="24"/>
          <w:highlight w:val="none"/>
        </w:rPr>
      </w:pPr>
    </w:p>
    <w:p w14:paraId="6445B25F">
      <w:pPr>
        <w:spacing w:line="460" w:lineRule="exact"/>
        <w:jc w:val="center"/>
        <w:rPr>
          <w:rFonts w:ascii="仿宋_GB2312" w:hAnsi="仿宋_GB2312" w:eastAsia="仿宋_GB2312" w:cs="仿宋_GB2312"/>
          <w:b/>
          <w:color w:val="auto"/>
          <w:sz w:val="30"/>
          <w:szCs w:val="30"/>
          <w:highlight w:val="none"/>
        </w:rPr>
      </w:pPr>
      <w:bookmarkStart w:id="347" w:name="_Toc29810"/>
      <w:r>
        <w:rPr>
          <w:rFonts w:hint="eastAsia" w:ascii="仿宋_GB2312" w:hAnsi="仿宋_GB2312" w:eastAsia="仿宋_GB2312" w:cs="仿宋_GB2312"/>
          <w:b/>
          <w:color w:val="auto"/>
          <w:sz w:val="30"/>
          <w:szCs w:val="30"/>
          <w:highlight w:val="none"/>
        </w:rPr>
        <w:t>比选申请书</w:t>
      </w:r>
      <w:bookmarkEnd w:id="347"/>
    </w:p>
    <w:p w14:paraId="5B3951F0">
      <w:pPr>
        <w:spacing w:line="460" w:lineRule="exact"/>
        <w:rPr>
          <w:rFonts w:ascii="仿宋_GB2312" w:hAnsi="仿宋_GB2312" w:eastAsia="仿宋_GB2312" w:cs="仿宋_GB2312"/>
          <w:b/>
          <w:color w:val="auto"/>
          <w:sz w:val="30"/>
          <w:szCs w:val="30"/>
          <w:highlight w:val="none"/>
        </w:rPr>
      </w:pPr>
    </w:p>
    <w:p w14:paraId="160E64E9">
      <w:pPr>
        <w:spacing w:line="460" w:lineRule="exact"/>
        <w:rPr>
          <w:rFonts w:ascii="仿宋_GB2312" w:hAnsi="仿宋_GB2312" w:eastAsia="仿宋_GB2312" w:cs="仿宋_GB2312"/>
          <w:b/>
          <w:color w:val="auto"/>
          <w:sz w:val="30"/>
          <w:szCs w:val="30"/>
          <w:highlight w:val="none"/>
        </w:rPr>
      </w:pPr>
    </w:p>
    <w:p w14:paraId="36D9850B">
      <w:pPr>
        <w:spacing w:line="460" w:lineRule="exact"/>
        <w:jc w:val="center"/>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lang w:val="en-US" w:eastAsia="zh-CN"/>
        </w:rPr>
        <w:t>项目编号：</w:t>
      </w:r>
      <w:r>
        <w:rPr>
          <w:rFonts w:hint="eastAsia" w:ascii="方正仿宋_GB2312" w:hAnsi="方正仿宋_GB2312" w:eastAsia="方正仿宋_GB2312" w:cs="方正仿宋_GB2312"/>
          <w:b w:val="0"/>
          <w:bCs w:val="0"/>
          <w:color w:val="auto"/>
          <w:sz w:val="32"/>
          <w:szCs w:val="32"/>
          <w:highlight w:val="none"/>
          <w:lang w:val="en-US" w:eastAsia="zh-CN"/>
        </w:rPr>
        <w:t>TCSY20260301</w:t>
      </w:r>
      <w:r>
        <w:rPr>
          <w:rFonts w:hint="eastAsia" w:ascii="仿宋_GB2312" w:hAnsi="仿宋_GB2312" w:eastAsia="仿宋_GB2312" w:cs="仿宋_GB2312"/>
          <w:b/>
          <w:color w:val="auto"/>
          <w:sz w:val="30"/>
          <w:szCs w:val="30"/>
          <w:highlight w:val="none"/>
          <w:lang w:val="en-US" w:eastAsia="zh-CN"/>
        </w:rPr>
        <w:t>）</w:t>
      </w:r>
    </w:p>
    <w:p w14:paraId="32469561">
      <w:pPr>
        <w:spacing w:line="460" w:lineRule="exact"/>
        <w:rPr>
          <w:rFonts w:ascii="仿宋_GB2312" w:hAnsi="仿宋_GB2312" w:eastAsia="仿宋_GB2312" w:cs="仿宋_GB2312"/>
          <w:color w:val="auto"/>
          <w:sz w:val="30"/>
          <w:szCs w:val="30"/>
          <w:highlight w:val="none"/>
        </w:rPr>
      </w:pPr>
    </w:p>
    <w:p w14:paraId="25B4F849">
      <w:pPr>
        <w:spacing w:line="460" w:lineRule="exact"/>
        <w:rPr>
          <w:rFonts w:ascii="仿宋_GB2312" w:hAnsi="仿宋_GB2312" w:eastAsia="仿宋_GB2312" w:cs="仿宋_GB2312"/>
          <w:b/>
          <w:color w:val="auto"/>
          <w:sz w:val="30"/>
          <w:szCs w:val="30"/>
          <w:highlight w:val="none"/>
        </w:rPr>
      </w:pPr>
    </w:p>
    <w:p w14:paraId="77E1EA96">
      <w:pPr>
        <w:spacing w:line="460" w:lineRule="exact"/>
        <w:ind w:firstLine="1656" w:firstLineChars="550"/>
        <w:rPr>
          <w:rFonts w:hint="eastAsia" w:ascii="仿宋_GB2312" w:hAnsi="仿宋_GB2312" w:eastAsia="仿宋_GB2312" w:cs="仿宋_GB2312"/>
          <w:b/>
          <w:color w:val="auto"/>
          <w:sz w:val="30"/>
          <w:szCs w:val="30"/>
          <w:highlight w:val="none"/>
          <w:lang w:eastAsia="zh-CN"/>
        </w:rPr>
      </w:pPr>
      <w:r>
        <w:rPr>
          <w:rFonts w:hint="eastAsia" w:ascii="仿宋_GB2312" w:hAnsi="仿宋_GB2312" w:eastAsia="仿宋_GB2312" w:cs="仿宋_GB2312"/>
          <w:b/>
          <w:color w:val="auto"/>
          <w:sz w:val="30"/>
          <w:szCs w:val="30"/>
          <w:highlight w:val="none"/>
        </w:rPr>
        <w:t xml:space="preserve">比选申请人：    </w:t>
      </w:r>
      <w:r>
        <w:rPr>
          <w:rFonts w:hint="eastAsia" w:ascii="仿宋_GB2312" w:hAnsi="仿宋_GB2312" w:eastAsia="仿宋_GB2312" w:cs="仿宋_GB2312"/>
          <w:b/>
          <w:color w:val="auto"/>
          <w:sz w:val="30"/>
          <w:szCs w:val="30"/>
          <w:highlight w:val="none"/>
          <w:lang w:eastAsia="zh-CN"/>
        </w:rPr>
        <w:t>（</w:t>
      </w:r>
      <w:r>
        <w:rPr>
          <w:rFonts w:hint="eastAsia" w:ascii="仿宋_GB2312" w:hAnsi="仿宋_GB2312" w:eastAsia="仿宋_GB2312" w:cs="仿宋_GB2312"/>
          <w:b/>
          <w:color w:val="auto"/>
          <w:sz w:val="30"/>
          <w:szCs w:val="30"/>
          <w:highlight w:val="none"/>
        </w:rPr>
        <w:t>全称并加盖公章</w:t>
      </w:r>
      <w:r>
        <w:rPr>
          <w:rFonts w:hint="eastAsia" w:ascii="仿宋_GB2312" w:hAnsi="仿宋_GB2312" w:eastAsia="仿宋_GB2312" w:cs="仿宋_GB2312"/>
          <w:b/>
          <w:color w:val="auto"/>
          <w:sz w:val="30"/>
          <w:szCs w:val="30"/>
          <w:highlight w:val="none"/>
          <w:lang w:eastAsia="zh-CN"/>
        </w:rPr>
        <w:t>）</w:t>
      </w:r>
    </w:p>
    <w:p w14:paraId="41A5FFB9">
      <w:pPr>
        <w:pStyle w:val="2"/>
        <w:rPr>
          <w:color w:val="auto"/>
        </w:rPr>
      </w:pPr>
    </w:p>
    <w:p w14:paraId="62FC00BD">
      <w:pPr>
        <w:spacing w:line="460" w:lineRule="exact"/>
        <w:ind w:firstLine="1656" w:firstLineChars="550"/>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联系人：</w:t>
      </w:r>
    </w:p>
    <w:p w14:paraId="6E8FA8A2">
      <w:pPr>
        <w:pStyle w:val="2"/>
        <w:rPr>
          <w:color w:val="auto"/>
        </w:rPr>
      </w:pPr>
    </w:p>
    <w:p w14:paraId="3FF91DB9">
      <w:pPr>
        <w:spacing w:line="460" w:lineRule="exact"/>
        <w:ind w:firstLine="1656" w:firstLineChars="550"/>
        <w:rPr>
          <w:rFonts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联系电话：</w:t>
      </w:r>
    </w:p>
    <w:p w14:paraId="30E91B93">
      <w:pPr>
        <w:spacing w:line="460" w:lineRule="exact"/>
        <w:ind w:firstLine="1656" w:firstLineChars="550"/>
        <w:rPr>
          <w:rFonts w:ascii="仿宋_GB2312" w:hAnsi="仿宋_GB2312" w:eastAsia="仿宋_GB2312" w:cs="仿宋_GB2312"/>
          <w:b/>
          <w:color w:val="auto"/>
          <w:sz w:val="30"/>
          <w:szCs w:val="30"/>
          <w:highlight w:val="none"/>
        </w:rPr>
      </w:pPr>
    </w:p>
    <w:p w14:paraId="7787EFC1">
      <w:pPr>
        <w:spacing w:line="460" w:lineRule="exact"/>
        <w:ind w:firstLine="1656" w:firstLineChars="550"/>
        <w:rPr>
          <w:rFonts w:ascii="仿宋_GB2312" w:hAnsi="仿宋_GB2312" w:eastAsia="仿宋_GB2312" w:cs="仿宋_GB2312"/>
          <w:b/>
          <w:color w:val="auto"/>
          <w:sz w:val="30"/>
          <w:szCs w:val="30"/>
          <w:highlight w:val="none"/>
        </w:rPr>
      </w:pPr>
    </w:p>
    <w:p w14:paraId="2E8215FD">
      <w:pPr>
        <w:spacing w:line="460" w:lineRule="exact"/>
        <w:ind w:firstLine="1656" w:firstLineChars="550"/>
        <w:rPr>
          <w:rFonts w:ascii="仿宋_GB2312" w:hAnsi="仿宋_GB2312" w:eastAsia="仿宋_GB2312" w:cs="仿宋_GB2312"/>
          <w:b/>
          <w:color w:val="auto"/>
          <w:sz w:val="30"/>
          <w:szCs w:val="30"/>
          <w:highlight w:val="none"/>
        </w:rPr>
      </w:pPr>
    </w:p>
    <w:p w14:paraId="301273E9">
      <w:pPr>
        <w:spacing w:line="460" w:lineRule="exact"/>
        <w:jc w:val="center"/>
        <w:rPr>
          <w:rFonts w:ascii="仿宋_GB2312" w:hAnsi="仿宋_GB2312" w:eastAsia="仿宋_GB2312" w:cs="仿宋_GB2312"/>
          <w:b/>
          <w:color w:val="auto"/>
          <w:sz w:val="30"/>
          <w:szCs w:val="30"/>
          <w:highlight w:val="none"/>
        </w:rPr>
      </w:pPr>
      <w:bookmarkStart w:id="348" w:name="_Toc7456"/>
      <w:r>
        <w:rPr>
          <w:rFonts w:hint="eastAsia" w:ascii="仿宋_GB2312" w:hAnsi="仿宋_GB2312" w:eastAsia="仿宋_GB2312" w:cs="仿宋_GB2312"/>
          <w:b/>
          <w:color w:val="auto"/>
          <w:sz w:val="30"/>
          <w:szCs w:val="30"/>
          <w:highlight w:val="none"/>
        </w:rPr>
        <w:t>年   月   日</w:t>
      </w:r>
      <w:bookmarkEnd w:id="348"/>
    </w:p>
    <w:p w14:paraId="039DDDF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br w:type="page"/>
      </w:r>
      <w:bookmarkStart w:id="349" w:name="_Toc9662"/>
      <w:bookmarkStart w:id="350" w:name="_Toc16887"/>
      <w:bookmarkStart w:id="351" w:name="_Toc10022"/>
      <w:bookmarkStart w:id="352" w:name="_Toc4068"/>
      <w:bookmarkStart w:id="353" w:name="_Toc2677"/>
      <w:bookmarkStart w:id="354" w:name="_Toc30337"/>
      <w:bookmarkStart w:id="355" w:name="_Toc10661"/>
      <w:bookmarkStart w:id="356" w:name="_Toc12107"/>
      <w:r>
        <w:rPr>
          <w:rFonts w:hint="eastAsia" w:ascii="仿宋_GB2312" w:hAnsi="仿宋_GB2312" w:eastAsia="仿宋_GB2312" w:cs="仿宋_GB2312"/>
          <w:b/>
          <w:bCs/>
          <w:color w:val="auto"/>
          <w:kern w:val="28"/>
          <w:sz w:val="30"/>
          <w:szCs w:val="30"/>
          <w:highlight w:val="none"/>
          <w:lang w:val="en-US" w:eastAsia="zh-CN" w:bidi="ar-SA"/>
        </w:rPr>
        <w:t>二、比选申请函</w:t>
      </w:r>
      <w:bookmarkEnd w:id="349"/>
      <w:bookmarkEnd w:id="350"/>
      <w:bookmarkEnd w:id="351"/>
    </w:p>
    <w:p w14:paraId="696EA996">
      <w:pPr>
        <w:spacing w:line="460" w:lineRule="exact"/>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四川省铁产石油化工有限责任公司</w:t>
      </w:r>
    </w:p>
    <w:p w14:paraId="29291F8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我方全面研究了 “</w:t>
      </w: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的</w:t>
      </w:r>
      <w:r>
        <w:rPr>
          <w:rFonts w:hint="eastAsia" w:ascii="仿宋_GB2312" w:hAnsi="仿宋_GB2312" w:eastAsia="仿宋_GB2312" w:cs="仿宋_GB2312"/>
          <w:color w:val="auto"/>
          <w:sz w:val="24"/>
          <w:highlight w:val="none"/>
        </w:rPr>
        <w:t>比选文件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，决定参加贵单位组织的本项目比选活动。我方授权</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（姓名、职务）代表我方</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（比选申请人单位的名称）全权处理本项目比选活动的有关事宜。在此提交的比选申请文件，正本一份，副本一份。包括如下内容：</w:t>
      </w:r>
    </w:p>
    <w:p w14:paraId="0A42B7F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（一）比选申请书；负责人本人身份证复印件。如果有委托代理人的，应同时附负责人授权书、负责人身份复印件、委托代理人身份证复印件；</w:t>
      </w:r>
    </w:p>
    <w:p w14:paraId="5153FF92">
      <w:pPr>
        <w:spacing w:line="460" w:lineRule="exact"/>
        <w:ind w:firstLine="48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（二）团队构成，团队负责人及成员简介及其相关资格证书的复印件； </w:t>
      </w:r>
    </w:p>
    <w:p w14:paraId="4822E911">
      <w:pPr>
        <w:spacing w:line="460" w:lineRule="exact"/>
        <w:ind w:firstLine="48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三）服务方案；</w:t>
      </w:r>
    </w:p>
    <w:p w14:paraId="2BBDC9AB">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四</w:t>
      </w:r>
      <w:r>
        <w:rPr>
          <w:rFonts w:hint="eastAsia" w:ascii="仿宋_GB2312" w:hAnsi="仿宋_GB2312" w:eastAsia="仿宋_GB2312" w:cs="仿宋_GB2312"/>
          <w:color w:val="auto"/>
          <w:sz w:val="24"/>
          <w:highlight w:val="none"/>
        </w:rPr>
        <w:t>）比选报价；</w:t>
      </w:r>
    </w:p>
    <w:p w14:paraId="72C2FB8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）律师事务所执业许可证副本、相关资质复印件；</w:t>
      </w:r>
    </w:p>
    <w:p w14:paraId="2AB70722">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六</w:t>
      </w:r>
      <w:r>
        <w:rPr>
          <w:rFonts w:hint="eastAsia" w:ascii="仿宋_GB2312" w:hAnsi="仿宋_GB2312" w:eastAsia="仿宋_GB2312" w:cs="仿宋_GB2312"/>
          <w:color w:val="auto"/>
          <w:sz w:val="24"/>
          <w:highlight w:val="none"/>
        </w:rPr>
        <w:t>）本文件第三章提到的相关证明文件；</w:t>
      </w:r>
    </w:p>
    <w:p w14:paraId="27AA68B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七</w:t>
      </w:r>
      <w:r>
        <w:rPr>
          <w:rFonts w:hint="eastAsia" w:ascii="仿宋_GB2312" w:hAnsi="仿宋_GB2312" w:eastAsia="仿宋_GB2312" w:cs="仿宋_GB2312"/>
          <w:color w:val="auto"/>
          <w:sz w:val="24"/>
          <w:highlight w:val="none"/>
        </w:rPr>
        <w:t>）承诺函；</w:t>
      </w:r>
    </w:p>
    <w:p w14:paraId="675E479F">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八</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2023年、2024年、</w:t>
      </w:r>
      <w:r>
        <w:rPr>
          <w:rFonts w:hint="eastAsia" w:ascii="仿宋_GB2312" w:hAnsi="仿宋_GB2312" w:eastAsia="仿宋_GB2312" w:cs="仿宋_GB2312"/>
          <w:color w:val="auto"/>
          <w:sz w:val="24"/>
          <w:highlight w:val="none"/>
        </w:rPr>
        <w:t>202</w:t>
      </w:r>
      <w:r>
        <w:rPr>
          <w:rFonts w:hint="eastAsia" w:ascii="仿宋_GB2312" w:hAnsi="仿宋_GB2312" w:eastAsia="仿宋_GB2312" w:cs="仿宋_GB2312"/>
          <w:color w:val="auto"/>
          <w:sz w:val="24"/>
          <w:highlight w:val="none"/>
          <w:lang w:val="en-US" w:eastAsia="zh-CN"/>
        </w:rPr>
        <w:t>5</w:t>
      </w:r>
      <w:r>
        <w:rPr>
          <w:rFonts w:hint="eastAsia" w:ascii="仿宋_GB2312" w:hAnsi="仿宋_GB2312" w:eastAsia="仿宋_GB2312" w:cs="仿宋_GB2312"/>
          <w:color w:val="auto"/>
          <w:sz w:val="24"/>
          <w:highlight w:val="none"/>
        </w:rPr>
        <w:t>年度审计报告；</w:t>
      </w:r>
    </w:p>
    <w:p w14:paraId="0593CFC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我方</w:t>
      </w:r>
      <w:r>
        <w:rPr>
          <w:rFonts w:hint="eastAsia" w:ascii="仿宋_GB2312" w:hAnsi="仿宋_GB2312" w:eastAsia="仿宋_GB2312" w:cs="仿宋_GB2312"/>
          <w:color w:val="auto"/>
          <w:sz w:val="24"/>
          <w:highlight w:val="none"/>
          <w:lang w:eastAsia="zh-CN"/>
        </w:rPr>
        <w:t>已完全</w:t>
      </w:r>
      <w:r>
        <w:rPr>
          <w:rFonts w:hint="eastAsia" w:ascii="仿宋_GB2312" w:hAnsi="仿宋_GB2312" w:eastAsia="仿宋_GB2312" w:cs="仿宋_GB2312"/>
          <w:color w:val="auto"/>
          <w:sz w:val="24"/>
          <w:highlight w:val="none"/>
        </w:rPr>
        <w:t>明白比选文件的所有条款要求，并重申以下几点：</w:t>
      </w:r>
    </w:p>
    <w:p w14:paraId="2A00FBB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我方决定参加此次比选项目的法律服务工作并已经实施全部有关服务的比选报价及详细预算。</w:t>
      </w:r>
    </w:p>
    <w:p w14:paraId="66EF964D">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（二）我方了解并知悉比选文件第五章“项目需求及服务、团队等相关要求”所列明的内容并进行</w:t>
      </w:r>
      <w:r>
        <w:rPr>
          <w:rFonts w:hint="eastAsia" w:ascii="仿宋_GB2312" w:hAnsi="仿宋_GB2312" w:eastAsia="仿宋_GB2312" w:cs="仿宋_GB2312"/>
          <w:color w:val="auto"/>
          <w:sz w:val="24"/>
          <w:highlight w:val="none"/>
          <w:u w:val="single"/>
        </w:rPr>
        <w:t xml:space="preserve"> 完全/部分 </w:t>
      </w:r>
      <w:r>
        <w:rPr>
          <w:rFonts w:hint="eastAsia" w:ascii="仿宋_GB2312" w:hAnsi="仿宋_GB2312" w:eastAsia="仿宋_GB2312" w:cs="仿宋_GB2312"/>
          <w:color w:val="auto"/>
          <w:sz w:val="24"/>
          <w:highlight w:val="none"/>
        </w:rPr>
        <w:t>响应，其中</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项我单位无法响应（如有请列明序号）。</w:t>
      </w:r>
    </w:p>
    <w:p w14:paraId="3E2F9FB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本比选申请文件的有效期至比选截止日后</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rPr>
        <w:t>天有效，如中选，有效期将延至合同终止日止。</w:t>
      </w:r>
    </w:p>
    <w:p w14:paraId="51B3A90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四</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我方已详细研究了比选文件的所有内容包括修正文件</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和所有已提供的参考资料以及有关附件并完全明白。我方放弃在此方面提出含糊意见或误解的一切权力。</w:t>
      </w:r>
    </w:p>
    <w:p w14:paraId="35F1648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五</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我方同意按照贵方可能提出的要求而提供与比选有关的</w:t>
      </w:r>
      <w:r>
        <w:rPr>
          <w:rFonts w:hint="eastAsia" w:ascii="仿宋_GB2312" w:hAnsi="仿宋_GB2312" w:eastAsia="仿宋_GB2312" w:cs="仿宋_GB2312"/>
          <w:color w:val="auto"/>
          <w:sz w:val="24"/>
          <w:highlight w:val="none"/>
          <w:lang w:eastAsia="zh-CN"/>
        </w:rPr>
        <w:t>任何其他</w:t>
      </w:r>
      <w:r>
        <w:rPr>
          <w:rFonts w:hint="eastAsia" w:ascii="仿宋_GB2312" w:hAnsi="仿宋_GB2312" w:eastAsia="仿宋_GB2312" w:cs="仿宋_GB2312"/>
          <w:color w:val="auto"/>
          <w:sz w:val="24"/>
          <w:highlight w:val="none"/>
        </w:rPr>
        <w:t>数据或信息。</w:t>
      </w:r>
    </w:p>
    <w:p w14:paraId="7FE78353">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六</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我方理解贵方不一定接受最低比选报价或任何贵方可能收到的比选申请。</w:t>
      </w:r>
    </w:p>
    <w:p w14:paraId="1BD26490">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七</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我方如果中选，将保证履行比选文件以及比选文件修改书</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如有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中全部责任和义务，按质、按量、按期完成任务。</w:t>
      </w:r>
    </w:p>
    <w:p w14:paraId="4E1CCB5E">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八</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所有与本次比选有关的函件请发往下列地址：</w:t>
      </w:r>
    </w:p>
    <w:p w14:paraId="7BC6BFD5">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地    址：  </w:t>
      </w:r>
    </w:p>
    <w:p w14:paraId="0F12572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邮政编码：          电话：         传真：  </w:t>
      </w:r>
    </w:p>
    <w:p w14:paraId="591C863C">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7C23278A">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参选机构（律所公章）</w:t>
      </w:r>
    </w:p>
    <w:p w14:paraId="5D0B2E3A">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法定代表姓名：             </w:t>
      </w:r>
    </w:p>
    <w:p w14:paraId="2DF96CA0">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        务：</w:t>
      </w:r>
    </w:p>
    <w:p w14:paraId="738727A7">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授权代表姓名（签名或盖章）</w:t>
      </w:r>
    </w:p>
    <w:p w14:paraId="65E289C7">
      <w:pPr>
        <w:spacing w:line="460" w:lineRule="exact"/>
        <w:ind w:firstLine="3182" w:firstLineChars="1326"/>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参选机构地址：</w:t>
      </w:r>
    </w:p>
    <w:p w14:paraId="248544C4">
      <w:pPr>
        <w:spacing w:line="460" w:lineRule="exact"/>
        <w:ind w:firstLine="480"/>
        <w:jc w:val="right"/>
        <w:rPr>
          <w:rFonts w:ascii="仿宋_GB2312" w:hAnsi="仿宋_GB2312" w:eastAsia="仿宋_GB2312" w:cs="仿宋_GB2312"/>
          <w:color w:val="auto"/>
          <w:sz w:val="24"/>
          <w:highlight w:val="none"/>
        </w:rPr>
      </w:pPr>
    </w:p>
    <w:p w14:paraId="28E60825">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w:t>
      </w:r>
    </w:p>
    <w:p w14:paraId="3CAA8B95">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1C7A082">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BF86DF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15AC841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229D561">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78E73AA7">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22BAAA2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7A5326B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691B8B3C">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4FE4B97A">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p>
    <w:p w14:paraId="5093AD3E">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三、法定代表人授权书</w:t>
      </w:r>
      <w:bookmarkEnd w:id="352"/>
      <w:bookmarkEnd w:id="353"/>
      <w:bookmarkEnd w:id="354"/>
      <w:bookmarkEnd w:id="355"/>
      <w:bookmarkEnd w:id="356"/>
    </w:p>
    <w:p w14:paraId="6BCE40B1">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比选申请人根据自身情况在比选申请书中提供（1）或（2）。</w:t>
      </w:r>
    </w:p>
    <w:p w14:paraId="0D5E83D5">
      <w:pPr>
        <w:spacing w:line="460" w:lineRule="exact"/>
        <w:ind w:firstLine="480"/>
        <w:rPr>
          <w:rFonts w:ascii="仿宋_GB2312" w:hAnsi="仿宋_GB2312" w:eastAsia="仿宋_GB2312" w:cs="仿宋_GB2312"/>
          <w:color w:val="auto"/>
          <w:sz w:val="24"/>
          <w:highlight w:val="none"/>
        </w:rPr>
      </w:pPr>
    </w:p>
    <w:p w14:paraId="4344FB97">
      <w:pPr>
        <w:spacing w:line="460" w:lineRule="exact"/>
        <w:ind w:firstLine="602"/>
        <w:jc w:val="center"/>
        <w:rPr>
          <w:rFonts w:ascii="仿宋_GB2312" w:hAnsi="仿宋_GB2312" w:eastAsia="仿宋_GB2312" w:cs="仿宋_GB2312"/>
          <w:b/>
          <w:color w:val="auto"/>
          <w:sz w:val="24"/>
          <w:highlight w:val="none"/>
        </w:rPr>
      </w:pPr>
      <w:bookmarkStart w:id="357" w:name="_Toc24911"/>
      <w:r>
        <w:rPr>
          <w:rFonts w:hint="eastAsia" w:ascii="仿宋_GB2312" w:hAnsi="仿宋_GB2312" w:eastAsia="仿宋_GB2312" w:cs="仿宋_GB2312"/>
          <w:b/>
          <w:color w:val="auto"/>
          <w:sz w:val="24"/>
          <w:highlight w:val="none"/>
        </w:rPr>
        <w:t>（1）法定代表人证明</w:t>
      </w:r>
      <w:bookmarkEnd w:id="357"/>
    </w:p>
    <w:p w14:paraId="5E053A08">
      <w:pPr>
        <w:spacing w:line="460" w:lineRule="exact"/>
        <w:ind w:firstLine="48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（仅在法定代表人参加比选时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715A570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律师事务所名称：</w:t>
      </w:r>
      <w:r>
        <w:rPr>
          <w:rFonts w:hint="eastAsia" w:ascii="仿宋_GB2312" w:hAnsi="仿宋_GB2312" w:eastAsia="仿宋_GB2312" w:cs="仿宋_GB2312"/>
          <w:color w:val="auto"/>
          <w:sz w:val="24"/>
          <w:highlight w:val="none"/>
          <w:u w:val="single"/>
        </w:rPr>
        <w:t xml:space="preserve">                                      </w:t>
      </w:r>
    </w:p>
    <w:p w14:paraId="5DC838D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7D7341D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地址：</w:t>
      </w:r>
      <w:r>
        <w:rPr>
          <w:rFonts w:hint="eastAsia" w:ascii="仿宋_GB2312" w:hAnsi="仿宋_GB2312" w:eastAsia="仿宋_GB2312" w:cs="仿宋_GB2312"/>
          <w:color w:val="auto"/>
          <w:sz w:val="24"/>
          <w:highlight w:val="none"/>
          <w:u w:val="single"/>
        </w:rPr>
        <w:t xml:space="preserve">                                              </w:t>
      </w:r>
    </w:p>
    <w:p w14:paraId="6F999036">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成立时间：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77C02FC7">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经营期限：</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 xml:space="preserve"> </w:t>
      </w:r>
    </w:p>
    <w:p w14:paraId="162188B9">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性别：</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年龄：</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职务：</w:t>
      </w:r>
      <w:r>
        <w:rPr>
          <w:rFonts w:hint="eastAsia" w:ascii="仿宋_GB2312" w:hAnsi="仿宋_GB2312" w:eastAsia="仿宋_GB2312" w:cs="仿宋_GB2312"/>
          <w:color w:val="auto"/>
          <w:sz w:val="24"/>
          <w:highlight w:val="none"/>
          <w:u w:val="single"/>
        </w:rPr>
        <w:t xml:space="preserve">       </w:t>
      </w:r>
    </w:p>
    <w:p w14:paraId="64936523">
      <w:pPr>
        <w:spacing w:line="460" w:lineRule="exact"/>
        <w:ind w:firstLine="48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身份证号码：</w:t>
      </w:r>
      <w:r>
        <w:rPr>
          <w:rFonts w:hint="eastAsia" w:ascii="仿宋_GB2312" w:hAnsi="仿宋_GB2312" w:eastAsia="仿宋_GB2312" w:cs="仿宋_GB2312"/>
          <w:color w:val="auto"/>
          <w:sz w:val="24"/>
          <w:highlight w:val="none"/>
          <w:u w:val="single"/>
        </w:rPr>
        <w:t xml:space="preserve">                   </w:t>
      </w:r>
    </w:p>
    <w:p w14:paraId="257277F8">
      <w:pPr>
        <w:spacing w:line="460" w:lineRule="exact"/>
        <w:ind w:firstLine="48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（比选申请人）的法定代表人。</w:t>
      </w:r>
    </w:p>
    <w:p w14:paraId="785AF229">
      <w:pPr>
        <w:spacing w:line="460" w:lineRule="exact"/>
        <w:ind w:firstLine="960" w:firstLineChars="4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特此证明。</w:t>
      </w:r>
    </w:p>
    <w:p w14:paraId="77228C17">
      <w:pPr>
        <w:spacing w:line="460" w:lineRule="exact"/>
        <w:rPr>
          <w:rFonts w:ascii="仿宋_GB2312" w:hAnsi="仿宋_GB2312" w:eastAsia="仿宋_GB2312" w:cs="仿宋_GB2312"/>
          <w:color w:val="auto"/>
          <w:sz w:val="24"/>
          <w:highlight w:val="none"/>
        </w:rPr>
      </w:pPr>
    </w:p>
    <w:p w14:paraId="090771F0">
      <w:pPr>
        <w:wordWrap w:val="0"/>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（盖单位公章）</w:t>
      </w:r>
    </w:p>
    <w:p w14:paraId="04906174">
      <w:pPr>
        <w:spacing w:line="460" w:lineRule="exact"/>
        <w:ind w:firstLine="5160" w:firstLineChars="2150"/>
        <w:rPr>
          <w:rFonts w:ascii="仿宋_GB2312" w:hAnsi="仿宋_GB2312" w:eastAsia="仿宋_GB2312" w:cs="仿宋_GB2312"/>
          <w:color w:val="auto"/>
          <w:sz w:val="24"/>
          <w:highlight w:val="none"/>
          <w:u w:val="single"/>
        </w:rPr>
      </w:pPr>
    </w:p>
    <w:p w14:paraId="1B9D1616">
      <w:pPr>
        <w:spacing w:line="460" w:lineRule="exact"/>
        <w:ind w:firstLine="4200" w:firstLineChars="175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年</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月</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日</w:t>
      </w:r>
    </w:p>
    <w:p w14:paraId="3314618B">
      <w:pPr>
        <w:tabs>
          <w:tab w:val="left" w:pos="8280"/>
        </w:tabs>
        <w:spacing w:line="460" w:lineRule="exact"/>
        <w:ind w:firstLine="48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附法定代表人身份证复印件。</w:t>
      </w:r>
    </w:p>
    <w:p w14:paraId="28BBA85C">
      <w:pPr>
        <w:spacing w:line="460" w:lineRule="exact"/>
        <w:rPr>
          <w:rFonts w:ascii="仿宋_GB2312" w:hAnsi="仿宋_GB2312" w:eastAsia="仿宋_GB2312" w:cs="仿宋_GB2312"/>
          <w:b/>
          <w:color w:val="auto"/>
          <w:sz w:val="24"/>
          <w:highlight w:val="none"/>
        </w:rPr>
      </w:pPr>
    </w:p>
    <w:p w14:paraId="50C51AF6">
      <w:pPr>
        <w:spacing w:line="460" w:lineRule="exact"/>
        <w:rPr>
          <w:rFonts w:ascii="仿宋_GB2312" w:hAnsi="仿宋_GB2312" w:eastAsia="仿宋_GB2312" w:cs="仿宋_GB2312"/>
          <w:b/>
          <w:color w:val="auto"/>
          <w:sz w:val="24"/>
          <w:highlight w:val="none"/>
        </w:rPr>
      </w:pPr>
    </w:p>
    <w:p w14:paraId="201041CD">
      <w:pPr>
        <w:spacing w:line="460" w:lineRule="exact"/>
        <w:rPr>
          <w:rFonts w:ascii="仿宋_GB2312" w:hAnsi="仿宋_GB2312" w:eastAsia="仿宋_GB2312" w:cs="仿宋_GB2312"/>
          <w:b/>
          <w:color w:val="auto"/>
          <w:sz w:val="24"/>
          <w:highlight w:val="none"/>
        </w:rPr>
      </w:pPr>
    </w:p>
    <w:p w14:paraId="47350A8E">
      <w:pPr>
        <w:spacing w:line="460" w:lineRule="exact"/>
        <w:rPr>
          <w:rFonts w:ascii="仿宋_GB2312" w:hAnsi="仿宋_GB2312" w:eastAsia="仿宋_GB2312" w:cs="仿宋_GB2312"/>
          <w:b/>
          <w:color w:val="auto"/>
          <w:sz w:val="24"/>
          <w:highlight w:val="none"/>
        </w:rPr>
      </w:pPr>
    </w:p>
    <w:p w14:paraId="06E4D819">
      <w:pPr>
        <w:spacing w:line="460" w:lineRule="exact"/>
        <w:rPr>
          <w:rFonts w:ascii="仿宋_GB2312" w:hAnsi="仿宋_GB2312" w:eastAsia="仿宋_GB2312" w:cs="仿宋_GB2312"/>
          <w:b/>
          <w:color w:val="auto"/>
          <w:sz w:val="24"/>
          <w:highlight w:val="none"/>
        </w:rPr>
      </w:pPr>
    </w:p>
    <w:p w14:paraId="14E6A9B9">
      <w:pPr>
        <w:spacing w:line="460" w:lineRule="exact"/>
        <w:rPr>
          <w:rFonts w:ascii="仿宋_GB2312" w:hAnsi="仿宋_GB2312" w:eastAsia="仿宋_GB2312" w:cs="仿宋_GB2312"/>
          <w:b/>
          <w:color w:val="auto"/>
          <w:sz w:val="24"/>
          <w:highlight w:val="none"/>
        </w:rPr>
      </w:pPr>
    </w:p>
    <w:p w14:paraId="7A26AB1F">
      <w:pPr>
        <w:spacing w:line="460" w:lineRule="exact"/>
        <w:rPr>
          <w:rFonts w:ascii="仿宋_GB2312" w:hAnsi="仿宋_GB2312" w:eastAsia="仿宋_GB2312" w:cs="仿宋_GB2312"/>
          <w:b/>
          <w:color w:val="auto"/>
          <w:sz w:val="24"/>
          <w:highlight w:val="none"/>
        </w:rPr>
      </w:pPr>
    </w:p>
    <w:p w14:paraId="7EE3BC73">
      <w:pPr>
        <w:spacing w:line="460" w:lineRule="exact"/>
        <w:rPr>
          <w:rFonts w:ascii="仿宋_GB2312" w:hAnsi="仿宋_GB2312" w:eastAsia="仿宋_GB2312" w:cs="仿宋_GB2312"/>
          <w:b/>
          <w:color w:val="auto"/>
          <w:sz w:val="24"/>
          <w:highlight w:val="none"/>
        </w:rPr>
      </w:pPr>
    </w:p>
    <w:p w14:paraId="4712493D">
      <w:pPr>
        <w:spacing w:line="460" w:lineRule="exact"/>
        <w:rPr>
          <w:rFonts w:ascii="仿宋_GB2312" w:hAnsi="仿宋_GB2312" w:eastAsia="仿宋_GB2312" w:cs="仿宋_GB2312"/>
          <w:b/>
          <w:color w:val="auto"/>
          <w:sz w:val="24"/>
          <w:highlight w:val="none"/>
        </w:rPr>
      </w:pPr>
    </w:p>
    <w:p w14:paraId="09E68FA5">
      <w:pPr>
        <w:spacing w:line="460" w:lineRule="exact"/>
        <w:rPr>
          <w:rFonts w:ascii="仿宋_GB2312" w:hAnsi="仿宋_GB2312" w:eastAsia="仿宋_GB2312" w:cs="仿宋_GB2312"/>
          <w:b/>
          <w:color w:val="auto"/>
          <w:sz w:val="24"/>
          <w:highlight w:val="none"/>
        </w:rPr>
      </w:pPr>
    </w:p>
    <w:p w14:paraId="5345CB09">
      <w:pPr>
        <w:spacing w:line="460" w:lineRule="exact"/>
        <w:rPr>
          <w:rFonts w:ascii="仿宋_GB2312" w:hAnsi="仿宋_GB2312" w:eastAsia="仿宋_GB2312" w:cs="仿宋_GB2312"/>
          <w:b/>
          <w:color w:val="auto"/>
          <w:sz w:val="24"/>
          <w:highlight w:val="none"/>
        </w:rPr>
      </w:pPr>
    </w:p>
    <w:p w14:paraId="1B7C46A2">
      <w:pPr>
        <w:spacing w:line="460" w:lineRule="exact"/>
        <w:jc w:val="center"/>
        <w:rPr>
          <w:rFonts w:ascii="仿宋_GB2312" w:hAnsi="仿宋_GB2312" w:eastAsia="仿宋_GB2312" w:cs="仿宋_GB2312"/>
          <w:b/>
          <w:color w:val="auto"/>
          <w:sz w:val="24"/>
          <w:highlight w:val="none"/>
        </w:rPr>
      </w:pPr>
      <w:bookmarkStart w:id="358" w:name="_Toc10373"/>
      <w:r>
        <w:rPr>
          <w:rFonts w:hint="eastAsia" w:ascii="仿宋_GB2312" w:hAnsi="仿宋_GB2312" w:eastAsia="仿宋_GB2312" w:cs="仿宋_GB2312"/>
          <w:b/>
          <w:color w:val="auto"/>
          <w:sz w:val="24"/>
          <w:highlight w:val="none"/>
        </w:rPr>
        <w:t>（2）法定代表人委托书</w:t>
      </w:r>
      <w:bookmarkEnd w:id="358"/>
    </w:p>
    <w:p w14:paraId="7DDF9054">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（委托代理人参加比选时</w:t>
      </w:r>
      <w:r>
        <w:rPr>
          <w:rFonts w:hint="eastAsia" w:ascii="仿宋_GB2312" w:hAnsi="仿宋_GB2312" w:eastAsia="仿宋_GB2312" w:cs="仿宋_GB2312"/>
          <w:color w:val="auto"/>
          <w:sz w:val="24"/>
          <w:highlight w:val="none"/>
          <w:lang w:eastAsia="zh-CN"/>
        </w:rPr>
        <w:t>需</w:t>
      </w:r>
      <w:r>
        <w:rPr>
          <w:rFonts w:hint="eastAsia" w:ascii="仿宋_GB2312" w:hAnsi="仿宋_GB2312" w:eastAsia="仿宋_GB2312" w:cs="仿宋_GB2312"/>
          <w:color w:val="auto"/>
          <w:sz w:val="24"/>
          <w:highlight w:val="none"/>
        </w:rPr>
        <w:t>出示此证明）</w:t>
      </w:r>
    </w:p>
    <w:p w14:paraId="0A6A4521">
      <w:pPr>
        <w:spacing w:line="460" w:lineRule="exact"/>
        <w:jc w:val="center"/>
        <w:rPr>
          <w:rFonts w:ascii="仿宋_GB2312" w:hAnsi="仿宋_GB2312" w:eastAsia="仿宋_GB2312" w:cs="仿宋_GB2312"/>
          <w:b/>
          <w:color w:val="auto"/>
          <w:sz w:val="24"/>
          <w:highlight w:val="none"/>
        </w:rPr>
      </w:pPr>
    </w:p>
    <w:p w14:paraId="0EA15D0C">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本授权委托书声明：我</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系</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的法定代表人，现授权</w:t>
      </w:r>
      <w:r>
        <w:rPr>
          <w:rFonts w:hint="eastAsia" w:ascii="仿宋_GB2312" w:hAnsi="仿宋_GB2312" w:eastAsia="仿宋_GB2312" w:cs="仿宋_GB2312"/>
          <w:color w:val="auto"/>
          <w:sz w:val="24"/>
          <w:highlight w:val="none"/>
          <w:u w:val="single"/>
        </w:rPr>
        <w:t xml:space="preserve">         （身份证号：                 ）</w:t>
      </w:r>
      <w:r>
        <w:rPr>
          <w:rFonts w:hint="eastAsia" w:ascii="仿宋_GB2312" w:hAnsi="仿宋_GB2312" w:eastAsia="仿宋_GB2312" w:cs="仿宋_GB2312"/>
          <w:color w:val="auto"/>
          <w:sz w:val="24"/>
          <w:highlight w:val="none"/>
        </w:rPr>
        <w:t>为我公司</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委托代理人，以本所</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机构</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的名义参加“</w:t>
      </w:r>
      <w:r>
        <w:rPr>
          <w:rFonts w:hint="eastAsia" w:ascii="仿宋_GB2312" w:hAnsi="仿宋_GB2312" w:eastAsia="仿宋_GB2312" w:cs="仿宋_GB2312"/>
          <w:color w:val="auto"/>
          <w:sz w:val="24"/>
          <w:highlight w:val="none"/>
          <w:lang w:val="en-US" w:eastAsia="zh-CN"/>
        </w:rPr>
        <w:t>四川省铁产石油化工有限责任公司某公司欠款案件</w:t>
      </w:r>
      <w:r>
        <w:rPr>
          <w:rFonts w:hint="eastAsia" w:ascii="仿宋_GB2312" w:hAnsi="仿宋_GB2312" w:eastAsia="仿宋_GB2312" w:cs="仿宋_GB2312"/>
          <w:color w:val="auto"/>
          <w:sz w:val="24"/>
          <w:highlight w:val="none"/>
          <w:u w:val="none"/>
          <w:lang w:val="en-US" w:eastAsia="zh-CN"/>
        </w:rPr>
        <w:t>公开</w:t>
      </w:r>
      <w:r>
        <w:rPr>
          <w:rFonts w:hint="eastAsia" w:ascii="仿宋_GB2312" w:hAnsi="仿宋_GB2312" w:eastAsia="仿宋_GB2312" w:cs="仿宋_GB2312"/>
          <w:color w:val="auto"/>
          <w:sz w:val="24"/>
          <w:highlight w:val="none"/>
        </w:rPr>
        <w:t>选聘项目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”比选活动。委托代理人在比选过程中所签署的一切文件和处理与之有关的一切事务，我及我所均予以承认并全部承担其产生的所有权利和义务。</w:t>
      </w:r>
    </w:p>
    <w:p w14:paraId="7D3F3405">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委托代理人无转委托权。特此委托。</w:t>
      </w:r>
    </w:p>
    <w:p w14:paraId="3CFA67C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委托权限：特别授权</w:t>
      </w:r>
    </w:p>
    <w:p w14:paraId="54CB8560">
      <w:pPr>
        <w:spacing w:line="460" w:lineRule="exact"/>
        <w:rPr>
          <w:rFonts w:ascii="仿宋_GB2312" w:hAnsi="仿宋_GB2312" w:eastAsia="仿宋_GB2312" w:cs="仿宋_GB2312"/>
          <w:color w:val="auto"/>
          <w:sz w:val="24"/>
          <w:highlight w:val="none"/>
        </w:rPr>
      </w:pPr>
    </w:p>
    <w:p w14:paraId="0B1E02C9">
      <w:pPr>
        <w:spacing w:line="460" w:lineRule="exact"/>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法定代表人（签字）：</w:t>
      </w:r>
      <w:r>
        <w:rPr>
          <w:rFonts w:hint="eastAsia" w:ascii="仿宋_GB2312" w:hAnsi="仿宋_GB2312" w:eastAsia="仿宋_GB2312" w:cs="仿宋_GB2312"/>
          <w:color w:val="auto"/>
          <w:sz w:val="24"/>
          <w:highlight w:val="none"/>
          <w:u w:val="single"/>
        </w:rPr>
        <w:t xml:space="preserve">                </w:t>
      </w:r>
    </w:p>
    <w:p w14:paraId="2B0DD1BD">
      <w:pPr>
        <w:spacing w:line="460" w:lineRule="exact"/>
        <w:jc w:val="center"/>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 xml:space="preserve">  被授权人（签字）：</w:t>
      </w:r>
      <w:r>
        <w:rPr>
          <w:rFonts w:hint="eastAsia" w:ascii="仿宋_GB2312" w:hAnsi="仿宋_GB2312" w:eastAsia="仿宋_GB2312" w:cs="仿宋_GB2312"/>
          <w:color w:val="auto"/>
          <w:sz w:val="24"/>
          <w:highlight w:val="none"/>
          <w:u w:val="single"/>
        </w:rPr>
        <w:t xml:space="preserve">                </w:t>
      </w:r>
    </w:p>
    <w:p w14:paraId="7998E3CB">
      <w:pPr>
        <w:spacing w:line="460" w:lineRule="exact"/>
        <w:rPr>
          <w:rFonts w:ascii="仿宋_GB2312" w:hAnsi="仿宋_GB2312" w:eastAsia="仿宋_GB2312" w:cs="仿宋_GB2312"/>
          <w:color w:val="auto"/>
          <w:sz w:val="24"/>
          <w:highlight w:val="none"/>
        </w:rPr>
      </w:pPr>
    </w:p>
    <w:p w14:paraId="0ABD1893">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后附法定代表人和被授权人的身份证复印件。</w:t>
      </w:r>
    </w:p>
    <w:p w14:paraId="49E7E7AA">
      <w:pPr>
        <w:spacing w:line="460" w:lineRule="exact"/>
        <w:rPr>
          <w:rFonts w:ascii="仿宋_GB2312" w:hAnsi="仿宋_GB2312" w:eastAsia="仿宋_GB2312" w:cs="仿宋_GB2312"/>
          <w:color w:val="auto"/>
          <w:sz w:val="24"/>
          <w:highlight w:val="none"/>
        </w:rPr>
      </w:pPr>
    </w:p>
    <w:p w14:paraId="672B96C6">
      <w:pPr>
        <w:spacing w:line="460" w:lineRule="exact"/>
        <w:ind w:firstLine="3720" w:firstLineChars="1550"/>
        <w:rPr>
          <w:rFonts w:ascii="仿宋_GB2312" w:hAnsi="仿宋_GB2312" w:eastAsia="仿宋_GB2312" w:cs="仿宋_GB2312"/>
          <w:color w:val="auto"/>
          <w:sz w:val="24"/>
          <w:highlight w:val="none"/>
          <w:u w:val="singl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p>
    <w:p w14:paraId="47B1437C">
      <w:pPr>
        <w:spacing w:line="460" w:lineRule="exact"/>
        <w:ind w:firstLine="3120" w:firstLineChars="13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   年   月    日</w:t>
      </w:r>
    </w:p>
    <w:p w14:paraId="5EB07EAB">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59" w:name="_Toc14006"/>
      <w:bookmarkStart w:id="360" w:name="_Toc21876"/>
      <w:bookmarkStart w:id="361" w:name="_Toc15612"/>
      <w:bookmarkStart w:id="362" w:name="_Toc6335"/>
      <w:bookmarkStart w:id="363" w:name="_Toc9094"/>
      <w:r>
        <w:rPr>
          <w:rFonts w:hint="eastAsia" w:ascii="仿宋_GB2312" w:hAnsi="仿宋_GB2312" w:eastAsia="仿宋_GB2312" w:cs="仿宋_GB2312"/>
          <w:b/>
          <w:bCs/>
          <w:color w:val="auto"/>
          <w:kern w:val="28"/>
          <w:sz w:val="30"/>
          <w:szCs w:val="30"/>
          <w:highlight w:val="none"/>
          <w:lang w:val="en-US" w:eastAsia="zh-CN" w:bidi="ar-SA"/>
        </w:rPr>
        <w:t>四、比选申请人的资格要求证明材料承诺</w:t>
      </w:r>
      <w:bookmarkEnd w:id="359"/>
      <w:bookmarkEnd w:id="360"/>
      <w:bookmarkEnd w:id="361"/>
      <w:bookmarkEnd w:id="362"/>
      <w:bookmarkEnd w:id="363"/>
      <w:r>
        <w:rPr>
          <w:rFonts w:hint="eastAsia" w:ascii="仿宋_GB2312" w:hAnsi="仿宋_GB2312" w:eastAsia="仿宋_GB2312" w:cs="仿宋_GB2312"/>
          <w:b/>
          <w:bCs/>
          <w:color w:val="auto"/>
          <w:kern w:val="28"/>
          <w:sz w:val="30"/>
          <w:szCs w:val="30"/>
          <w:highlight w:val="none"/>
          <w:lang w:val="en-US" w:eastAsia="zh-CN" w:bidi="ar-SA"/>
        </w:rPr>
        <w:t>函</w:t>
      </w:r>
    </w:p>
    <w:p w14:paraId="608C0BAC">
      <w:pPr>
        <w:spacing w:line="460" w:lineRule="exact"/>
        <w:rPr>
          <w:rFonts w:hint="eastAsia" w:ascii="仿宋_GB2312" w:hAnsi="仿宋_GB2312" w:eastAsia="仿宋_GB2312" w:cs="仿宋_GB2312"/>
          <w:b/>
          <w:color w:val="auto"/>
          <w:sz w:val="24"/>
          <w:highlight w:val="none"/>
          <w:lang w:eastAsia="zh-CN"/>
        </w:rPr>
      </w:pPr>
      <w:r>
        <w:rPr>
          <w:rFonts w:hint="eastAsia" w:ascii="仿宋_GB2312" w:hAnsi="仿宋_GB2312" w:eastAsia="仿宋_GB2312" w:cs="仿宋_GB2312"/>
          <w:color w:val="auto"/>
          <w:sz w:val="24"/>
          <w:highlight w:val="none"/>
        </w:rPr>
        <w:t>致：</w:t>
      </w:r>
      <w:r>
        <w:rPr>
          <w:rFonts w:hint="eastAsia" w:ascii="仿宋_GB2312" w:hAnsi="仿宋_GB2312" w:eastAsia="仿宋_GB2312" w:cs="仿宋_GB2312"/>
          <w:color w:val="auto"/>
          <w:sz w:val="24"/>
          <w:highlight w:val="none"/>
          <w:lang w:val="en-US" w:eastAsia="zh-CN"/>
        </w:rPr>
        <w:t>四川省铁产石油化工有限责任公司</w:t>
      </w:r>
    </w:p>
    <w:p w14:paraId="32DABC6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本单位自愿参加</w:t>
      </w:r>
      <w:r>
        <w:rPr>
          <w:rFonts w:hint="eastAsia" w:ascii="仿宋_GB2312" w:hAnsi="仿宋_GB2312" w:eastAsia="仿宋_GB2312" w:cs="仿宋_GB2312"/>
          <w:color w:val="auto"/>
          <w:sz w:val="24"/>
          <w:highlight w:val="none"/>
          <w:lang w:val="en-US" w:eastAsia="zh-CN"/>
        </w:rPr>
        <w:t>四川省铁产石油化工有限责任公司关于选聘某公司欠款案件专项法律服务机构的公开比选</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项目编号：TCSY20260301）</w:t>
      </w:r>
      <w:r>
        <w:rPr>
          <w:rFonts w:hint="eastAsia" w:ascii="仿宋_GB2312" w:hAnsi="仿宋_GB2312" w:eastAsia="仿宋_GB2312" w:cs="仿宋_GB2312"/>
          <w:color w:val="auto"/>
          <w:sz w:val="24"/>
          <w:highlight w:val="none"/>
        </w:rPr>
        <w:t>，并保证选聘文件中所列举报价文件及相关资料和公司基本情况资料是真实的、有效的、合法的。如经查实下列承诺的内容事项及材料存在虚假，我单位愿意接受以提供虚假材料谋取中选追究法律责任。本律所承诺如下：</w:t>
      </w:r>
    </w:p>
    <w:p w14:paraId="0BA733B8">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1.同意比选文件中的有关规定，并按照贵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要求</w:t>
      </w:r>
      <w:r>
        <w:rPr>
          <w:rFonts w:hint="eastAsia" w:ascii="仿宋_GB2312" w:hAnsi="仿宋_GB2312" w:eastAsia="仿宋_GB2312" w:cs="仿宋_GB2312"/>
          <w:color w:val="auto"/>
          <w:sz w:val="24"/>
          <w:highlight w:val="none"/>
          <w:lang w:val="en-US" w:eastAsia="zh-CN"/>
        </w:rPr>
        <w:t>提供</w:t>
      </w:r>
      <w:r>
        <w:rPr>
          <w:rFonts w:hint="eastAsia" w:ascii="仿宋_GB2312" w:hAnsi="仿宋_GB2312" w:eastAsia="仿宋_GB2312" w:cs="仿宋_GB2312"/>
          <w:color w:val="auto"/>
          <w:sz w:val="24"/>
          <w:highlight w:val="none"/>
        </w:rPr>
        <w:t>与比选有关的数据、情况和资料等。</w:t>
      </w:r>
    </w:p>
    <w:p w14:paraId="27CFEB0B">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本单位比选日前三年内不存在骗取成交或严重违规、违约问题；比选日前两年内不存在违反国家有关法律法规的行为；未接受利益相对方委托，就同一事项提供有利益冲突的法律服务；未出具虚假或重大失实的业务报告；未曾违反法律服务合同约定给委托方造成重大损失；未处于被责令停业、财产被冻结、接管、破产状态。</w:t>
      </w:r>
    </w:p>
    <w:p w14:paraId="56CF40A1">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3.本单位如中选，保证按照比选文件的承诺与贵</w:t>
      </w:r>
      <w:r>
        <w:rPr>
          <w:rFonts w:hint="eastAsia" w:ascii="仿宋_GB2312" w:hAnsi="仿宋_GB2312" w:eastAsia="仿宋_GB2312" w:cs="仿宋_GB2312"/>
          <w:color w:val="auto"/>
          <w:sz w:val="24"/>
          <w:highlight w:val="none"/>
          <w:lang w:val="en-US" w:eastAsia="zh-CN"/>
        </w:rPr>
        <w:t>司</w:t>
      </w:r>
      <w:r>
        <w:rPr>
          <w:rFonts w:hint="eastAsia" w:ascii="仿宋_GB2312" w:hAnsi="仿宋_GB2312" w:eastAsia="仿宋_GB2312" w:cs="仿宋_GB2312"/>
          <w:color w:val="auto"/>
          <w:sz w:val="24"/>
          <w:highlight w:val="none"/>
        </w:rPr>
        <w:t>签订服务合同。</w:t>
      </w:r>
    </w:p>
    <w:p w14:paraId="4A86C588">
      <w:pPr>
        <w:spacing w:line="460" w:lineRule="exact"/>
        <w:ind w:firstLine="480" w:firstLineChars="200"/>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rPr>
        <w:t>4.无论本</w:t>
      </w:r>
      <w:r>
        <w:rPr>
          <w:rFonts w:hint="eastAsia" w:ascii="仿宋_GB2312" w:hAnsi="仿宋_GB2312" w:eastAsia="仿宋_GB2312" w:cs="仿宋_GB2312"/>
          <w:color w:val="auto"/>
          <w:sz w:val="24"/>
          <w:highlight w:val="none"/>
          <w:lang w:val="en-US" w:eastAsia="zh-CN"/>
        </w:rPr>
        <w:t>次选聘</w:t>
      </w:r>
      <w:r>
        <w:rPr>
          <w:rFonts w:hint="eastAsia" w:ascii="仿宋_GB2312" w:hAnsi="仿宋_GB2312" w:eastAsia="仿宋_GB2312" w:cs="仿宋_GB2312"/>
          <w:color w:val="auto"/>
          <w:sz w:val="24"/>
          <w:highlight w:val="none"/>
        </w:rPr>
        <w:t>中选或者落选，</w:t>
      </w:r>
      <w:r>
        <w:rPr>
          <w:rFonts w:hint="eastAsia" w:ascii="仿宋_GB2312" w:hAnsi="仿宋_GB2312" w:eastAsia="仿宋_GB2312" w:cs="仿宋_GB2312"/>
          <w:color w:val="auto"/>
          <w:sz w:val="24"/>
          <w:highlight w:val="none"/>
          <w:lang w:val="en-US" w:eastAsia="zh-CN"/>
        </w:rPr>
        <w:t>贵司发送至本单位邮箱：</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中的</w:t>
      </w:r>
      <w:r>
        <w:rPr>
          <w:rFonts w:hint="eastAsia" w:ascii="仿宋_GB2312" w:hAnsi="仿宋_GB2312" w:eastAsia="仿宋_GB2312" w:cs="仿宋_GB2312"/>
          <w:color w:val="auto"/>
          <w:sz w:val="24"/>
          <w:highlight w:val="none"/>
        </w:rPr>
        <w:t>贵司与</w:t>
      </w:r>
      <w:r>
        <w:rPr>
          <w:rFonts w:hint="eastAsia" w:ascii="仿宋_GB2312" w:hAnsi="仿宋_GB2312" w:eastAsia="仿宋_GB2312" w:cs="仿宋_GB2312"/>
          <w:color w:val="auto"/>
          <w:sz w:val="24"/>
          <w:highlight w:val="none"/>
          <w:lang w:val="en-US" w:eastAsia="zh-CN"/>
        </w:rPr>
        <w:t>某公司</w:t>
      </w:r>
      <w:r>
        <w:rPr>
          <w:rFonts w:hint="eastAsia" w:ascii="仿宋_GB2312" w:hAnsi="仿宋_GB2312" w:eastAsia="仿宋_GB2312" w:cs="仿宋_GB2312"/>
          <w:color w:val="auto"/>
          <w:sz w:val="24"/>
          <w:highlight w:val="none"/>
        </w:rPr>
        <w:t>所有涉案材料，将秉承诚实信用原则，充分保护贵公司利益，承诺严格对涉案材料进行保密，未经贵司</w:t>
      </w:r>
      <w:r>
        <w:rPr>
          <w:rFonts w:hint="eastAsia" w:ascii="仿宋_GB2312" w:hAnsi="仿宋_GB2312" w:eastAsia="仿宋_GB2312" w:cs="仿宋_GB2312"/>
          <w:color w:val="auto"/>
          <w:sz w:val="24"/>
          <w:highlight w:val="none"/>
          <w:lang w:val="en-US" w:eastAsia="zh-CN"/>
        </w:rPr>
        <w:t>书面</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不向第三人以任何形式泄露，并采取一切必要、合理的措施进行保密。由于我所原因泄露涉案材料致使贵司合法权益受到侵害，我所愿意赔偿贵司因此所造成的所有损失，贵司有权对我所的违约追究其法律责任。</w:t>
      </w:r>
    </w:p>
    <w:p w14:paraId="26F946AE">
      <w:pPr>
        <w:spacing w:line="460" w:lineRule="exact"/>
        <w:ind w:firstLine="480" w:firstLineChars="200"/>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5.本单位参与本次比选申请，保证不存在以下情形：提供虚假材料谋取中选；采取不正当手段诋毁、排挤其他</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w:t>
      </w:r>
      <w:r>
        <w:rPr>
          <w:rFonts w:hint="eastAsia" w:ascii="仿宋_GB2312" w:hAnsi="仿宋_GB2312" w:eastAsia="仿宋_GB2312" w:cs="仿宋_GB2312"/>
          <w:color w:val="auto"/>
          <w:sz w:val="24"/>
          <w:highlight w:val="none"/>
          <w:lang w:eastAsia="zh-CN"/>
        </w:rPr>
        <w:t>与其他</w:t>
      </w:r>
      <w:r>
        <w:rPr>
          <w:rFonts w:hint="eastAsia" w:ascii="仿宋_GB2312" w:hAnsi="仿宋_GB2312" w:eastAsia="仿宋_GB2312" w:cs="仿宋_GB2312"/>
          <w:color w:val="auto"/>
          <w:sz w:val="24"/>
          <w:highlight w:val="none"/>
          <w:lang w:val="en-US" w:eastAsia="zh-CN"/>
        </w:rPr>
        <w:t>比选</w:t>
      </w:r>
      <w:r>
        <w:rPr>
          <w:rFonts w:hint="eastAsia" w:ascii="仿宋_GB2312" w:hAnsi="仿宋_GB2312" w:eastAsia="仿宋_GB2312" w:cs="仿宋_GB2312"/>
          <w:color w:val="auto"/>
          <w:sz w:val="24"/>
          <w:highlight w:val="none"/>
        </w:rPr>
        <w:t>申请人恶意串通；向选聘人行贿或者提供其他不正当利益；拒绝有关部门监督检查或提供虚假情况；有其他违规行为。</w:t>
      </w:r>
    </w:p>
    <w:p w14:paraId="4D9E473A">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比选申请人：</w:t>
      </w:r>
      <w:r>
        <w:rPr>
          <w:rFonts w:hint="eastAsia" w:ascii="仿宋_GB2312" w:hAnsi="仿宋_GB2312" w:eastAsia="仿宋_GB2312" w:cs="仿宋_GB2312"/>
          <w:color w:val="auto"/>
          <w:sz w:val="24"/>
          <w:highlight w:val="none"/>
          <w:u w:val="single"/>
        </w:rPr>
        <w:t xml:space="preserve">                 </w:t>
      </w:r>
      <w:r>
        <w:rPr>
          <w:rFonts w:hint="eastAsia" w:ascii="仿宋_GB2312" w:hAnsi="仿宋_GB2312" w:eastAsia="仿宋_GB2312" w:cs="仿宋_GB2312"/>
          <w:color w:val="auto"/>
          <w:sz w:val="24"/>
          <w:highlight w:val="none"/>
        </w:rPr>
        <w:t>（单位公章）</w:t>
      </w:r>
    </w:p>
    <w:p w14:paraId="2C552D00">
      <w:pPr>
        <w:spacing w:line="460" w:lineRule="exact"/>
        <w:ind w:firstLine="480" w:firstLineChars="200"/>
        <w:jc w:val="center"/>
        <w:rPr>
          <w:rFonts w:ascii="仿宋_GB2312" w:hAnsi="仿宋_GB2312" w:eastAsia="仿宋_GB2312" w:cs="仿宋_GB2312"/>
          <w:color w:val="auto"/>
          <w:sz w:val="24"/>
          <w:highlight w:val="none"/>
        </w:rPr>
      </w:pPr>
      <w:bookmarkStart w:id="364" w:name="_Toc12441"/>
      <w:r>
        <w:rPr>
          <w:rFonts w:hint="eastAsia" w:ascii="仿宋_GB2312" w:hAnsi="仿宋_GB2312" w:eastAsia="仿宋_GB2312" w:cs="仿宋_GB2312"/>
          <w:color w:val="auto"/>
          <w:sz w:val="24"/>
          <w:highlight w:val="none"/>
        </w:rPr>
        <w:t>法定代表人或授权代表（签字或加盖个人名章）：</w:t>
      </w:r>
      <w:bookmarkEnd w:id="364"/>
      <w:r>
        <w:rPr>
          <w:rFonts w:hint="eastAsia" w:ascii="仿宋_GB2312" w:hAnsi="仿宋_GB2312" w:eastAsia="仿宋_GB2312" w:cs="仿宋_GB2312"/>
          <w:color w:val="auto"/>
          <w:sz w:val="24"/>
          <w:highlight w:val="none"/>
          <w:u w:val="single"/>
        </w:rPr>
        <w:t xml:space="preserve">        </w:t>
      </w:r>
    </w:p>
    <w:p w14:paraId="2F510BAE">
      <w:pPr>
        <w:keepNext/>
        <w:keepLines/>
        <w:widowControl w:val="0"/>
        <w:spacing w:before="340" w:after="330" w:line="460" w:lineRule="exact"/>
        <w:jc w:val="right"/>
        <w:outlineLvl w:val="0"/>
        <w:rPr>
          <w:rFonts w:ascii="仿宋_GB2312" w:hAnsi="仿宋_GB2312" w:eastAsia="仿宋_GB2312" w:cs="仿宋_GB2312"/>
          <w:b w:val="0"/>
          <w:bCs w:val="0"/>
          <w:color w:val="auto"/>
          <w:kern w:val="2"/>
          <w:sz w:val="24"/>
          <w:szCs w:val="24"/>
          <w:highlight w:val="none"/>
          <w:lang w:val="en-US" w:eastAsia="zh-CN" w:bidi="ar-SA"/>
        </w:rPr>
      </w:pPr>
      <w:r>
        <w:rPr>
          <w:rFonts w:hint="eastAsia" w:ascii="仿宋_GB2312" w:hAnsi="仿宋_GB2312" w:eastAsia="仿宋_GB2312" w:cs="仿宋_GB2312"/>
          <w:b w:val="0"/>
          <w:bCs w:val="0"/>
          <w:color w:val="auto"/>
          <w:kern w:val="2"/>
          <w:sz w:val="24"/>
          <w:szCs w:val="24"/>
          <w:highlight w:val="none"/>
          <w:lang w:val="en-US" w:eastAsia="zh-CN" w:bidi="ar-SA"/>
        </w:rPr>
        <w:t>日    期：   年   月   日</w:t>
      </w:r>
    </w:p>
    <w:p w14:paraId="3908A105">
      <w:pPr>
        <w:keepNext/>
        <w:keepLines/>
        <w:widowControl w:val="0"/>
        <w:spacing w:before="340" w:after="330" w:line="460" w:lineRule="exact"/>
        <w:jc w:val="left"/>
        <w:outlineLvl w:val="0"/>
        <w:rPr>
          <w:rFonts w:ascii="仿宋_GB2312" w:hAnsi="仿宋_GB2312" w:eastAsia="仿宋_GB2312" w:cs="仿宋_GB2312"/>
          <w:b/>
          <w:bCs/>
          <w:color w:val="auto"/>
          <w:kern w:val="44"/>
          <w:sz w:val="24"/>
          <w:szCs w:val="24"/>
          <w:highlight w:val="none"/>
          <w:lang w:val="en-US" w:eastAsia="zh-CN" w:bidi="ar-SA"/>
        </w:rPr>
      </w:pPr>
      <w:r>
        <w:rPr>
          <w:rFonts w:hint="eastAsia" w:ascii="仿宋_GB2312" w:hAnsi="仿宋_GB2312" w:eastAsia="仿宋_GB2312" w:cs="仿宋_GB2312"/>
          <w:b/>
          <w:bCs/>
          <w:color w:val="auto"/>
          <w:kern w:val="44"/>
          <w:sz w:val="24"/>
          <w:szCs w:val="24"/>
          <w:highlight w:val="none"/>
          <w:lang w:val="en-US" w:eastAsia="zh-CN" w:bidi="ar-SA"/>
        </w:rPr>
        <w:br w:type="page"/>
      </w:r>
      <w:r>
        <w:rPr>
          <w:rFonts w:hint="eastAsia" w:ascii="仿宋_GB2312" w:hAnsi="仿宋_GB2312" w:eastAsia="仿宋_GB2312" w:cs="仿宋_GB2312"/>
          <w:b/>
          <w:bCs/>
          <w:color w:val="auto"/>
          <w:kern w:val="28"/>
          <w:sz w:val="30"/>
          <w:szCs w:val="30"/>
          <w:highlight w:val="none"/>
          <w:lang w:val="en-US" w:eastAsia="zh-CN" w:bidi="ar-SA"/>
        </w:rPr>
        <w:t>五、比选报价表格式</w:t>
      </w:r>
    </w:p>
    <w:p w14:paraId="34CA30CC">
      <w:pPr>
        <w:spacing w:line="460" w:lineRule="exact"/>
        <w:jc w:val="center"/>
        <w:rPr>
          <w:rFonts w:ascii="仿宋_GB2312" w:hAnsi="仿宋_GB2312" w:eastAsia="仿宋_GB2312" w:cs="仿宋_GB2312"/>
          <w:b/>
          <w:color w:val="auto"/>
          <w:sz w:val="24"/>
          <w:highlight w:val="none"/>
        </w:rPr>
      </w:pPr>
      <w:r>
        <w:rPr>
          <w:rFonts w:hint="eastAsia" w:ascii="仿宋_GB2312" w:hAnsi="仿宋_GB2312" w:eastAsia="仿宋_GB2312" w:cs="仿宋_GB2312"/>
          <w:b/>
          <w:color w:val="auto"/>
          <w:sz w:val="24"/>
          <w:highlight w:val="none"/>
        </w:rPr>
        <w:t>比选报价表</w:t>
      </w:r>
    </w:p>
    <w:p w14:paraId="63249CB5">
      <w:pPr>
        <w:spacing w:before="312" w:beforeLines="100" w:line="460" w:lineRule="exact"/>
        <w:rPr>
          <w:rFonts w:ascii="仿宋_GB2312" w:hAnsi="仿宋_GB2312" w:eastAsia="仿宋_GB2312" w:cs="仿宋_GB2312"/>
          <w:color w:val="auto"/>
          <w:sz w:val="24"/>
          <w:highlight w:val="none"/>
        </w:rPr>
      </w:pPr>
    </w:p>
    <w:tbl>
      <w:tblPr>
        <w:tblStyle w:val="7"/>
        <w:tblW w:w="8443"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3"/>
      </w:tblGrid>
      <w:tr w14:paraId="241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8443" w:type="dxa"/>
          </w:tcPr>
          <w:p w14:paraId="397FAE8A">
            <w:pPr>
              <w:spacing w:before="312" w:beforeLines="100" w:line="460" w:lineRule="exact"/>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风险代理费（单位：元）</w:t>
            </w:r>
          </w:p>
        </w:tc>
      </w:tr>
      <w:tr w14:paraId="6358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443" w:type="dxa"/>
            <w:vAlign w:val="center"/>
          </w:tcPr>
          <w:p w14:paraId="2D6BE366">
            <w:pPr>
              <w:spacing w:before="312" w:beforeLines="100" w:line="460" w:lineRule="exact"/>
              <w:jc w:val="center"/>
              <w:rPr>
                <w:rFonts w:ascii="仿宋_GB2312" w:hAnsi="仿宋_GB2312" w:eastAsia="仿宋_GB2312" w:cs="仿宋_GB2312"/>
                <w:color w:val="auto"/>
                <w:sz w:val="24"/>
                <w:highlight w:val="none"/>
              </w:rPr>
            </w:pPr>
          </w:p>
        </w:tc>
      </w:tr>
    </w:tbl>
    <w:p w14:paraId="16E5CEF6">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p>
    <w:p w14:paraId="5D282532">
      <w:pPr>
        <w:widowControl/>
        <w:spacing w:line="460" w:lineRule="exact"/>
        <w:jc w:val="left"/>
        <w:rPr>
          <w:rFonts w:ascii="仿宋_GB2312" w:hAnsi="仿宋_GB2312" w:eastAsia="仿宋_GB2312" w:cs="仿宋_GB2312"/>
          <w:color w:val="auto"/>
          <w:sz w:val="24"/>
          <w:highlight w:val="none"/>
        </w:rPr>
      </w:pPr>
    </w:p>
    <w:p w14:paraId="6EA5E5EF">
      <w:pPr>
        <w:widowControl/>
        <w:spacing w:line="460" w:lineRule="exact"/>
        <w:jc w:val="left"/>
        <w:rPr>
          <w:rFonts w:ascii="仿宋_GB2312" w:hAnsi="仿宋_GB2312" w:eastAsia="仿宋_GB2312" w:cs="仿宋_GB2312"/>
          <w:color w:val="auto"/>
          <w:sz w:val="24"/>
          <w:highlight w:val="none"/>
        </w:rPr>
      </w:pPr>
    </w:p>
    <w:p w14:paraId="7F093091">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bookmarkStart w:id="365" w:name="_Toc19269"/>
      <w:r>
        <w:rPr>
          <w:rFonts w:hint="eastAsia" w:ascii="仿宋_GB2312" w:hAnsi="仿宋_GB2312" w:eastAsia="仿宋_GB2312" w:cs="仿宋_GB2312"/>
          <w:color w:val="auto"/>
          <w:sz w:val="24"/>
          <w:highlight w:val="none"/>
        </w:rPr>
        <w:t xml:space="preserve">  </w:t>
      </w:r>
      <w:r>
        <w:rPr>
          <w:rFonts w:hint="eastAsia" w:ascii="仿宋_GB2312" w:hAnsi="仿宋_GB2312" w:eastAsia="仿宋_GB2312" w:cs="仿宋_GB2312"/>
          <w:color w:val="auto"/>
          <w:sz w:val="24"/>
          <w:highlight w:val="none"/>
          <w:lang w:val="en-US" w:eastAsia="zh-CN"/>
        </w:rPr>
        <w:t xml:space="preserve"> </w:t>
      </w:r>
      <w:r>
        <w:rPr>
          <w:rFonts w:hint="eastAsia" w:ascii="仿宋_GB2312" w:hAnsi="仿宋_GB2312" w:eastAsia="仿宋_GB2312" w:cs="仿宋_GB2312"/>
          <w:color w:val="auto"/>
          <w:sz w:val="24"/>
          <w:highlight w:val="none"/>
        </w:rPr>
        <w:t>比选申请人（单位公章）：</w:t>
      </w:r>
      <w:bookmarkEnd w:id="365"/>
      <w:r>
        <w:rPr>
          <w:rFonts w:hint="eastAsia" w:ascii="仿宋_GB2312" w:hAnsi="仿宋_GB2312" w:eastAsia="仿宋_GB2312" w:cs="仿宋_GB2312"/>
          <w:color w:val="auto"/>
          <w:sz w:val="24"/>
          <w:highlight w:val="none"/>
        </w:rPr>
        <w:t xml:space="preserve"> </w:t>
      </w:r>
    </w:p>
    <w:p w14:paraId="6B518F0D">
      <w:pPr>
        <w:spacing w:line="460" w:lineRule="exact"/>
        <w:ind w:firstLine="480" w:firstLineChars="200"/>
        <w:jc w:val="center"/>
        <w:rPr>
          <w:rFonts w:ascii="仿宋_GB2312" w:hAnsi="仿宋_GB2312" w:eastAsia="仿宋_GB2312" w:cs="仿宋_GB2312"/>
          <w:color w:val="auto"/>
          <w:sz w:val="24"/>
          <w:highlight w:val="none"/>
        </w:rPr>
      </w:pPr>
      <w:bookmarkStart w:id="366" w:name="_Toc2864"/>
      <w:r>
        <w:rPr>
          <w:rFonts w:hint="eastAsia" w:ascii="仿宋_GB2312" w:hAnsi="仿宋_GB2312" w:eastAsia="仿宋_GB2312" w:cs="仿宋_GB2312"/>
          <w:color w:val="auto"/>
          <w:sz w:val="24"/>
          <w:highlight w:val="none"/>
        </w:rPr>
        <w:t xml:space="preserve">                         法定代表人/授权代表（签字或盖章）：</w:t>
      </w:r>
      <w:bookmarkEnd w:id="366"/>
      <w:bookmarkStart w:id="367" w:name="_Toc26537"/>
    </w:p>
    <w:p w14:paraId="2E057DEB">
      <w:pPr>
        <w:spacing w:line="460" w:lineRule="exact"/>
        <w:ind w:firstLine="3840" w:firstLineChars="1600"/>
        <w:jc w:val="both"/>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日 期：</w:t>
      </w:r>
      <w:bookmarkEnd w:id="367"/>
      <w:r>
        <w:rPr>
          <w:rFonts w:hint="eastAsia" w:ascii="仿宋_GB2312" w:hAnsi="仿宋_GB2312" w:eastAsia="仿宋_GB2312" w:cs="仿宋_GB2312"/>
          <w:color w:val="auto"/>
          <w:sz w:val="24"/>
          <w:highlight w:val="none"/>
        </w:rPr>
        <w:t xml:space="preserve"> </w:t>
      </w:r>
    </w:p>
    <w:p w14:paraId="45C74F48">
      <w:pPr>
        <w:widowControl/>
        <w:spacing w:line="460" w:lineRule="exact"/>
        <w:jc w:val="left"/>
        <w:rPr>
          <w:rFonts w:ascii="仿宋_GB2312" w:hAnsi="仿宋_GB2312" w:eastAsia="仿宋_GB2312" w:cs="仿宋_GB2312"/>
          <w:color w:val="auto"/>
          <w:sz w:val="24"/>
          <w:highlight w:val="none"/>
        </w:rPr>
      </w:pPr>
    </w:p>
    <w:p w14:paraId="72CDF9D8">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24"/>
          <w:szCs w:val="24"/>
          <w:highlight w:val="none"/>
          <w:lang w:val="en-US" w:eastAsia="zh-CN" w:bidi="ar-SA"/>
        </w:rPr>
        <w:br w:type="page"/>
      </w:r>
      <w:bookmarkStart w:id="368" w:name="_Toc8182"/>
      <w:bookmarkStart w:id="369" w:name="_Toc24016"/>
      <w:bookmarkStart w:id="370" w:name="_Toc5495"/>
      <w:bookmarkStart w:id="371" w:name="_Toc15800"/>
      <w:bookmarkStart w:id="372" w:name="_Toc25342"/>
      <w:r>
        <w:rPr>
          <w:rFonts w:hint="eastAsia" w:ascii="仿宋_GB2312" w:hAnsi="仿宋_GB2312" w:eastAsia="仿宋_GB2312" w:cs="仿宋_GB2312"/>
          <w:b/>
          <w:bCs/>
          <w:color w:val="auto"/>
          <w:kern w:val="28"/>
          <w:sz w:val="30"/>
          <w:szCs w:val="30"/>
          <w:highlight w:val="none"/>
          <w:lang w:val="en-US" w:eastAsia="zh-CN" w:bidi="ar-SA"/>
        </w:rPr>
        <w:t>六、</w:t>
      </w:r>
      <w:r>
        <w:rPr>
          <w:rFonts w:ascii="仿宋_GB2312" w:hAnsi="仿宋_GB2312" w:eastAsia="仿宋_GB2312" w:cs="仿宋_GB2312"/>
          <w:b/>
          <w:bCs/>
          <w:color w:val="auto"/>
          <w:kern w:val="28"/>
          <w:sz w:val="30"/>
          <w:szCs w:val="30"/>
          <w:highlight w:val="none"/>
          <w:lang w:val="en-US" w:eastAsia="zh-CN" w:bidi="ar-SA"/>
        </w:rPr>
        <w:t>比选申请人基本情况表</w:t>
      </w:r>
    </w:p>
    <w:tbl>
      <w:tblPr>
        <w:tblStyle w:val="7"/>
        <w:tblW w:w="8932" w:type="dxa"/>
        <w:jc w:val="center"/>
        <w:tblLayout w:type="fixed"/>
        <w:tblCellMar>
          <w:top w:w="0" w:type="dxa"/>
          <w:left w:w="108" w:type="dxa"/>
          <w:bottom w:w="0" w:type="dxa"/>
          <w:right w:w="108" w:type="dxa"/>
        </w:tblCellMar>
      </w:tblPr>
      <w:tblGrid>
        <w:gridCol w:w="1706"/>
        <w:gridCol w:w="1187"/>
        <w:gridCol w:w="1233"/>
        <w:gridCol w:w="1680"/>
        <w:gridCol w:w="1320"/>
        <w:gridCol w:w="1806"/>
      </w:tblGrid>
      <w:tr w14:paraId="6F1A070A">
        <w:tblPrEx>
          <w:tblCellMar>
            <w:top w:w="0" w:type="dxa"/>
            <w:left w:w="108" w:type="dxa"/>
            <w:bottom w:w="0" w:type="dxa"/>
            <w:right w:w="108" w:type="dxa"/>
          </w:tblCellMar>
        </w:tblPrEx>
        <w:trPr>
          <w:trHeight w:val="80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0C4CC0B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比选申请人名称</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1FA95FC0">
            <w:pPr>
              <w:spacing w:before="156" w:beforeLines="50" w:after="156" w:afterLines="50" w:line="360" w:lineRule="exact"/>
              <w:rPr>
                <w:rFonts w:ascii="仿宋_GB2312" w:hAnsi="仿宋_GB2312" w:eastAsia="仿宋_GB2312" w:cs="仿宋_GB2312"/>
                <w:color w:val="auto"/>
                <w:sz w:val="24"/>
                <w:highlight w:val="none"/>
              </w:rPr>
            </w:pPr>
          </w:p>
        </w:tc>
      </w:tr>
      <w:tr w14:paraId="46C4B1E5">
        <w:tblPrEx>
          <w:tblCellMar>
            <w:top w:w="0" w:type="dxa"/>
            <w:left w:w="108" w:type="dxa"/>
            <w:bottom w:w="0" w:type="dxa"/>
            <w:right w:w="108" w:type="dxa"/>
          </w:tblCellMar>
        </w:tblPrEx>
        <w:trPr>
          <w:trHeight w:val="481"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ADD1454">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注册地址</w:t>
            </w:r>
          </w:p>
        </w:tc>
        <w:tc>
          <w:tcPr>
            <w:tcW w:w="4100" w:type="dxa"/>
            <w:gridSpan w:val="3"/>
            <w:tcBorders>
              <w:top w:val="single" w:color="000000" w:sz="4" w:space="0"/>
              <w:left w:val="single" w:color="000000" w:sz="4" w:space="0"/>
              <w:bottom w:val="single" w:color="000000" w:sz="4" w:space="0"/>
              <w:right w:val="single" w:color="000000" w:sz="4" w:space="0"/>
            </w:tcBorders>
            <w:vAlign w:val="center"/>
          </w:tcPr>
          <w:p w14:paraId="297A7F93">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4" w:space="0"/>
              <w:right w:val="single" w:color="000000" w:sz="2" w:space="0"/>
            </w:tcBorders>
            <w:vAlign w:val="center"/>
          </w:tcPr>
          <w:p w14:paraId="5F8DBDC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邮政编码</w:t>
            </w:r>
          </w:p>
        </w:tc>
        <w:tc>
          <w:tcPr>
            <w:tcW w:w="1806" w:type="dxa"/>
            <w:tcBorders>
              <w:top w:val="single" w:color="000000" w:sz="4" w:space="0"/>
              <w:left w:val="single" w:color="000000" w:sz="2" w:space="0"/>
              <w:bottom w:val="single" w:color="000000" w:sz="4" w:space="0"/>
              <w:right w:val="single" w:color="000000" w:sz="4" w:space="0"/>
            </w:tcBorders>
            <w:vAlign w:val="center"/>
          </w:tcPr>
          <w:p w14:paraId="269784FD">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6182EB68">
        <w:tblPrEx>
          <w:tblCellMar>
            <w:top w:w="0" w:type="dxa"/>
            <w:left w:w="108" w:type="dxa"/>
            <w:bottom w:w="0" w:type="dxa"/>
            <w:right w:w="108" w:type="dxa"/>
          </w:tblCellMar>
        </w:tblPrEx>
        <w:trPr>
          <w:trHeight w:val="588" w:hRule="exact"/>
          <w:jc w:val="center"/>
        </w:trPr>
        <w:tc>
          <w:tcPr>
            <w:tcW w:w="1706" w:type="dxa"/>
            <w:vMerge w:val="restart"/>
            <w:tcBorders>
              <w:top w:val="single" w:color="000000" w:sz="4" w:space="0"/>
              <w:left w:val="single" w:color="000000" w:sz="4" w:space="0"/>
              <w:right w:val="single" w:color="000000" w:sz="4" w:space="0"/>
            </w:tcBorders>
            <w:vAlign w:val="center"/>
          </w:tcPr>
          <w:p w14:paraId="28A9A9E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联系方式</w:t>
            </w:r>
          </w:p>
        </w:tc>
        <w:tc>
          <w:tcPr>
            <w:tcW w:w="1187" w:type="dxa"/>
            <w:tcBorders>
              <w:top w:val="single" w:color="000000" w:sz="4" w:space="0"/>
              <w:left w:val="single" w:color="000000" w:sz="4" w:space="0"/>
              <w:bottom w:val="single" w:color="000000" w:sz="2" w:space="0"/>
              <w:right w:val="single" w:color="000000" w:sz="4" w:space="0"/>
            </w:tcBorders>
            <w:vAlign w:val="center"/>
          </w:tcPr>
          <w:p w14:paraId="2440E414">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联系人</w:t>
            </w:r>
          </w:p>
        </w:tc>
        <w:tc>
          <w:tcPr>
            <w:tcW w:w="2913" w:type="dxa"/>
            <w:gridSpan w:val="2"/>
            <w:tcBorders>
              <w:top w:val="single" w:color="000000" w:sz="4" w:space="0"/>
              <w:left w:val="single" w:color="000000" w:sz="4" w:space="0"/>
              <w:bottom w:val="single" w:color="000000" w:sz="2" w:space="0"/>
              <w:right w:val="single" w:color="000000" w:sz="4" w:space="0"/>
            </w:tcBorders>
            <w:vAlign w:val="center"/>
          </w:tcPr>
          <w:p w14:paraId="6D7BF635">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320" w:type="dxa"/>
            <w:tcBorders>
              <w:top w:val="single" w:color="000000" w:sz="4" w:space="0"/>
              <w:left w:val="single" w:color="000000" w:sz="4" w:space="0"/>
              <w:bottom w:val="single" w:color="000000" w:sz="2" w:space="0"/>
              <w:right w:val="single" w:color="000000" w:sz="2" w:space="0"/>
            </w:tcBorders>
            <w:vAlign w:val="center"/>
          </w:tcPr>
          <w:p w14:paraId="03DFD753">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电话</w:t>
            </w:r>
          </w:p>
        </w:tc>
        <w:tc>
          <w:tcPr>
            <w:tcW w:w="1806" w:type="dxa"/>
            <w:tcBorders>
              <w:top w:val="single" w:color="000000" w:sz="4" w:space="0"/>
              <w:left w:val="single" w:color="000000" w:sz="2" w:space="0"/>
              <w:bottom w:val="single" w:color="000000" w:sz="2" w:space="0"/>
              <w:right w:val="single" w:color="000000" w:sz="4" w:space="0"/>
            </w:tcBorders>
            <w:vAlign w:val="center"/>
          </w:tcPr>
          <w:p w14:paraId="31696698">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1C6F8DE2">
        <w:tblPrEx>
          <w:tblCellMar>
            <w:top w:w="0" w:type="dxa"/>
            <w:left w:w="108" w:type="dxa"/>
            <w:bottom w:w="0" w:type="dxa"/>
            <w:right w:w="108" w:type="dxa"/>
          </w:tblCellMar>
        </w:tblPrEx>
        <w:trPr>
          <w:trHeight w:val="508" w:hRule="exact"/>
          <w:jc w:val="center"/>
        </w:trPr>
        <w:tc>
          <w:tcPr>
            <w:tcW w:w="1706" w:type="dxa"/>
            <w:vMerge w:val="continue"/>
            <w:tcBorders>
              <w:left w:val="single" w:color="000000" w:sz="4" w:space="0"/>
              <w:bottom w:val="single" w:color="000000" w:sz="4" w:space="0"/>
              <w:right w:val="single" w:color="000000" w:sz="4" w:space="0"/>
            </w:tcBorders>
            <w:vAlign w:val="center"/>
          </w:tcPr>
          <w:p w14:paraId="5DDD413F">
            <w:pPr>
              <w:spacing w:before="156" w:beforeLines="50" w:after="156" w:afterLines="50" w:line="360" w:lineRule="exact"/>
              <w:jc w:val="center"/>
              <w:rPr>
                <w:rFonts w:ascii="仿宋_GB2312" w:hAnsi="仿宋_GB2312" w:eastAsia="仿宋_GB2312" w:cs="仿宋_GB2312"/>
                <w:color w:val="auto"/>
                <w:sz w:val="24"/>
                <w:highlight w:val="none"/>
              </w:rPr>
            </w:pPr>
          </w:p>
        </w:tc>
        <w:tc>
          <w:tcPr>
            <w:tcW w:w="1187" w:type="dxa"/>
            <w:tcBorders>
              <w:top w:val="single" w:color="000000" w:sz="2" w:space="0"/>
              <w:left w:val="single" w:color="000000" w:sz="4" w:space="0"/>
              <w:bottom w:val="single" w:color="000000" w:sz="4" w:space="0"/>
              <w:right w:val="single" w:color="000000" w:sz="4" w:space="0"/>
            </w:tcBorders>
            <w:vAlign w:val="center"/>
          </w:tcPr>
          <w:p w14:paraId="73C2B8EE">
            <w:pPr>
              <w:widowControl w:val="0"/>
              <w:tabs>
                <w:tab w:val="left" w:pos="241"/>
              </w:tabs>
              <w:spacing w:before="156" w:beforeLines="50" w:after="156" w:afterLines="50" w:line="360" w:lineRule="exact"/>
              <w:jc w:val="both"/>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电子邮件</w:t>
            </w:r>
          </w:p>
        </w:tc>
        <w:tc>
          <w:tcPr>
            <w:tcW w:w="6039" w:type="dxa"/>
            <w:gridSpan w:val="4"/>
            <w:tcBorders>
              <w:top w:val="single" w:color="000000" w:sz="2" w:space="0"/>
              <w:left w:val="single" w:color="000000" w:sz="4" w:space="0"/>
              <w:bottom w:val="single" w:color="000000" w:sz="4" w:space="0"/>
              <w:right w:val="single" w:color="000000" w:sz="4" w:space="0"/>
            </w:tcBorders>
            <w:vAlign w:val="center"/>
          </w:tcPr>
          <w:p w14:paraId="01C76074">
            <w:pPr>
              <w:spacing w:before="156" w:beforeLines="50" w:after="156" w:afterLines="50" w:line="360" w:lineRule="exact"/>
              <w:rPr>
                <w:rFonts w:ascii="仿宋_GB2312" w:hAnsi="仿宋_GB2312" w:eastAsia="仿宋_GB2312" w:cs="仿宋_GB2312"/>
                <w:color w:val="auto"/>
                <w:sz w:val="24"/>
                <w:highlight w:val="none"/>
              </w:rPr>
            </w:pPr>
          </w:p>
        </w:tc>
      </w:tr>
      <w:tr w14:paraId="79F4589C">
        <w:tblPrEx>
          <w:tblCellMar>
            <w:top w:w="0" w:type="dxa"/>
            <w:left w:w="108" w:type="dxa"/>
            <w:bottom w:w="0" w:type="dxa"/>
            <w:right w:w="108" w:type="dxa"/>
          </w:tblCellMar>
        </w:tblPrEx>
        <w:trPr>
          <w:trHeight w:val="567"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D9AE3E2">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法定代表人</w:t>
            </w:r>
          </w:p>
        </w:tc>
        <w:tc>
          <w:tcPr>
            <w:tcW w:w="1187" w:type="dxa"/>
            <w:tcBorders>
              <w:top w:val="single" w:color="000000" w:sz="4" w:space="0"/>
              <w:left w:val="single" w:color="000000" w:sz="4" w:space="0"/>
              <w:bottom w:val="single" w:color="000000" w:sz="4" w:space="0"/>
              <w:right w:val="single" w:color="000000" w:sz="4" w:space="0"/>
            </w:tcBorders>
            <w:vAlign w:val="center"/>
          </w:tcPr>
          <w:p w14:paraId="16E23E8B">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姓名</w:t>
            </w:r>
          </w:p>
        </w:tc>
        <w:tc>
          <w:tcPr>
            <w:tcW w:w="1233" w:type="dxa"/>
            <w:tcBorders>
              <w:top w:val="single" w:color="000000" w:sz="4" w:space="0"/>
              <w:left w:val="single" w:color="000000" w:sz="4" w:space="0"/>
              <w:bottom w:val="single" w:color="000000" w:sz="4" w:space="0"/>
              <w:right w:val="single" w:color="000000" w:sz="4" w:space="0"/>
            </w:tcBorders>
            <w:vAlign w:val="center"/>
          </w:tcPr>
          <w:p w14:paraId="56F997C1">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026AEDF5">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身份证号码</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6B874DED">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r w14:paraId="585A206B">
        <w:tblPrEx>
          <w:tblCellMar>
            <w:top w:w="0" w:type="dxa"/>
            <w:left w:w="108" w:type="dxa"/>
            <w:bottom w:w="0" w:type="dxa"/>
            <w:right w:w="108" w:type="dxa"/>
          </w:tblCellMar>
        </w:tblPrEx>
        <w:trPr>
          <w:trHeight w:val="856"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26D727C7">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统一社会信用代码</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60579357">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1E709EBF">
        <w:tblPrEx>
          <w:tblCellMar>
            <w:top w:w="0" w:type="dxa"/>
            <w:left w:w="108" w:type="dxa"/>
            <w:bottom w:w="0" w:type="dxa"/>
            <w:right w:w="108" w:type="dxa"/>
          </w:tblCellMar>
        </w:tblPrEx>
        <w:trPr>
          <w:trHeight w:val="564"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10D0A708">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成立日期</w:t>
            </w:r>
          </w:p>
        </w:tc>
        <w:tc>
          <w:tcPr>
            <w:tcW w:w="2420" w:type="dxa"/>
            <w:gridSpan w:val="2"/>
            <w:tcBorders>
              <w:top w:val="single" w:color="000000" w:sz="4" w:space="0"/>
              <w:left w:val="single" w:color="000000" w:sz="4" w:space="0"/>
              <w:bottom w:val="single" w:color="000000" w:sz="4" w:space="0"/>
              <w:right w:val="single" w:color="000000" w:sz="4" w:space="0"/>
            </w:tcBorders>
            <w:vAlign w:val="center"/>
          </w:tcPr>
          <w:p w14:paraId="20434A92">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c>
          <w:tcPr>
            <w:tcW w:w="1680" w:type="dxa"/>
            <w:tcBorders>
              <w:top w:val="single" w:color="000000" w:sz="4" w:space="0"/>
              <w:left w:val="single" w:color="000000" w:sz="4" w:space="0"/>
              <w:bottom w:val="single" w:color="000000" w:sz="4" w:space="0"/>
              <w:right w:val="single" w:color="000000" w:sz="4" w:space="0"/>
            </w:tcBorders>
            <w:vAlign w:val="center"/>
          </w:tcPr>
          <w:p w14:paraId="239F47BA">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基本开户银行</w:t>
            </w:r>
          </w:p>
        </w:tc>
        <w:tc>
          <w:tcPr>
            <w:tcW w:w="3126" w:type="dxa"/>
            <w:gridSpan w:val="2"/>
            <w:tcBorders>
              <w:top w:val="single" w:color="000000" w:sz="4" w:space="0"/>
              <w:left w:val="single" w:color="000000" w:sz="4" w:space="0"/>
              <w:bottom w:val="single" w:color="000000" w:sz="4" w:space="0"/>
              <w:right w:val="single" w:color="000000" w:sz="4" w:space="0"/>
            </w:tcBorders>
            <w:vAlign w:val="center"/>
          </w:tcPr>
          <w:p w14:paraId="19F450FF">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3E2CEB12">
        <w:tblPrEx>
          <w:tblCellMar>
            <w:top w:w="0" w:type="dxa"/>
            <w:left w:w="108" w:type="dxa"/>
            <w:bottom w:w="0" w:type="dxa"/>
            <w:right w:w="108" w:type="dxa"/>
          </w:tblCellMar>
        </w:tblPrEx>
        <w:trPr>
          <w:trHeight w:val="56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693A6A1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基本银行账</w:t>
            </w:r>
            <w:r>
              <w:rPr>
                <w:rFonts w:hint="eastAsia" w:ascii="仿宋_GB2312" w:hAnsi="仿宋_GB2312" w:eastAsia="仿宋_GB2312" w:cs="仿宋_GB2312"/>
                <w:color w:val="auto"/>
                <w:kern w:val="2"/>
                <w:sz w:val="24"/>
                <w:szCs w:val="24"/>
                <w:highlight w:val="none"/>
                <w:lang w:val="en-US" w:eastAsia="zh-CN" w:bidi="ar-SA"/>
              </w:rPr>
              <w:t>户</w:t>
            </w:r>
          </w:p>
        </w:tc>
        <w:tc>
          <w:tcPr>
            <w:tcW w:w="7226" w:type="dxa"/>
            <w:gridSpan w:val="5"/>
            <w:tcBorders>
              <w:top w:val="single" w:color="000000" w:sz="4" w:space="0"/>
              <w:left w:val="single" w:color="000000" w:sz="4" w:space="0"/>
              <w:bottom w:val="single" w:color="000000" w:sz="4" w:space="0"/>
              <w:right w:val="single" w:color="000000" w:sz="4" w:space="0"/>
            </w:tcBorders>
            <w:vAlign w:val="center"/>
          </w:tcPr>
          <w:p w14:paraId="27A6D919">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p>
        </w:tc>
      </w:tr>
      <w:tr w14:paraId="3F06BA77">
        <w:tblPrEx>
          <w:tblCellMar>
            <w:top w:w="0" w:type="dxa"/>
            <w:left w:w="108" w:type="dxa"/>
            <w:bottom w:w="0" w:type="dxa"/>
            <w:right w:w="108" w:type="dxa"/>
          </w:tblCellMar>
        </w:tblPrEx>
        <w:trPr>
          <w:trHeight w:val="559" w:hRule="exact"/>
          <w:jc w:val="center"/>
        </w:trPr>
        <w:tc>
          <w:tcPr>
            <w:tcW w:w="1706" w:type="dxa"/>
            <w:tcBorders>
              <w:top w:val="single" w:color="000000" w:sz="4" w:space="0"/>
              <w:left w:val="single" w:color="000000" w:sz="4" w:space="0"/>
              <w:bottom w:val="single" w:color="000000" w:sz="4" w:space="0"/>
              <w:right w:val="single" w:color="000000" w:sz="4" w:space="0"/>
            </w:tcBorders>
            <w:vAlign w:val="center"/>
          </w:tcPr>
          <w:p w14:paraId="754B9B1E">
            <w:pPr>
              <w:widowControl w:val="0"/>
              <w:spacing w:before="156" w:beforeLines="50" w:after="156" w:afterLines="50" w:line="360" w:lineRule="exact"/>
              <w:jc w:val="left"/>
              <w:rPr>
                <w:rFonts w:ascii="仿宋_GB2312" w:hAnsi="仿宋_GB2312" w:eastAsia="仿宋_GB2312" w:cs="仿宋_GB2312"/>
                <w:color w:val="auto"/>
                <w:kern w:val="2"/>
                <w:sz w:val="24"/>
                <w:szCs w:val="24"/>
                <w:highlight w:val="none"/>
                <w:lang w:val="en-US" w:eastAsia="zh-CN" w:bidi="ar-SA"/>
              </w:rPr>
            </w:pPr>
            <w:r>
              <w:rPr>
                <w:rFonts w:ascii="仿宋_GB2312" w:hAnsi="仿宋_GB2312" w:eastAsia="仿宋_GB2312" w:cs="仿宋_GB2312"/>
                <w:color w:val="auto"/>
                <w:kern w:val="2"/>
                <w:sz w:val="24"/>
                <w:szCs w:val="24"/>
                <w:highlight w:val="none"/>
                <w:lang w:val="en-US" w:eastAsia="zh-CN" w:bidi="ar-SA"/>
              </w:rPr>
              <w:t>备注</w:t>
            </w:r>
          </w:p>
        </w:tc>
        <w:tc>
          <w:tcPr>
            <w:tcW w:w="7226" w:type="dxa"/>
            <w:gridSpan w:val="5"/>
            <w:tcBorders>
              <w:top w:val="single" w:color="000000" w:sz="4" w:space="0"/>
              <w:left w:val="single" w:color="000000" w:sz="4" w:space="0"/>
              <w:bottom w:val="single" w:color="000000" w:sz="4" w:space="0"/>
              <w:right w:val="single" w:color="000000" w:sz="4" w:space="0"/>
            </w:tcBorders>
          </w:tcPr>
          <w:p w14:paraId="166690C1">
            <w:pPr>
              <w:widowControl w:val="0"/>
              <w:spacing w:line="360" w:lineRule="exact"/>
              <w:jc w:val="left"/>
              <w:rPr>
                <w:rFonts w:ascii="仿宋_GB2312" w:hAnsi="仿宋_GB2312" w:eastAsia="仿宋_GB2312" w:cs="仿宋_GB2312"/>
                <w:color w:val="auto"/>
                <w:kern w:val="2"/>
                <w:sz w:val="24"/>
                <w:szCs w:val="24"/>
                <w:highlight w:val="none"/>
                <w:lang w:val="en-US" w:eastAsia="zh-CN" w:bidi="ar-SA"/>
              </w:rPr>
            </w:pPr>
          </w:p>
        </w:tc>
      </w:tr>
    </w:tbl>
    <w:p w14:paraId="1B74CD11">
      <w:pPr>
        <w:spacing w:line="600" w:lineRule="exact"/>
        <w:rPr>
          <w:rFonts w:ascii="Times New Roman" w:hAnsi="Times New Roman" w:eastAsia="仿宋" w:cs="Times New Roman"/>
          <w:color w:val="auto"/>
          <w:sz w:val="28"/>
          <w:szCs w:val="28"/>
          <w:highlight w:val="none"/>
        </w:rPr>
      </w:pPr>
    </w:p>
    <w:p w14:paraId="79801D7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 xml:space="preserve">比选申请人（单位公章）： </w:t>
      </w:r>
    </w:p>
    <w:p w14:paraId="7EC3E0F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法定代表人/授权代表</w:t>
      </w:r>
      <w:r>
        <w:rPr>
          <w:rFonts w:ascii="仿宋_GB2312" w:hAnsi="仿宋_GB2312" w:eastAsia="仿宋_GB2312" w:cs="仿宋_GB2312"/>
          <w:color w:val="auto"/>
          <w:sz w:val="24"/>
          <w:highlight w:val="none"/>
        </w:rPr>
        <w:t xml:space="preserve">（签字）：               </w:t>
      </w:r>
    </w:p>
    <w:p w14:paraId="7E7CA76B">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w:t>
      </w:r>
      <w:r>
        <w:rPr>
          <w:rFonts w:ascii="仿宋_GB2312" w:hAnsi="仿宋_GB2312" w:eastAsia="仿宋_GB2312" w:cs="仿宋_GB2312"/>
          <w:color w:val="auto"/>
          <w:sz w:val="24"/>
          <w:highlight w:val="none"/>
        </w:rPr>
        <w:t>日 期：</w:t>
      </w:r>
    </w:p>
    <w:p w14:paraId="2A109AB7">
      <w:pPr>
        <w:keepNext/>
        <w:keepLines/>
        <w:widowControl w:val="0"/>
        <w:ind w:firstLine="880"/>
        <w:jc w:val="both"/>
        <w:outlineLvl w:val="3"/>
        <w:rPr>
          <w:rFonts w:ascii="仿宋_GB2312" w:hAnsi="仿宋_GB2312" w:eastAsia="仿宋_GB2312" w:cs="仿宋_GB2312"/>
          <w:color w:val="auto"/>
          <w:kern w:val="2"/>
          <w:sz w:val="30"/>
          <w:szCs w:val="30"/>
          <w:highlight w:val="none"/>
          <w:lang w:val="en-US" w:eastAsia="zh-CN" w:bidi="ar-SA"/>
        </w:rPr>
      </w:pPr>
    </w:p>
    <w:p w14:paraId="237DDBF9">
      <w:pPr>
        <w:rPr>
          <w:color w:val="auto"/>
          <w:highlight w:val="none"/>
        </w:rPr>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pPr>
    </w:p>
    <w:p w14:paraId="73EF5C1F">
      <w:pPr>
        <w:widowControl w:val="0"/>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七、合法有效律师事务所执业许可证，以及国家法律法规要求的相关从业资质</w:t>
      </w:r>
    </w:p>
    <w:p w14:paraId="4C9FF5A5">
      <w:pPr>
        <w:rPr>
          <w:rFonts w:ascii="仿宋_GB2312" w:hAnsi="仿宋_GB2312" w:eastAsia="仿宋_GB2312" w:cs="仿宋_GB2312"/>
          <w:color w:val="auto"/>
          <w:sz w:val="30"/>
          <w:szCs w:val="30"/>
          <w:highlight w:val="none"/>
        </w:rPr>
      </w:pPr>
    </w:p>
    <w:p w14:paraId="36939EB8">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41383F47">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具有注册专职律师数量相关证明材料</w:t>
      </w:r>
    </w:p>
    <w:p w14:paraId="77635360">
      <w:pP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br w:type="page"/>
      </w:r>
    </w:p>
    <w:p w14:paraId="33075727">
      <w:pPr>
        <w:widowControl w:val="0"/>
        <w:numPr>
          <w:ilvl w:val="0"/>
          <w:numId w:val="2"/>
        </w:numPr>
        <w:spacing w:before="240" w:after="60" w:line="460" w:lineRule="exact"/>
        <w:jc w:val="left"/>
        <w:outlineLvl w:val="1"/>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近三年未受到司法行政部门的行政处罚和律师协会的行业处分，近三年提供的法律服务未因重大执业质量等问题受到省国资委的通报（提供司法局律师工作处证明及四川省国资委网站截图）</w:t>
      </w:r>
    </w:p>
    <w:p w14:paraId="517E39F2">
      <w:pPr>
        <w:rPr>
          <w:color w:val="auto"/>
          <w:highlight w:val="none"/>
        </w:rPr>
        <w:sectPr>
          <w:pgSz w:w="11906" w:h="16838"/>
          <w:pgMar w:top="1440" w:right="1800" w:bottom="1440" w:left="1800" w:header="851" w:footer="992" w:gutter="0"/>
          <w:pgNumType w:fmt="decimal"/>
          <w:cols w:space="720" w:num="1"/>
          <w:docGrid w:type="lines" w:linePitch="312" w:charSpace="0"/>
        </w:sectPr>
      </w:pPr>
    </w:p>
    <w:p w14:paraId="1D3823F4">
      <w:pPr>
        <w:widowControl w:val="0"/>
        <w:spacing w:before="240" w:after="60" w:line="460" w:lineRule="exact"/>
        <w:jc w:val="left"/>
        <w:outlineLvl w:val="1"/>
        <w:rPr>
          <w:rFonts w:ascii="仿宋_GB2312" w:hAnsi="仿宋_GB2312" w:eastAsia="仿宋_GB2312" w:cs="仿宋_GB2312"/>
          <w:b/>
          <w:bCs/>
          <w:color w:val="auto"/>
          <w:kern w:val="28"/>
          <w:sz w:val="24"/>
          <w:szCs w:val="24"/>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十、服务方案（包括团队构成及成员基本情况</w:t>
      </w:r>
      <w:bookmarkEnd w:id="368"/>
      <w:bookmarkEnd w:id="369"/>
      <w:bookmarkEnd w:id="370"/>
      <w:bookmarkEnd w:id="371"/>
      <w:bookmarkEnd w:id="372"/>
      <w:r>
        <w:rPr>
          <w:rFonts w:hint="eastAsia" w:ascii="仿宋_GB2312" w:hAnsi="仿宋_GB2312" w:eastAsia="仿宋_GB2312" w:cs="仿宋_GB2312"/>
          <w:b/>
          <w:bCs/>
          <w:color w:val="auto"/>
          <w:kern w:val="28"/>
          <w:sz w:val="30"/>
          <w:szCs w:val="30"/>
          <w:highlight w:val="none"/>
          <w:lang w:val="en-US" w:eastAsia="zh-CN" w:bidi="ar-SA"/>
        </w:rPr>
        <w:t>）</w:t>
      </w:r>
    </w:p>
    <w:p w14:paraId="4DC11E6A">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叙述</w:t>
      </w:r>
      <w:r>
        <w:rPr>
          <w:rFonts w:hint="eastAsia" w:ascii="仿宋_GB2312" w:hAnsi="仿宋_GB2312" w:eastAsia="仿宋_GB2312" w:cs="仿宋_GB2312"/>
          <w:color w:val="auto"/>
          <w:sz w:val="24"/>
          <w:highlight w:val="none"/>
        </w:rPr>
        <w:t>项目服务方案，服务方案应包含以下人员情况介绍。</w:t>
      </w:r>
    </w:p>
    <w:p w14:paraId="664233BB">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一、团队负责人及主要参与人员基本情况</w:t>
      </w:r>
    </w:p>
    <w:tbl>
      <w:tblPr>
        <w:tblStyle w:val="7"/>
        <w:tblW w:w="829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15"/>
        <w:gridCol w:w="910"/>
        <w:gridCol w:w="2519"/>
        <w:gridCol w:w="1804"/>
        <w:gridCol w:w="1942"/>
      </w:tblGrid>
      <w:tr w14:paraId="24CF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25C878B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910" w:type="dxa"/>
            <w:vAlign w:val="center"/>
          </w:tcPr>
          <w:p w14:paraId="381E0FB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519" w:type="dxa"/>
            <w:vAlign w:val="center"/>
          </w:tcPr>
          <w:p w14:paraId="050FD87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类似工作</w:t>
            </w:r>
          </w:p>
          <w:p w14:paraId="2BBB38F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经验年限</w:t>
            </w:r>
          </w:p>
        </w:tc>
        <w:tc>
          <w:tcPr>
            <w:tcW w:w="1804" w:type="dxa"/>
            <w:vAlign w:val="center"/>
          </w:tcPr>
          <w:p w14:paraId="3BCC1E7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拟任职务</w:t>
            </w:r>
          </w:p>
        </w:tc>
        <w:tc>
          <w:tcPr>
            <w:tcW w:w="1942" w:type="dxa"/>
            <w:vAlign w:val="center"/>
          </w:tcPr>
          <w:p w14:paraId="7638AC6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法律服务</w:t>
            </w:r>
          </w:p>
          <w:p w14:paraId="7F46C41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经验业绩</w:t>
            </w:r>
          </w:p>
        </w:tc>
      </w:tr>
      <w:tr w14:paraId="4A6A2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1115" w:type="dxa"/>
            <w:vAlign w:val="center"/>
          </w:tcPr>
          <w:p w14:paraId="226088ED">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32ADC47E">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0BB412E2">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5FC6F69F">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37EC233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41B9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115" w:type="dxa"/>
            <w:vAlign w:val="center"/>
          </w:tcPr>
          <w:p w14:paraId="5729CCDA">
            <w:pPr>
              <w:snapToGrid w:val="0"/>
              <w:spacing w:line="460" w:lineRule="exact"/>
              <w:ind w:right="-57"/>
              <w:rPr>
                <w:rFonts w:ascii="仿宋_GB2312" w:hAnsi="仿宋_GB2312" w:eastAsia="仿宋_GB2312" w:cs="仿宋_GB2312"/>
                <w:color w:val="auto"/>
                <w:kern w:val="0"/>
                <w:sz w:val="24"/>
                <w:highlight w:val="none"/>
              </w:rPr>
            </w:pPr>
          </w:p>
        </w:tc>
        <w:tc>
          <w:tcPr>
            <w:tcW w:w="910" w:type="dxa"/>
            <w:vAlign w:val="center"/>
          </w:tcPr>
          <w:p w14:paraId="0114C3A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19" w:type="dxa"/>
            <w:vAlign w:val="center"/>
          </w:tcPr>
          <w:p w14:paraId="1271AC56">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804" w:type="dxa"/>
            <w:vAlign w:val="center"/>
          </w:tcPr>
          <w:p w14:paraId="50CE6A4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942" w:type="dxa"/>
          </w:tcPr>
          <w:p w14:paraId="355D659A">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475B4EA7">
      <w:pPr>
        <w:spacing w:line="460" w:lineRule="exact"/>
        <w:rPr>
          <w:rFonts w:ascii="仿宋_GB2312" w:hAnsi="仿宋_GB2312" w:eastAsia="仿宋_GB2312" w:cs="仿宋_GB2312"/>
          <w:color w:val="auto"/>
          <w:sz w:val="24"/>
          <w:highlight w:val="none"/>
        </w:rPr>
      </w:pPr>
      <w:bookmarkStart w:id="373" w:name="_Toc455607508"/>
      <w:r>
        <w:rPr>
          <w:rFonts w:hint="eastAsia" w:ascii="仿宋_GB2312" w:hAnsi="仿宋_GB2312" w:eastAsia="仿宋_GB2312" w:cs="仿宋_GB2312"/>
          <w:color w:val="auto"/>
          <w:sz w:val="24"/>
          <w:highlight w:val="none"/>
        </w:rPr>
        <w:t>二、投入本项目的主要负责人资历表</w:t>
      </w:r>
      <w:bookmarkEnd w:id="373"/>
    </w:p>
    <w:tbl>
      <w:tblPr>
        <w:tblStyle w:val="7"/>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2060"/>
        <w:gridCol w:w="865"/>
        <w:gridCol w:w="1479"/>
        <w:gridCol w:w="277"/>
        <w:gridCol w:w="1376"/>
        <w:gridCol w:w="1264"/>
      </w:tblGrid>
      <w:tr w14:paraId="1B0FD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tcPr>
          <w:p w14:paraId="40A8C87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60" w:type="dxa"/>
          </w:tcPr>
          <w:p w14:paraId="5498AB6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074980D9">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479" w:type="dxa"/>
          </w:tcPr>
          <w:p w14:paraId="614944D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3F67D8C8">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264" w:type="dxa"/>
          </w:tcPr>
          <w:p w14:paraId="69976521">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7DB5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1136" w:type="dxa"/>
          </w:tcPr>
          <w:p w14:paraId="334CF54C">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60" w:type="dxa"/>
          </w:tcPr>
          <w:p w14:paraId="7A43057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865" w:type="dxa"/>
          </w:tcPr>
          <w:p w14:paraId="6979952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479" w:type="dxa"/>
          </w:tcPr>
          <w:p w14:paraId="19E993E9">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53" w:type="dxa"/>
            <w:gridSpan w:val="2"/>
          </w:tcPr>
          <w:p w14:paraId="0FC67E3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264" w:type="dxa"/>
          </w:tcPr>
          <w:p w14:paraId="0D015E3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3A9D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196" w:type="dxa"/>
            <w:gridSpan w:val="2"/>
          </w:tcPr>
          <w:p w14:paraId="0E1B2B36">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261" w:type="dxa"/>
            <w:gridSpan w:val="5"/>
          </w:tcPr>
          <w:p w14:paraId="3B1BF09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5513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tcPr>
          <w:p w14:paraId="347F64C5">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681" w:type="dxa"/>
            <w:gridSpan w:val="4"/>
          </w:tcPr>
          <w:p w14:paraId="25B6407E">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640" w:type="dxa"/>
            <w:gridSpan w:val="2"/>
          </w:tcPr>
          <w:p w14:paraId="65DFE5E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0C0F0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78DD1B8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22825FD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7141F9CD">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4A08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6" w:type="dxa"/>
            <w:vAlign w:val="center"/>
          </w:tcPr>
          <w:p w14:paraId="06D8D8E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681" w:type="dxa"/>
            <w:gridSpan w:val="4"/>
            <w:vAlign w:val="center"/>
          </w:tcPr>
          <w:p w14:paraId="513D389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640" w:type="dxa"/>
            <w:gridSpan w:val="2"/>
            <w:vAlign w:val="center"/>
          </w:tcPr>
          <w:p w14:paraId="1908BD7A">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63A97D1B">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bookmarkStart w:id="374" w:name="_Toc455607509"/>
    </w:p>
    <w:p w14:paraId="41EF21DC">
      <w:pPr>
        <w:spacing w:line="460" w:lineRule="exac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三、投入本项目的主要团队人员资历表</w:t>
      </w:r>
      <w:bookmarkEnd w:id="374"/>
    </w:p>
    <w:tbl>
      <w:tblPr>
        <w:tblStyle w:val="7"/>
        <w:tblW w:w="83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2038"/>
        <w:gridCol w:w="740"/>
        <w:gridCol w:w="1672"/>
        <w:gridCol w:w="282"/>
        <w:gridCol w:w="1349"/>
        <w:gridCol w:w="1156"/>
      </w:tblGrid>
      <w:tr w14:paraId="0D96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3FD97E8B">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姓名</w:t>
            </w:r>
          </w:p>
        </w:tc>
        <w:tc>
          <w:tcPr>
            <w:tcW w:w="2038" w:type="dxa"/>
          </w:tcPr>
          <w:p w14:paraId="1899C588">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6527834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职务</w:t>
            </w:r>
          </w:p>
        </w:tc>
        <w:tc>
          <w:tcPr>
            <w:tcW w:w="1672" w:type="dxa"/>
          </w:tcPr>
          <w:p w14:paraId="0141332A">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7BBA105A">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职称</w:t>
            </w:r>
          </w:p>
        </w:tc>
        <w:tc>
          <w:tcPr>
            <w:tcW w:w="1156" w:type="dxa"/>
          </w:tcPr>
          <w:p w14:paraId="00C693DF">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4E8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tcPr>
          <w:p w14:paraId="765D6C4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年龄</w:t>
            </w:r>
          </w:p>
        </w:tc>
        <w:tc>
          <w:tcPr>
            <w:tcW w:w="2038" w:type="dxa"/>
          </w:tcPr>
          <w:p w14:paraId="528995A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740" w:type="dxa"/>
          </w:tcPr>
          <w:p w14:paraId="2D398414">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拟任职</w:t>
            </w:r>
          </w:p>
        </w:tc>
        <w:tc>
          <w:tcPr>
            <w:tcW w:w="1672" w:type="dxa"/>
          </w:tcPr>
          <w:p w14:paraId="7CDBD05D">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1631" w:type="dxa"/>
            <w:gridSpan w:val="2"/>
          </w:tcPr>
          <w:p w14:paraId="1EA76D83">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参加工作时间</w:t>
            </w:r>
          </w:p>
        </w:tc>
        <w:tc>
          <w:tcPr>
            <w:tcW w:w="1156" w:type="dxa"/>
          </w:tcPr>
          <w:p w14:paraId="16A9FDC5">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49E5E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3187" w:type="dxa"/>
            <w:gridSpan w:val="2"/>
          </w:tcPr>
          <w:p w14:paraId="317B4BCF">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学历（毕业学校、时间、专业）</w:t>
            </w:r>
          </w:p>
        </w:tc>
        <w:tc>
          <w:tcPr>
            <w:tcW w:w="5199" w:type="dxa"/>
            <w:gridSpan w:val="5"/>
          </w:tcPr>
          <w:p w14:paraId="1786866E">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7AC64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49" w:type="dxa"/>
          </w:tcPr>
          <w:p w14:paraId="62FABFC7">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开始年份</w:t>
            </w:r>
          </w:p>
        </w:tc>
        <w:tc>
          <w:tcPr>
            <w:tcW w:w="4732" w:type="dxa"/>
            <w:gridSpan w:val="4"/>
          </w:tcPr>
          <w:p w14:paraId="27D02652">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参加过的主要案件及法律顾问服务单位</w:t>
            </w:r>
          </w:p>
        </w:tc>
        <w:tc>
          <w:tcPr>
            <w:tcW w:w="2505" w:type="dxa"/>
            <w:gridSpan w:val="2"/>
          </w:tcPr>
          <w:p w14:paraId="403DAF90">
            <w:pPr>
              <w:snapToGrid w:val="0"/>
              <w:spacing w:line="460" w:lineRule="exact"/>
              <w:ind w:left="-57" w:right="-57"/>
              <w:jc w:val="center"/>
              <w:rPr>
                <w:rFonts w:ascii="仿宋_GB2312" w:hAnsi="仿宋_GB2312" w:eastAsia="仿宋_GB2312" w:cs="仿宋_GB2312"/>
                <w:color w:val="auto"/>
                <w:kern w:val="0"/>
                <w:sz w:val="24"/>
                <w:highlight w:val="none"/>
              </w:rPr>
            </w:pPr>
            <w:r>
              <w:rPr>
                <w:rFonts w:hint="eastAsia" w:ascii="仿宋_GB2312" w:hAnsi="仿宋_GB2312" w:eastAsia="仿宋_GB2312" w:cs="仿宋_GB2312"/>
                <w:color w:val="auto"/>
                <w:kern w:val="0"/>
                <w:sz w:val="24"/>
                <w:highlight w:val="none"/>
              </w:rPr>
              <w:t>担任该项目的工作内容</w:t>
            </w:r>
          </w:p>
        </w:tc>
      </w:tr>
      <w:tr w14:paraId="64C32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238AD17B">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4BB0EFB4">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44DDF903">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279F0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48CD5A47">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F6CDCC5">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101244C7">
            <w:pPr>
              <w:snapToGrid w:val="0"/>
              <w:spacing w:line="460" w:lineRule="exact"/>
              <w:ind w:left="-57" w:right="-57"/>
              <w:jc w:val="center"/>
              <w:rPr>
                <w:rFonts w:ascii="仿宋_GB2312" w:hAnsi="仿宋_GB2312" w:eastAsia="仿宋_GB2312" w:cs="仿宋_GB2312"/>
                <w:color w:val="auto"/>
                <w:kern w:val="0"/>
                <w:sz w:val="24"/>
                <w:highlight w:val="none"/>
              </w:rPr>
            </w:pPr>
          </w:p>
        </w:tc>
      </w:tr>
      <w:tr w14:paraId="3C134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3" w:hRule="atLeast"/>
        </w:trPr>
        <w:tc>
          <w:tcPr>
            <w:tcW w:w="1149" w:type="dxa"/>
            <w:vAlign w:val="center"/>
          </w:tcPr>
          <w:p w14:paraId="6AA12AD1">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4732" w:type="dxa"/>
            <w:gridSpan w:val="4"/>
            <w:vAlign w:val="center"/>
          </w:tcPr>
          <w:p w14:paraId="3D15C830">
            <w:pPr>
              <w:snapToGrid w:val="0"/>
              <w:spacing w:line="460" w:lineRule="exact"/>
              <w:ind w:left="-57" w:right="-57"/>
              <w:jc w:val="center"/>
              <w:rPr>
                <w:rFonts w:ascii="仿宋_GB2312" w:hAnsi="仿宋_GB2312" w:eastAsia="仿宋_GB2312" w:cs="仿宋_GB2312"/>
                <w:color w:val="auto"/>
                <w:kern w:val="0"/>
                <w:sz w:val="24"/>
                <w:highlight w:val="none"/>
              </w:rPr>
            </w:pPr>
          </w:p>
        </w:tc>
        <w:tc>
          <w:tcPr>
            <w:tcW w:w="2505" w:type="dxa"/>
            <w:gridSpan w:val="2"/>
            <w:vAlign w:val="center"/>
          </w:tcPr>
          <w:p w14:paraId="70C19143">
            <w:pPr>
              <w:snapToGrid w:val="0"/>
              <w:spacing w:line="460" w:lineRule="exact"/>
              <w:ind w:left="-57" w:right="-57"/>
              <w:jc w:val="center"/>
              <w:rPr>
                <w:rFonts w:ascii="仿宋_GB2312" w:hAnsi="仿宋_GB2312" w:eastAsia="仿宋_GB2312" w:cs="仿宋_GB2312"/>
                <w:color w:val="auto"/>
                <w:kern w:val="0"/>
                <w:sz w:val="24"/>
                <w:highlight w:val="none"/>
              </w:rPr>
            </w:pPr>
          </w:p>
        </w:tc>
      </w:tr>
    </w:tbl>
    <w:p w14:paraId="5FFA3D50">
      <w:pPr>
        <w:widowControl/>
        <w:spacing w:line="460" w:lineRule="exact"/>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注：在本表后应附其相关证件等。</w:t>
      </w:r>
    </w:p>
    <w:p w14:paraId="58668326">
      <w:pPr>
        <w:widowControl/>
        <w:spacing w:line="460" w:lineRule="exact"/>
        <w:jc w:val="left"/>
        <w:rPr>
          <w:rFonts w:ascii="仿宋_GB2312" w:hAnsi="仿宋_GB2312" w:eastAsia="仿宋_GB2312" w:cs="仿宋_GB2312"/>
          <w:color w:val="auto"/>
          <w:sz w:val="24"/>
          <w:highlight w:val="none"/>
        </w:rPr>
      </w:pPr>
    </w:p>
    <w:p w14:paraId="77B36B89">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比选申请人（单位公章）： </w:t>
      </w:r>
    </w:p>
    <w:p w14:paraId="2655310A">
      <w:pPr>
        <w:spacing w:line="460" w:lineRule="exact"/>
        <w:ind w:firstLine="480" w:firstLineChars="200"/>
        <w:jc w:val="center"/>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法定代表人/授权代表</w:t>
      </w:r>
      <w:r>
        <w:rPr>
          <w:rFonts w:ascii="仿宋_GB2312" w:hAnsi="仿宋_GB2312" w:eastAsia="仿宋_GB2312" w:cs="仿宋_GB2312"/>
          <w:color w:val="auto"/>
          <w:sz w:val="24"/>
          <w:highlight w:val="none"/>
        </w:rPr>
        <w:t xml:space="preserve">（签字）：               </w:t>
      </w:r>
    </w:p>
    <w:p w14:paraId="01F7F8C5">
      <w:pPr>
        <w:spacing w:line="460" w:lineRule="exact"/>
        <w:ind w:firstLine="480" w:firstLineChars="20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日 期： </w:t>
      </w:r>
    </w:p>
    <w:p w14:paraId="21B9D1E5">
      <w:pPr>
        <w:pStyle w:val="2"/>
        <w:rPr>
          <w:rFonts w:hint="eastAsia" w:ascii="仿宋_GB2312" w:hAnsi="仿宋_GB2312" w:eastAsia="仿宋_GB2312" w:cs="仿宋_GB2312"/>
          <w:color w:val="auto"/>
          <w:sz w:val="24"/>
          <w:highlight w:val="none"/>
        </w:rPr>
      </w:pPr>
    </w:p>
    <w:p w14:paraId="45924DAE">
      <w:pPr>
        <w:pStyle w:val="2"/>
        <w:rPr>
          <w:rFonts w:hint="default" w:ascii="仿宋_GB2312" w:hAnsi="仿宋_GB2312" w:eastAsia="仿宋_GB2312" w:cs="仿宋_GB2312"/>
          <w:b/>
          <w:bCs/>
          <w:color w:val="auto"/>
          <w:kern w:val="28"/>
          <w:sz w:val="30"/>
          <w:szCs w:val="30"/>
          <w:highlight w:val="none"/>
          <w:lang w:val="en-US" w:eastAsia="zh-CN" w:bidi="ar-SA"/>
        </w:rPr>
        <w:sectPr>
          <w:pgSz w:w="11906" w:h="16838"/>
          <w:pgMar w:top="1440" w:right="1800" w:bottom="1440" w:left="1800" w:header="851" w:footer="992" w:gutter="0"/>
          <w:pgNumType w:fmt="decimal"/>
          <w:cols w:space="720" w:num="1"/>
          <w:docGrid w:type="lines" w:linePitch="312" w:charSpace="0"/>
        </w:sectPr>
      </w:pPr>
      <w:r>
        <w:rPr>
          <w:rFonts w:hint="eastAsia" w:ascii="仿宋_GB2312" w:hAnsi="仿宋_GB2312" w:eastAsia="仿宋_GB2312" w:cs="仿宋_GB2312"/>
          <w:b/>
          <w:bCs/>
          <w:color w:val="auto"/>
          <w:kern w:val="28"/>
          <w:sz w:val="30"/>
          <w:szCs w:val="30"/>
          <w:highlight w:val="none"/>
          <w:lang w:val="en-US" w:eastAsia="zh-CN" w:bidi="ar-SA"/>
        </w:rPr>
        <w:t>十一、比选申请人获全国级荣誉、省市级政府部门或行业协会荣誉，其他政府部门或行业协会荣誉。</w:t>
      </w:r>
    </w:p>
    <w:p w14:paraId="41A24CE0">
      <w:pPr>
        <w:keepNext/>
        <w:keepLines/>
        <w:widowControl w:val="0"/>
        <w:ind w:firstLine="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十二、最近三年内，比选申请人为国有企业/政府部门提供诉讼或非诉法律服务的证明材料及经验简介。</w:t>
      </w:r>
    </w:p>
    <w:p w14:paraId="51E70DF7">
      <w:pPr>
        <w:rPr>
          <w:rFonts w:ascii="仿宋_GB2312" w:hAnsi="仿宋_GB2312" w:eastAsia="仿宋_GB2312" w:cs="仿宋_GB2312"/>
          <w:b/>
          <w:bCs/>
          <w:color w:val="auto"/>
          <w:kern w:val="28"/>
          <w:sz w:val="30"/>
          <w:szCs w:val="30"/>
          <w:highlight w:val="none"/>
        </w:rPr>
      </w:pPr>
      <w:r>
        <w:rPr>
          <w:rFonts w:hint="eastAsia" w:ascii="仿宋_GB2312" w:hAnsi="仿宋_GB2312" w:eastAsia="仿宋_GB2312" w:cs="仿宋_GB2312"/>
          <w:b/>
          <w:bCs/>
          <w:color w:val="auto"/>
          <w:kern w:val="28"/>
          <w:sz w:val="30"/>
          <w:szCs w:val="30"/>
          <w:highlight w:val="none"/>
        </w:rPr>
        <w:br w:type="page"/>
      </w:r>
    </w:p>
    <w:p w14:paraId="4E3F0AB4">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十三、服务团队为国企提供企业/政府部门提供诉讼或非诉法律服务标的金额1000万（含1000万）以上的证明材料及经验简介。</w:t>
      </w:r>
    </w:p>
    <w:p w14:paraId="3C0837F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99EE318">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D299E62">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82F8F1B">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10054C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0DA637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162AB66">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06AB19EC">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E1FC957">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1162BBE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4583DEC9">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3B80B6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37CC6135">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2795FF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C466CB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13610492">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A98FEBD">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28A0372A">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BD90541">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76D3BCA4">
      <w:pPr>
        <w:keepNext/>
        <w:keepLines/>
        <w:widowControl w:val="0"/>
        <w:numPr>
          <w:ilvl w:val="0"/>
          <w:numId w:val="0"/>
        </w:numPr>
        <w:ind w:firstLine="0" w:firstLineChars="0"/>
        <w:jc w:val="both"/>
        <w:outlineLvl w:val="3"/>
        <w:rPr>
          <w:rFonts w:hint="eastAsia" w:ascii="仿宋_GB2312" w:hAnsi="仿宋_GB2312" w:eastAsia="仿宋_GB2312" w:cs="仿宋_GB2312"/>
          <w:b/>
          <w:bCs/>
          <w:color w:val="auto"/>
          <w:kern w:val="28"/>
          <w:sz w:val="30"/>
          <w:szCs w:val="30"/>
          <w:highlight w:val="none"/>
          <w:lang w:val="en-US" w:eastAsia="zh-CN" w:bidi="ar-SA"/>
        </w:rPr>
      </w:pPr>
    </w:p>
    <w:p w14:paraId="53763C1D">
      <w:pPr>
        <w:keepNext/>
        <w:keepLines/>
        <w:widowControl w:val="0"/>
        <w:numPr>
          <w:ilvl w:val="0"/>
          <w:numId w:val="0"/>
        </w:numPr>
        <w:ind w:firstLine="0" w:firstLineChars="0"/>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十四、年度财务审计报告</w:t>
      </w:r>
    </w:p>
    <w:p w14:paraId="7438292F">
      <w:pPr>
        <w:rPr>
          <w:rFonts w:hint="eastAsia" w:ascii="华文仿宋" w:hAnsi="华文仿宋" w:eastAsia="华文仿宋"/>
          <w:color w:val="auto"/>
          <w:sz w:val="28"/>
          <w:highlight w:val="none"/>
        </w:rPr>
      </w:pPr>
      <w:r>
        <w:rPr>
          <w:rFonts w:hint="eastAsia" w:ascii="仿宋_GB2312" w:hAnsi="仿宋_GB2312" w:eastAsia="仿宋_GB2312" w:cs="仿宋_GB2312"/>
          <w:b/>
          <w:bCs/>
          <w:color w:val="auto"/>
          <w:kern w:val="28"/>
          <w:sz w:val="30"/>
          <w:szCs w:val="30"/>
          <w:highlight w:val="none"/>
        </w:rPr>
        <w:br w:type="page"/>
      </w:r>
      <w:bookmarkStart w:id="375" w:name="_Toc8050"/>
      <w:bookmarkStart w:id="376" w:name="_Toc19007"/>
      <w:bookmarkStart w:id="377" w:name="_Toc5469"/>
      <w:bookmarkStart w:id="378" w:name="_Toc7311"/>
      <w:bookmarkStart w:id="379" w:name="_Toc29181"/>
      <w:bookmarkStart w:id="380" w:name="_Toc5371"/>
      <w:bookmarkStart w:id="381" w:name="_Toc29701"/>
      <w:bookmarkStart w:id="382" w:name="_Toc23378"/>
    </w:p>
    <w:p w14:paraId="028B7578">
      <w:pPr>
        <w:keepNext/>
        <w:keepLines/>
        <w:widowControl w:val="0"/>
        <w:numPr>
          <w:ilvl w:val="255"/>
          <w:numId w:val="0"/>
        </w:numPr>
        <w:jc w:val="both"/>
        <w:outlineLvl w:val="3"/>
        <w:rPr>
          <w:rFonts w:ascii="仿宋_GB2312" w:hAnsi="仿宋_GB2312" w:eastAsia="仿宋_GB2312" w:cs="仿宋_GB2312"/>
          <w:b/>
          <w:bCs/>
          <w:color w:val="auto"/>
          <w:kern w:val="28"/>
          <w:sz w:val="30"/>
          <w:szCs w:val="30"/>
          <w:highlight w:val="none"/>
          <w:lang w:val="en-US" w:eastAsia="zh-CN" w:bidi="ar-SA"/>
        </w:rPr>
      </w:pPr>
      <w:r>
        <w:rPr>
          <w:rFonts w:hint="eastAsia" w:ascii="仿宋_GB2312" w:hAnsi="仿宋_GB2312" w:eastAsia="仿宋_GB2312" w:cs="仿宋_GB2312"/>
          <w:b/>
          <w:bCs/>
          <w:color w:val="auto"/>
          <w:kern w:val="28"/>
          <w:sz w:val="30"/>
          <w:szCs w:val="30"/>
          <w:highlight w:val="none"/>
          <w:lang w:val="en-US" w:eastAsia="zh-CN" w:bidi="ar-SA"/>
        </w:rPr>
        <w:t>十五、比选申请人认为需附的</w:t>
      </w:r>
      <w:r>
        <w:rPr>
          <w:rFonts w:ascii="仿宋_GB2312" w:hAnsi="仿宋_GB2312" w:eastAsia="仿宋_GB2312" w:cs="仿宋_GB2312"/>
          <w:b/>
          <w:bCs/>
          <w:color w:val="auto"/>
          <w:kern w:val="28"/>
          <w:sz w:val="30"/>
          <w:szCs w:val="30"/>
          <w:highlight w:val="none"/>
          <w:lang w:val="en-US" w:eastAsia="zh-CN" w:bidi="ar-SA"/>
        </w:rPr>
        <w:t>其他资料（如有）</w:t>
      </w:r>
    </w:p>
    <w:p w14:paraId="388E1CF4">
      <w:pPr>
        <w:rPr>
          <w:rFonts w:ascii="仿宋_GB2312" w:hAnsi="仿宋_GB2312" w:eastAsia="仿宋_GB2312" w:cs="仿宋_GB2312"/>
          <w:bCs/>
          <w:color w:val="auto"/>
          <w:sz w:val="24"/>
          <w:highlight w:val="none"/>
        </w:rPr>
      </w:pPr>
      <w:r>
        <w:rPr>
          <w:rFonts w:ascii="仿宋_GB2312" w:hAnsi="仿宋_GB2312" w:eastAsia="仿宋_GB2312" w:cs="仿宋_GB2312"/>
          <w:bCs/>
          <w:color w:val="auto"/>
          <w:sz w:val="24"/>
          <w:highlight w:val="none"/>
        </w:rPr>
        <w:br w:type="page"/>
      </w:r>
    </w:p>
    <w:p w14:paraId="660CED5A">
      <w:pPr>
        <w:spacing w:after="156" w:afterLines="50" w:line="460" w:lineRule="exact"/>
        <w:ind w:firstLine="643" w:firstLineChars="200"/>
        <w:jc w:val="center"/>
        <w:outlineLvl w:val="0"/>
        <w:rPr>
          <w:rFonts w:ascii="仿宋_GB2312" w:hAnsi="仿宋_GB2312" w:eastAsia="仿宋_GB2312" w:cs="仿宋_GB2312"/>
          <w:color w:val="auto"/>
          <w:sz w:val="32"/>
          <w:szCs w:val="32"/>
          <w:highlight w:val="none"/>
        </w:rPr>
      </w:pPr>
      <w:bookmarkStart w:id="383" w:name="_Toc939"/>
      <w:bookmarkStart w:id="384" w:name="_Toc31984"/>
      <w:r>
        <w:rPr>
          <w:rFonts w:hint="eastAsia" w:ascii="仿宋_GB2312" w:hAnsi="仿宋_GB2312" w:eastAsia="仿宋_GB2312" w:cs="仿宋_GB2312"/>
          <w:b/>
          <w:bCs/>
          <w:color w:val="auto"/>
          <w:sz w:val="32"/>
          <w:szCs w:val="32"/>
          <w:highlight w:val="none"/>
        </w:rPr>
        <w:t>第五章 项目需求及服务、团队等相关要求</w:t>
      </w:r>
      <w:bookmarkEnd w:id="375"/>
      <w:bookmarkEnd w:id="376"/>
      <w:bookmarkEnd w:id="377"/>
      <w:bookmarkEnd w:id="378"/>
      <w:bookmarkEnd w:id="379"/>
      <w:bookmarkEnd w:id="380"/>
      <w:bookmarkEnd w:id="381"/>
      <w:bookmarkEnd w:id="382"/>
      <w:bookmarkEnd w:id="383"/>
      <w:bookmarkEnd w:id="384"/>
    </w:p>
    <w:p w14:paraId="108B71FE">
      <w:pPr>
        <w:spacing w:line="460" w:lineRule="exact"/>
        <w:ind w:firstLine="480" w:firstLineChars="200"/>
        <w:jc w:val="left"/>
        <w:outlineLvl w:val="1"/>
        <w:rPr>
          <w:rFonts w:ascii="仿宋_GB2312" w:hAnsi="仿宋_GB2312" w:eastAsia="仿宋_GB2312" w:cs="仿宋_GB2312"/>
          <w:color w:val="auto"/>
          <w:sz w:val="24"/>
          <w:highlight w:val="none"/>
        </w:rPr>
      </w:pPr>
      <w:bookmarkStart w:id="385" w:name="_Toc2263"/>
      <w:bookmarkStart w:id="386" w:name="_Toc27403"/>
      <w:bookmarkStart w:id="387" w:name="_Toc4032"/>
      <w:r>
        <w:rPr>
          <w:rFonts w:hint="eastAsia" w:ascii="仿宋_GB2312" w:hAnsi="仿宋_GB2312" w:eastAsia="仿宋_GB2312" w:cs="仿宋_GB2312"/>
          <w:color w:val="auto"/>
          <w:sz w:val="24"/>
          <w:highlight w:val="none"/>
        </w:rPr>
        <w:t>一、项目需求</w:t>
      </w:r>
      <w:bookmarkEnd w:id="385"/>
      <w:bookmarkEnd w:id="386"/>
      <w:bookmarkEnd w:id="387"/>
    </w:p>
    <w:p w14:paraId="1DA865F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比选人为维护公司合法权益，</w:t>
      </w:r>
      <w:r>
        <w:rPr>
          <w:rFonts w:hint="eastAsia" w:ascii="仿宋_GB2312" w:hAnsi="仿宋_GB2312" w:eastAsia="仿宋_GB2312" w:cs="仿宋_GB2312"/>
          <w:color w:val="auto"/>
          <w:sz w:val="24"/>
          <w:highlight w:val="none"/>
          <w:lang w:val="en-US" w:eastAsia="zh-CN"/>
        </w:rPr>
        <w:t>保障公司资金安全，</w:t>
      </w:r>
      <w:r>
        <w:rPr>
          <w:rFonts w:hint="eastAsia" w:ascii="仿宋_GB2312" w:hAnsi="仿宋_GB2312" w:eastAsia="仿宋_GB2312" w:cs="仿宋_GB2312"/>
          <w:color w:val="auto"/>
          <w:sz w:val="24"/>
          <w:highlight w:val="none"/>
        </w:rPr>
        <w:t>为公司正常运营和发展保驾护航，引入法律支撑服务合作单位。</w:t>
      </w:r>
    </w:p>
    <w:p w14:paraId="15486778">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88" w:name="_Toc15152"/>
      <w:bookmarkStart w:id="389" w:name="_Toc10913"/>
      <w:bookmarkStart w:id="390" w:name="_Toc2266"/>
      <w:r>
        <w:rPr>
          <w:rFonts w:hint="eastAsia" w:ascii="仿宋_GB2312" w:hAnsi="仿宋_GB2312" w:eastAsia="仿宋_GB2312" w:cs="仿宋_GB2312"/>
          <w:color w:val="auto"/>
          <w:sz w:val="24"/>
          <w:highlight w:val="none"/>
        </w:rPr>
        <w:t>二、服务要求</w:t>
      </w:r>
      <w:bookmarkEnd w:id="388"/>
      <w:bookmarkEnd w:id="389"/>
      <w:bookmarkEnd w:id="390"/>
    </w:p>
    <w:p w14:paraId="29CAFDDC">
      <w:pPr>
        <w:keepNext w:val="0"/>
        <w:keepLines w:val="0"/>
        <w:pageBreakBefore w:val="0"/>
        <w:widowControl w:val="0"/>
        <w:numPr>
          <w:ilvl w:val="255"/>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仿宋_GB2312" w:hAnsi="仿宋_GB2312" w:eastAsia="仿宋_GB2312" w:cs="仿宋_GB2312"/>
          <w:color w:val="auto"/>
          <w:sz w:val="24"/>
          <w:highlight w:val="none"/>
          <w:lang w:val="en-US" w:eastAsia="zh-CN"/>
        </w:rPr>
      </w:pPr>
      <w:bookmarkStart w:id="391" w:name="_Toc18086"/>
      <w:bookmarkStart w:id="392" w:name="_Toc12665"/>
      <w:bookmarkStart w:id="393" w:name="_Toc23471"/>
      <w:r>
        <w:rPr>
          <w:rFonts w:hint="eastAsia" w:ascii="仿宋_GB2312" w:hAnsi="仿宋_GB2312" w:eastAsia="仿宋_GB2312" w:cs="仿宋_GB2312"/>
          <w:color w:val="auto"/>
          <w:sz w:val="24"/>
          <w:highlight w:val="none"/>
          <w:lang w:val="en-US" w:eastAsia="zh-CN"/>
        </w:rPr>
        <w:t>比选人</w:t>
      </w:r>
      <w:r>
        <w:rPr>
          <w:rFonts w:hint="eastAsia" w:ascii="仿宋_GB2312" w:hAnsi="仿宋_GB2312" w:eastAsia="仿宋_GB2312" w:cs="仿宋_GB2312"/>
          <w:color w:val="auto"/>
          <w:sz w:val="24"/>
          <w:highlight w:val="none"/>
        </w:rPr>
        <w:t>委托的范围内</w:t>
      </w:r>
      <w:r>
        <w:rPr>
          <w:rFonts w:hint="eastAsia" w:ascii="仿宋_GB2312" w:hAnsi="仿宋_GB2312" w:eastAsia="仿宋_GB2312" w:cs="仿宋_GB2312"/>
          <w:color w:val="auto"/>
          <w:sz w:val="24"/>
          <w:highlight w:val="none"/>
          <w:lang w:val="en-US" w:eastAsia="zh-CN"/>
        </w:rPr>
        <w:t>开展法律诉讼及后续款项回收工作相关</w:t>
      </w:r>
      <w:r>
        <w:rPr>
          <w:rFonts w:hint="eastAsia" w:ascii="仿宋_GB2312" w:hAnsi="仿宋_GB2312" w:eastAsia="仿宋_GB2312" w:cs="仿宋_GB2312"/>
          <w:color w:val="auto"/>
          <w:sz w:val="24"/>
          <w:highlight w:val="none"/>
        </w:rPr>
        <w:t>事宜。主要内容为</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lang w:val="en-US" w:eastAsia="zh-CN"/>
        </w:rPr>
        <w:t>通过诉讼一审、二审（若有）、再审（若有）、执行（若有）回收欠款本金及违约金、逾期付款利息等服务内容，必要时需参加比选人及比选人集团要求的关于案件的会议。案件所产生的律师差旅费由比选人申请人自行承担。</w:t>
      </w:r>
    </w:p>
    <w:p w14:paraId="48390EB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三、团队要求</w:t>
      </w:r>
      <w:bookmarkEnd w:id="391"/>
      <w:bookmarkEnd w:id="392"/>
      <w:bookmarkEnd w:id="393"/>
    </w:p>
    <w:p w14:paraId="33AB0810">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1.遵守国家</w:t>
      </w:r>
      <w:r>
        <w:rPr>
          <w:rFonts w:hint="eastAsia" w:ascii="仿宋_GB2312" w:hAnsi="仿宋_GB2312" w:eastAsia="仿宋_GB2312" w:cs="仿宋_GB2312"/>
          <w:color w:val="auto"/>
          <w:sz w:val="24"/>
          <w:highlight w:val="none"/>
          <w:lang w:eastAsia="zh-CN"/>
        </w:rPr>
        <w:t>法律法规</w:t>
      </w:r>
      <w:r>
        <w:rPr>
          <w:rFonts w:hint="eastAsia" w:ascii="仿宋_GB2312" w:hAnsi="仿宋_GB2312" w:eastAsia="仿宋_GB2312" w:cs="仿宋_GB2312"/>
          <w:color w:val="auto"/>
          <w:sz w:val="24"/>
          <w:highlight w:val="none"/>
        </w:rPr>
        <w:t>、政策，恪守律师职业道德和执业纪律。</w:t>
      </w:r>
    </w:p>
    <w:p w14:paraId="451EABDF">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2.忠于职守，依法维护比选人的合法权益。</w:t>
      </w:r>
    </w:p>
    <w:p w14:paraId="0179AF4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3.尽职尽责，提供全方位的优质高效法律服务。</w:t>
      </w:r>
    </w:p>
    <w:p w14:paraId="54022D2B">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4.对提出的法律意见、起草的法律文书以及办理的其他法律事务的合法性和有效性负责。</w:t>
      </w:r>
    </w:p>
    <w:p w14:paraId="0EB632BC">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四、服务标准及要求</w:t>
      </w:r>
    </w:p>
    <w:p w14:paraId="5417147B">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bookmarkStart w:id="394" w:name="_Hlk129770241"/>
      <w:r>
        <w:rPr>
          <w:rFonts w:hint="eastAsia" w:ascii="仿宋_GB2312" w:hAnsi="仿宋_GB2312" w:eastAsia="仿宋_GB2312" w:cs="仿宋_GB2312"/>
          <w:color w:val="auto"/>
          <w:kern w:val="2"/>
          <w:sz w:val="24"/>
          <w:szCs w:val="24"/>
          <w:highlight w:val="none"/>
          <w:lang w:val="en-US" w:eastAsia="zh-CN" w:bidi="ar-SA"/>
        </w:rPr>
        <w:t>1、指派的律师服务团队在提供服务过程中应当及时向比选人、相关部门和单位调取案件所必需的证据；</w:t>
      </w:r>
    </w:p>
    <w:p w14:paraId="766C603D">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2、指派的律师团队在提供服务过程中需制定相应的诉讼策略和诉讼方案，如：诉讼代理方案中案件概况、代理思路、案件重点、难点、风险点、应诉策略、进度安排、组织措施等；</w:t>
      </w:r>
    </w:p>
    <w:p w14:paraId="3480DDE8">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3、指派的律师团队在代为诉讼的同时应比选人的要求需协助比选人妥善处理与诉讼相关纠纷；</w:t>
      </w:r>
    </w:p>
    <w:p w14:paraId="6A324936">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4、指派的律师团队应当以其依据法律作出的专业判断，向比选人进行法律风险提示，尽最大努力维护比选人的合法利益；</w:t>
      </w:r>
    </w:p>
    <w:p w14:paraId="65CD89E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5、代理期间，将拟定的包括但不限于代理方案、证据目录、质证意见、代理意见等交比选人审阅。</w:t>
      </w:r>
    </w:p>
    <w:p w14:paraId="0FF881E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6、中选人应当根据审判机关的要求，及时提交证据，按时参加审理活动并应及时向比选人通报案件进展情况。</w:t>
      </w:r>
    </w:p>
    <w:p w14:paraId="0D8F7EBB">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7、指派的律师团队对委托办理的案件应当独立建档，并保存完整的工作记录，对涉及比选人的原始证据、法律文件和财物应当妥善保管；</w:t>
      </w:r>
    </w:p>
    <w:bookmarkEnd w:id="394"/>
    <w:p w14:paraId="21510F3F">
      <w:pPr>
        <w:pStyle w:val="2"/>
        <w:keepNext w:val="0"/>
        <w:keepLines w:val="0"/>
        <w:pageBreakBefore w:val="0"/>
        <w:widowControl w:val="0"/>
        <w:kinsoku/>
        <w:wordWrap/>
        <w:overflowPunct/>
        <w:topLinePunct w:val="0"/>
        <w:autoSpaceDE/>
        <w:autoSpaceDN/>
        <w:bidi w:val="0"/>
        <w:adjustRightInd/>
        <w:snapToGrid/>
        <w:spacing w:after="0" w:line="560" w:lineRule="exact"/>
        <w:ind w:firstLine="480" w:firstLineChars="200"/>
        <w:jc w:val="left"/>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8、指派的律师团队应当保守其在接受比选人委托代理案件过程中知悉的国家秘密、商业秘密、个人隐私，以及比选人明确表示不能对外公开的信息。</w:t>
      </w:r>
    </w:p>
    <w:p w14:paraId="2EB0CABA">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outlineLvl w:val="1"/>
        <w:rPr>
          <w:rFonts w:ascii="仿宋_GB2312" w:hAnsi="仿宋_GB2312" w:eastAsia="仿宋_GB2312" w:cs="仿宋_GB2312"/>
          <w:color w:val="auto"/>
          <w:sz w:val="24"/>
          <w:highlight w:val="none"/>
        </w:rPr>
      </w:pPr>
      <w:bookmarkStart w:id="395" w:name="_Toc31114"/>
      <w:bookmarkStart w:id="396" w:name="_Toc492"/>
      <w:bookmarkStart w:id="397" w:name="_Toc30152"/>
      <w:r>
        <w:rPr>
          <w:rFonts w:hint="eastAsia" w:ascii="仿宋_GB2312" w:hAnsi="仿宋_GB2312" w:eastAsia="仿宋_GB2312" w:cs="仿宋_GB2312"/>
          <w:color w:val="auto"/>
          <w:sz w:val="24"/>
          <w:highlight w:val="none"/>
          <w:lang w:val="en-US" w:eastAsia="zh-CN"/>
        </w:rPr>
        <w:t>五</w:t>
      </w:r>
      <w:r>
        <w:rPr>
          <w:rFonts w:hint="eastAsia" w:ascii="仿宋_GB2312" w:hAnsi="仿宋_GB2312" w:eastAsia="仿宋_GB2312" w:cs="仿宋_GB2312"/>
          <w:color w:val="auto"/>
          <w:sz w:val="24"/>
          <w:highlight w:val="none"/>
        </w:rPr>
        <w:t>、其他要求</w:t>
      </w:r>
      <w:bookmarkEnd w:id="395"/>
      <w:bookmarkEnd w:id="396"/>
      <w:bookmarkEnd w:id="397"/>
    </w:p>
    <w:p w14:paraId="5C66CF03">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法律顾问律师有如下行为的，比选人可依法解除法律服务协议，并要求赔偿损失：</w:t>
      </w:r>
    </w:p>
    <w:p w14:paraId="51FFAF76">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1.在法律服务协议有效期内担任同业竞争关系企业的法律顾问，或者受理有同业竞争关系企业的法律事务；</w:t>
      </w:r>
    </w:p>
    <w:p w14:paraId="410E4474">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2.在诉讼或者仲裁活动中担任对方当事人（含外聘法律顾问受聘的其他企业或者个人）的代理人；</w:t>
      </w:r>
    </w:p>
    <w:p w14:paraId="7F1119D9">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3.其他损害比选人合法权益的行为。</w:t>
      </w:r>
      <w:bookmarkStart w:id="398" w:name="_Toc26177"/>
      <w:bookmarkStart w:id="399" w:name="_Toc17709"/>
      <w:bookmarkStart w:id="400" w:name="_Toc25574"/>
      <w:bookmarkStart w:id="401" w:name="_Toc26915"/>
      <w:bookmarkStart w:id="402" w:name="_Toc5592"/>
      <w:bookmarkStart w:id="403" w:name="_Toc5556"/>
      <w:bookmarkStart w:id="404" w:name="_Toc3519"/>
      <w:bookmarkStart w:id="405" w:name="_Toc12823"/>
      <w:bookmarkStart w:id="406" w:name="_Toc27729"/>
      <w:bookmarkStart w:id="407" w:name="_Toc30236"/>
      <w:bookmarkStart w:id="408" w:name="_Toc25653"/>
      <w:bookmarkStart w:id="409" w:name="_Toc13978"/>
    </w:p>
    <w:p w14:paraId="3417150F">
      <w:pPr>
        <w:pStyle w:val="3"/>
        <w:rPr>
          <w:rFonts w:hint="eastAsia" w:ascii="仿宋_GB2312" w:hAnsi="仿宋_GB2312" w:eastAsia="仿宋_GB2312" w:cs="仿宋_GB2312"/>
          <w:color w:val="auto"/>
          <w:sz w:val="24"/>
          <w:highlight w:val="none"/>
        </w:rPr>
      </w:pPr>
    </w:p>
    <w:p w14:paraId="28391425">
      <w:pPr>
        <w:rPr>
          <w:rFonts w:hint="eastAsia" w:ascii="仿宋_GB2312" w:hAnsi="仿宋_GB2312" w:eastAsia="仿宋_GB2312" w:cs="仿宋_GB2312"/>
          <w:color w:val="auto"/>
          <w:sz w:val="24"/>
          <w:highlight w:val="none"/>
        </w:rPr>
      </w:pPr>
    </w:p>
    <w:p w14:paraId="0CA01361">
      <w:pPr>
        <w:pStyle w:val="3"/>
        <w:rPr>
          <w:rFonts w:hint="eastAsia" w:ascii="仿宋_GB2312" w:hAnsi="仿宋_GB2312" w:eastAsia="仿宋_GB2312" w:cs="仿宋_GB2312"/>
          <w:color w:val="auto"/>
          <w:sz w:val="24"/>
          <w:highlight w:val="none"/>
        </w:rPr>
      </w:pPr>
    </w:p>
    <w:p w14:paraId="6B291165">
      <w:pPr>
        <w:rPr>
          <w:rFonts w:hint="eastAsia" w:ascii="仿宋_GB2312" w:hAnsi="仿宋_GB2312" w:eastAsia="仿宋_GB2312" w:cs="仿宋_GB2312"/>
          <w:color w:val="auto"/>
          <w:sz w:val="24"/>
          <w:highlight w:val="none"/>
        </w:rPr>
      </w:pPr>
    </w:p>
    <w:p w14:paraId="14CDE009">
      <w:pPr>
        <w:pStyle w:val="2"/>
        <w:rPr>
          <w:rFonts w:hint="eastAsia" w:ascii="仿宋_GB2312" w:hAnsi="仿宋_GB2312" w:eastAsia="仿宋_GB2312" w:cs="仿宋_GB2312"/>
          <w:color w:val="auto"/>
          <w:sz w:val="24"/>
          <w:highlight w:val="none"/>
        </w:rPr>
      </w:pPr>
    </w:p>
    <w:p w14:paraId="4942F257">
      <w:pPr>
        <w:pStyle w:val="2"/>
        <w:rPr>
          <w:rFonts w:hint="eastAsia" w:ascii="仿宋_GB2312" w:hAnsi="仿宋_GB2312" w:eastAsia="仿宋_GB2312" w:cs="仿宋_GB2312"/>
          <w:color w:val="auto"/>
          <w:sz w:val="24"/>
          <w:highlight w:val="none"/>
        </w:rPr>
      </w:pPr>
    </w:p>
    <w:p w14:paraId="318CDE75">
      <w:pPr>
        <w:pStyle w:val="2"/>
        <w:rPr>
          <w:rFonts w:hint="eastAsia" w:ascii="仿宋_GB2312" w:hAnsi="仿宋_GB2312" w:eastAsia="仿宋_GB2312" w:cs="仿宋_GB2312"/>
          <w:color w:val="auto"/>
          <w:sz w:val="24"/>
          <w:highlight w:val="none"/>
        </w:rPr>
      </w:pPr>
    </w:p>
    <w:p w14:paraId="6DD1CF9C">
      <w:pPr>
        <w:pStyle w:val="2"/>
        <w:rPr>
          <w:rFonts w:hint="eastAsia" w:ascii="仿宋_GB2312" w:hAnsi="仿宋_GB2312" w:eastAsia="仿宋_GB2312" w:cs="仿宋_GB2312"/>
          <w:color w:val="auto"/>
          <w:sz w:val="24"/>
          <w:highlight w:val="none"/>
        </w:rPr>
      </w:pPr>
    </w:p>
    <w:p w14:paraId="6E2904C5">
      <w:pPr>
        <w:pStyle w:val="2"/>
        <w:rPr>
          <w:rFonts w:hint="eastAsia" w:ascii="仿宋_GB2312" w:hAnsi="仿宋_GB2312" w:eastAsia="仿宋_GB2312" w:cs="仿宋_GB2312"/>
          <w:color w:val="auto"/>
          <w:sz w:val="24"/>
          <w:highlight w:val="none"/>
        </w:rPr>
      </w:pPr>
    </w:p>
    <w:p w14:paraId="0A8F9E43">
      <w:pPr>
        <w:adjustRightInd w:val="0"/>
        <w:spacing w:after="156" w:afterLines="50" w:line="460" w:lineRule="exact"/>
        <w:jc w:val="both"/>
        <w:outlineLvl w:val="0"/>
        <w:rPr>
          <w:rFonts w:hint="eastAsia" w:ascii="仿宋_GB2312" w:hAnsi="仿宋_GB2312" w:eastAsia="仿宋_GB2312" w:cs="仿宋_GB2312"/>
          <w:b/>
          <w:bCs/>
          <w:color w:val="auto"/>
          <w:kern w:val="44"/>
          <w:sz w:val="32"/>
          <w:szCs w:val="32"/>
          <w:highlight w:val="none"/>
        </w:rPr>
      </w:pPr>
    </w:p>
    <w:p w14:paraId="2E283A00">
      <w:pPr>
        <w:adjustRightInd w:val="0"/>
        <w:spacing w:after="156" w:afterLines="50" w:line="460" w:lineRule="exact"/>
        <w:jc w:val="center"/>
        <w:outlineLvl w:val="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kern w:val="44"/>
          <w:sz w:val="32"/>
          <w:szCs w:val="32"/>
          <w:highlight w:val="none"/>
        </w:rPr>
        <w:t xml:space="preserve">第六章  </w:t>
      </w:r>
      <w:bookmarkEnd w:id="398"/>
      <w:r>
        <w:rPr>
          <w:rFonts w:hint="eastAsia" w:ascii="仿宋_GB2312" w:hAnsi="仿宋_GB2312" w:eastAsia="仿宋_GB2312" w:cs="仿宋_GB2312"/>
          <w:b/>
          <w:bCs/>
          <w:color w:val="auto"/>
          <w:kern w:val="44"/>
          <w:sz w:val="32"/>
          <w:szCs w:val="32"/>
          <w:highlight w:val="none"/>
        </w:rPr>
        <w:t>评审</w:t>
      </w:r>
      <w:bookmarkEnd w:id="399"/>
      <w:bookmarkEnd w:id="400"/>
      <w:bookmarkEnd w:id="401"/>
      <w:bookmarkEnd w:id="402"/>
      <w:bookmarkEnd w:id="403"/>
      <w:bookmarkEnd w:id="404"/>
      <w:bookmarkEnd w:id="405"/>
      <w:bookmarkEnd w:id="406"/>
      <w:bookmarkEnd w:id="407"/>
      <w:bookmarkEnd w:id="408"/>
      <w:bookmarkEnd w:id="409"/>
      <w:r>
        <w:rPr>
          <w:rFonts w:hint="eastAsia" w:ascii="仿宋_GB2312" w:hAnsi="仿宋_GB2312" w:eastAsia="仿宋_GB2312" w:cs="仿宋_GB2312"/>
          <w:b/>
          <w:bCs/>
          <w:color w:val="auto"/>
          <w:kern w:val="44"/>
          <w:sz w:val="32"/>
          <w:szCs w:val="32"/>
          <w:highlight w:val="none"/>
          <w:lang w:val="en-US" w:eastAsia="zh-CN"/>
        </w:rPr>
        <w:t>方法</w:t>
      </w:r>
    </w:p>
    <w:p w14:paraId="29140BE2">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一、评审委员会</w:t>
      </w:r>
    </w:p>
    <w:p w14:paraId="695E48D9">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1.评审工作由比选人相关成员组建的评审委员会负责。</w:t>
      </w:r>
    </w:p>
    <w:p w14:paraId="444CFBE1">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2.与本次比选申请人存在经济利益或亲属关系的成员应当自行回避。</w:t>
      </w:r>
    </w:p>
    <w:p w14:paraId="14A2E92F">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r>
        <w:rPr>
          <w:rFonts w:hint="eastAsia" w:ascii="仿宋_GB2312" w:hAnsi="仿宋_GB2312" w:eastAsia="仿宋_GB2312" w:cs="仿宋_GB2312"/>
          <w:b/>
          <w:color w:val="auto"/>
          <w:kern w:val="0"/>
          <w:sz w:val="24"/>
          <w:highlight w:val="none"/>
          <w:lang w:val="zh-CN"/>
        </w:rPr>
        <w:t>二、评审程序</w:t>
      </w:r>
    </w:p>
    <w:p w14:paraId="63BDAC84">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根据各比选申请人递交的比选申请书按照以下程序进行评审工作：</w:t>
      </w:r>
    </w:p>
    <w:p w14:paraId="18675222">
      <w:pPr>
        <w:autoSpaceDE w:val="0"/>
        <w:autoSpaceDN w:val="0"/>
        <w:spacing w:line="460" w:lineRule="exact"/>
        <w:ind w:firstLine="480" w:firstLineChars="200"/>
        <w:jc w:val="left"/>
        <w:rPr>
          <w:rFonts w:ascii="仿宋_GB2312" w:hAnsi="仿宋_GB2312" w:eastAsia="仿宋_GB2312" w:cs="仿宋_GB2312"/>
          <w:bCs/>
          <w:color w:val="auto"/>
          <w:kern w:val="0"/>
          <w:sz w:val="24"/>
          <w:highlight w:val="none"/>
          <w:lang w:val="zh-CN"/>
        </w:rPr>
      </w:pPr>
      <w:r>
        <w:rPr>
          <w:rFonts w:hint="eastAsia" w:ascii="仿宋_GB2312" w:hAnsi="仿宋_GB2312" w:eastAsia="仿宋_GB2312" w:cs="仿宋_GB2312"/>
          <w:bCs/>
          <w:color w:val="auto"/>
          <w:kern w:val="0"/>
          <w:sz w:val="24"/>
          <w:highlight w:val="none"/>
          <w:lang w:val="zh-CN"/>
        </w:rPr>
        <w:t>对比选申请文件进行初审（包括资格性审查和实质性审查，剔除无效比选申请书）；按照比选人制定的《评审标准》对通过初审的申请文件逐项打分；按照得分高低排序，评审委员会将推荐1-3名作为中选候选人。</w:t>
      </w:r>
    </w:p>
    <w:p w14:paraId="25B1F9EA">
      <w:pPr>
        <w:autoSpaceDE w:val="0"/>
        <w:autoSpaceDN w:val="0"/>
        <w:spacing w:line="460" w:lineRule="exact"/>
        <w:ind w:firstLine="482" w:firstLineChars="200"/>
        <w:jc w:val="left"/>
        <w:rPr>
          <w:rFonts w:ascii="仿宋_GB2312" w:hAnsi="仿宋_GB2312" w:eastAsia="仿宋_GB2312" w:cs="仿宋_GB2312"/>
          <w:b/>
          <w:color w:val="auto"/>
          <w:kern w:val="0"/>
          <w:sz w:val="24"/>
          <w:highlight w:val="none"/>
          <w:lang w:val="zh-CN"/>
        </w:rPr>
      </w:pPr>
      <w:bookmarkStart w:id="410" w:name="_Toc9298"/>
      <w:bookmarkStart w:id="411" w:name="_Toc6128"/>
      <w:bookmarkStart w:id="412" w:name="_Toc4845"/>
      <w:r>
        <w:rPr>
          <w:rFonts w:hint="eastAsia" w:ascii="仿宋_GB2312" w:hAnsi="仿宋_GB2312" w:eastAsia="仿宋_GB2312" w:cs="仿宋_GB2312"/>
          <w:b/>
          <w:color w:val="auto"/>
          <w:kern w:val="0"/>
          <w:sz w:val="24"/>
          <w:highlight w:val="none"/>
          <w:lang w:val="zh-CN"/>
        </w:rPr>
        <w:t>三、评审标准</w:t>
      </w:r>
      <w:bookmarkEnd w:id="410"/>
      <w:bookmarkEnd w:id="411"/>
      <w:bookmarkEnd w:id="412"/>
    </w:p>
    <w:p w14:paraId="610B8E46">
      <w:pPr>
        <w:spacing w:line="400" w:lineRule="exact"/>
        <w:ind w:firstLine="482" w:firstLineChars="200"/>
        <w:jc w:val="center"/>
        <w:rPr>
          <w:rFonts w:ascii="Times New Roman" w:hAnsi="Times New Roman" w:eastAsia="仿宋" w:cs="Times New Roman"/>
          <w:b/>
          <w:color w:val="auto"/>
          <w:kern w:val="0"/>
          <w:sz w:val="24"/>
          <w:highlight w:val="none"/>
        </w:rPr>
      </w:pPr>
      <w:bookmarkStart w:id="413" w:name="_Ref77046541"/>
      <w:r>
        <w:rPr>
          <w:rFonts w:ascii="Times New Roman" w:hAnsi="Times New Roman" w:eastAsia="仿宋" w:cs="Times New Roman"/>
          <w:b/>
          <w:color w:val="auto"/>
          <w:kern w:val="0"/>
          <w:sz w:val="24"/>
          <w:highlight w:val="none"/>
        </w:rPr>
        <w:t>资格评审表</w:t>
      </w:r>
    </w:p>
    <w:tbl>
      <w:tblPr>
        <w:tblStyle w:val="7"/>
        <w:tblW w:w="8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8"/>
        <w:gridCol w:w="2752"/>
        <w:gridCol w:w="3734"/>
      </w:tblGrid>
      <w:tr w14:paraId="050B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818" w:type="dxa"/>
            <w:vAlign w:val="center"/>
          </w:tcPr>
          <w:p w14:paraId="13E1A666">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评审项</w:t>
            </w:r>
          </w:p>
        </w:tc>
        <w:tc>
          <w:tcPr>
            <w:tcW w:w="2752" w:type="dxa"/>
            <w:vAlign w:val="center"/>
          </w:tcPr>
          <w:p w14:paraId="136560A0">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评审因素</w:t>
            </w:r>
          </w:p>
        </w:tc>
        <w:tc>
          <w:tcPr>
            <w:tcW w:w="3734" w:type="dxa"/>
            <w:vAlign w:val="center"/>
          </w:tcPr>
          <w:p w14:paraId="5068F953">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评审标准</w:t>
            </w:r>
          </w:p>
        </w:tc>
      </w:tr>
      <w:tr w14:paraId="331B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818" w:type="dxa"/>
            <w:vMerge w:val="restart"/>
            <w:vAlign w:val="center"/>
          </w:tcPr>
          <w:p w14:paraId="161A2F37">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形式评审标准</w:t>
            </w:r>
          </w:p>
        </w:tc>
        <w:tc>
          <w:tcPr>
            <w:tcW w:w="2752" w:type="dxa"/>
            <w:vAlign w:val="center"/>
          </w:tcPr>
          <w:p w14:paraId="0C4E5B86">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比选申请人名称</w:t>
            </w:r>
          </w:p>
        </w:tc>
        <w:tc>
          <w:tcPr>
            <w:tcW w:w="3734" w:type="dxa"/>
            <w:vAlign w:val="center"/>
          </w:tcPr>
          <w:p w14:paraId="081CAD0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与营业执照一致</w:t>
            </w:r>
          </w:p>
        </w:tc>
      </w:tr>
      <w:tr w14:paraId="7CCE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1818" w:type="dxa"/>
            <w:vMerge w:val="continue"/>
          </w:tcPr>
          <w:p w14:paraId="56D6DC5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600A0525">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签字、盖章</w:t>
            </w:r>
          </w:p>
        </w:tc>
        <w:tc>
          <w:tcPr>
            <w:tcW w:w="3734" w:type="dxa"/>
            <w:vAlign w:val="center"/>
          </w:tcPr>
          <w:p w14:paraId="14C2E4B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3FF2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818" w:type="dxa"/>
            <w:vMerge w:val="continue"/>
          </w:tcPr>
          <w:p w14:paraId="578D926F">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3F53C55B">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副本份数</w:t>
            </w:r>
          </w:p>
        </w:tc>
        <w:tc>
          <w:tcPr>
            <w:tcW w:w="3734" w:type="dxa"/>
            <w:vAlign w:val="center"/>
          </w:tcPr>
          <w:p w14:paraId="75F7C7A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符合第二章前附表第3项要求</w:t>
            </w:r>
          </w:p>
        </w:tc>
      </w:tr>
      <w:tr w14:paraId="27C0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jc w:val="center"/>
        </w:trPr>
        <w:tc>
          <w:tcPr>
            <w:tcW w:w="1818" w:type="dxa"/>
            <w:vMerge w:val="continue"/>
          </w:tcPr>
          <w:p w14:paraId="48C4662C">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772FE20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报价唯一</w:t>
            </w:r>
          </w:p>
        </w:tc>
        <w:tc>
          <w:tcPr>
            <w:tcW w:w="3734" w:type="dxa"/>
            <w:vAlign w:val="center"/>
          </w:tcPr>
          <w:p w14:paraId="2EDB4C50">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只能有一组有效报价</w:t>
            </w:r>
          </w:p>
        </w:tc>
      </w:tr>
      <w:tr w14:paraId="3FD31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 w:hRule="atLeast"/>
          <w:jc w:val="center"/>
        </w:trPr>
        <w:tc>
          <w:tcPr>
            <w:tcW w:w="1818" w:type="dxa"/>
            <w:vMerge w:val="continue"/>
          </w:tcPr>
          <w:p w14:paraId="510BC9F5">
            <w:pPr>
              <w:spacing w:line="400" w:lineRule="exact"/>
              <w:ind w:left="359" w:leftChars="171"/>
              <w:jc w:val="center"/>
              <w:rPr>
                <w:rFonts w:ascii="Times New Roman" w:hAnsi="Times New Roman" w:eastAsia="仿宋" w:cs="Times New Roman"/>
                <w:b/>
                <w:color w:val="auto"/>
                <w:sz w:val="22"/>
                <w:szCs w:val="22"/>
                <w:highlight w:val="none"/>
              </w:rPr>
            </w:pPr>
          </w:p>
        </w:tc>
        <w:tc>
          <w:tcPr>
            <w:tcW w:w="2752" w:type="dxa"/>
            <w:vAlign w:val="center"/>
          </w:tcPr>
          <w:p w14:paraId="3A4C2A93">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6569B4B">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7AEA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1818" w:type="dxa"/>
            <w:vMerge w:val="restart"/>
            <w:vAlign w:val="center"/>
          </w:tcPr>
          <w:p w14:paraId="6C403C42">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资格评审标准</w:t>
            </w:r>
          </w:p>
        </w:tc>
        <w:tc>
          <w:tcPr>
            <w:tcW w:w="2752" w:type="dxa"/>
            <w:vAlign w:val="center"/>
          </w:tcPr>
          <w:p w14:paraId="6AB7E506">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hint="eastAsia" w:ascii="Times New Roman" w:hAnsi="Times New Roman" w:eastAsia="仿宋" w:cs="Times New Roman"/>
                <w:color w:val="auto"/>
                <w:sz w:val="22"/>
                <w:szCs w:val="22"/>
                <w:highlight w:val="none"/>
                <w:lang w:val="en-US" w:eastAsia="zh-CN"/>
              </w:rPr>
              <w:t>律师事务所执业许可证</w:t>
            </w:r>
          </w:p>
        </w:tc>
        <w:tc>
          <w:tcPr>
            <w:tcW w:w="3734" w:type="dxa"/>
            <w:vAlign w:val="center"/>
          </w:tcPr>
          <w:p w14:paraId="6BB94FA3">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5C713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jc w:val="center"/>
        </w:trPr>
        <w:tc>
          <w:tcPr>
            <w:tcW w:w="1818" w:type="dxa"/>
            <w:vMerge w:val="continue"/>
            <w:vAlign w:val="center"/>
          </w:tcPr>
          <w:p w14:paraId="0BCCD43D">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2A5C5994">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信誉要求</w:t>
            </w:r>
          </w:p>
        </w:tc>
        <w:tc>
          <w:tcPr>
            <w:tcW w:w="3734" w:type="dxa"/>
            <w:vAlign w:val="center"/>
          </w:tcPr>
          <w:p w14:paraId="51F6220A">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03E1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818" w:type="dxa"/>
            <w:vMerge w:val="continue"/>
            <w:vAlign w:val="center"/>
          </w:tcPr>
          <w:p w14:paraId="4DA97E3A">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94010C3">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人员要求</w:t>
            </w:r>
          </w:p>
        </w:tc>
        <w:tc>
          <w:tcPr>
            <w:tcW w:w="3734" w:type="dxa"/>
            <w:vAlign w:val="center"/>
          </w:tcPr>
          <w:p w14:paraId="195668BA">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5555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818" w:type="dxa"/>
            <w:vMerge w:val="continue"/>
            <w:vAlign w:val="center"/>
          </w:tcPr>
          <w:p w14:paraId="6EDACE39">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10C439F9">
            <w:pPr>
              <w:spacing w:line="400" w:lineRule="exact"/>
              <w:ind w:left="1" w:leftChars="-10" w:hanging="22" w:hangingChars="10"/>
              <w:jc w:val="center"/>
              <w:rPr>
                <w:rFonts w:hint="default" w:ascii="Times New Roman" w:hAnsi="Times New Roman" w:eastAsia="仿宋" w:cs="Times New Roman"/>
                <w:color w:val="auto"/>
                <w:sz w:val="22"/>
                <w:szCs w:val="22"/>
                <w:highlight w:val="none"/>
                <w:lang w:val="en-US" w:eastAsia="zh-CN"/>
              </w:rPr>
            </w:pPr>
            <w:r>
              <w:rPr>
                <w:rFonts w:hint="eastAsia" w:ascii="Times New Roman" w:hAnsi="Times New Roman" w:eastAsia="仿宋" w:cs="Times New Roman"/>
                <w:color w:val="auto"/>
                <w:sz w:val="22"/>
                <w:szCs w:val="22"/>
                <w:highlight w:val="none"/>
                <w:lang w:val="en-US" w:eastAsia="zh-CN"/>
              </w:rPr>
              <w:t>财务要求</w:t>
            </w:r>
          </w:p>
        </w:tc>
        <w:tc>
          <w:tcPr>
            <w:tcW w:w="3734" w:type="dxa"/>
            <w:vAlign w:val="center"/>
          </w:tcPr>
          <w:p w14:paraId="06A6EF28">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5F2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818" w:type="dxa"/>
            <w:vMerge w:val="continue"/>
            <w:vAlign w:val="center"/>
          </w:tcPr>
          <w:p w14:paraId="668F2CCE">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33C99A20">
            <w:pPr>
              <w:spacing w:line="400" w:lineRule="exact"/>
              <w:ind w:left="1" w:leftChars="-10" w:hanging="22" w:hangingChars="10"/>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其他要求</w:t>
            </w:r>
          </w:p>
        </w:tc>
        <w:tc>
          <w:tcPr>
            <w:tcW w:w="3734" w:type="dxa"/>
            <w:vAlign w:val="center"/>
          </w:tcPr>
          <w:p w14:paraId="674EE2AF">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bCs/>
                <w:color w:val="auto"/>
                <w:sz w:val="22"/>
                <w:szCs w:val="22"/>
                <w:highlight w:val="none"/>
              </w:rPr>
              <w:t>符合第三章规定</w:t>
            </w:r>
          </w:p>
        </w:tc>
      </w:tr>
      <w:tr w14:paraId="7A77F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818" w:type="dxa"/>
            <w:vMerge w:val="continue"/>
            <w:vAlign w:val="center"/>
          </w:tcPr>
          <w:p w14:paraId="3CFF5360">
            <w:pPr>
              <w:spacing w:line="400" w:lineRule="exact"/>
              <w:ind w:left="359" w:leftChars="171"/>
              <w:rPr>
                <w:rFonts w:ascii="Times New Roman" w:hAnsi="Times New Roman" w:eastAsia="仿宋" w:cs="Times New Roman"/>
                <w:b/>
                <w:color w:val="auto"/>
                <w:sz w:val="22"/>
                <w:szCs w:val="22"/>
                <w:highlight w:val="none"/>
              </w:rPr>
            </w:pPr>
          </w:p>
        </w:tc>
        <w:tc>
          <w:tcPr>
            <w:tcW w:w="2752" w:type="dxa"/>
            <w:vAlign w:val="center"/>
          </w:tcPr>
          <w:p w14:paraId="792775F9">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6579E544">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r w14:paraId="2D35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818" w:type="dxa"/>
            <w:vMerge w:val="restart"/>
            <w:vAlign w:val="center"/>
          </w:tcPr>
          <w:p w14:paraId="31635F84">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响应性评审标准</w:t>
            </w:r>
          </w:p>
        </w:tc>
        <w:tc>
          <w:tcPr>
            <w:tcW w:w="2752" w:type="dxa"/>
            <w:vAlign w:val="center"/>
          </w:tcPr>
          <w:p w14:paraId="6675A567">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最高限价</w:t>
            </w:r>
          </w:p>
        </w:tc>
        <w:tc>
          <w:tcPr>
            <w:tcW w:w="3734" w:type="dxa"/>
            <w:vAlign w:val="center"/>
          </w:tcPr>
          <w:p w14:paraId="2910E893">
            <w:pPr>
              <w:spacing w:line="400" w:lineRule="exact"/>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符合第二章前附表要求</w:t>
            </w:r>
          </w:p>
        </w:tc>
      </w:tr>
      <w:tr w14:paraId="23A33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18" w:type="dxa"/>
            <w:vMerge w:val="continue"/>
          </w:tcPr>
          <w:p w14:paraId="356FC7A2">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53929613">
            <w:pPr>
              <w:spacing w:line="400" w:lineRule="exact"/>
              <w:jc w:val="center"/>
              <w:rPr>
                <w:rFonts w:ascii="Times New Roman" w:hAnsi="Times New Roman" w:eastAsia="仿宋" w:cs="Times New Roman"/>
                <w:color w:val="auto"/>
                <w:sz w:val="22"/>
                <w:szCs w:val="22"/>
                <w:highlight w:val="none"/>
              </w:rPr>
            </w:pPr>
            <w:r>
              <w:rPr>
                <w:rFonts w:ascii="Times New Roman" w:hAnsi="Times New Roman" w:eastAsia="仿宋" w:cs="Times New Roman"/>
                <w:color w:val="auto"/>
                <w:sz w:val="22"/>
                <w:szCs w:val="22"/>
                <w:highlight w:val="none"/>
              </w:rPr>
              <w:t>比选有效期</w:t>
            </w:r>
          </w:p>
        </w:tc>
        <w:tc>
          <w:tcPr>
            <w:tcW w:w="3734" w:type="dxa"/>
            <w:vAlign w:val="center"/>
          </w:tcPr>
          <w:p w14:paraId="7CDD9EB1">
            <w:pPr>
              <w:spacing w:line="400" w:lineRule="exact"/>
              <w:rPr>
                <w:rFonts w:ascii="Times New Roman" w:hAnsi="Times New Roman" w:eastAsia="仿宋" w:cs="Times New Roman"/>
                <w:bCs/>
                <w:color w:val="auto"/>
                <w:sz w:val="22"/>
                <w:szCs w:val="22"/>
                <w:highlight w:val="none"/>
              </w:rPr>
            </w:pPr>
            <w:r>
              <w:rPr>
                <w:rFonts w:ascii="Times New Roman" w:hAnsi="Times New Roman" w:eastAsia="仿宋" w:cs="Times New Roman"/>
                <w:color w:val="auto"/>
                <w:sz w:val="22"/>
                <w:szCs w:val="22"/>
                <w:highlight w:val="none"/>
              </w:rPr>
              <w:t>符合第二章第二节总则 第</w:t>
            </w:r>
            <w:r>
              <w:rPr>
                <w:rFonts w:hint="eastAsia" w:ascii="Times New Roman" w:hAnsi="Times New Roman" w:eastAsia="仿宋" w:cs="Times New Roman"/>
                <w:color w:val="auto"/>
                <w:sz w:val="22"/>
                <w:szCs w:val="22"/>
                <w:highlight w:val="none"/>
                <w:lang w:val="en-US" w:eastAsia="zh-CN"/>
              </w:rPr>
              <w:t>7</w:t>
            </w:r>
            <w:r>
              <w:rPr>
                <w:rFonts w:ascii="Times New Roman" w:hAnsi="Times New Roman" w:eastAsia="仿宋" w:cs="Times New Roman"/>
                <w:color w:val="auto"/>
                <w:sz w:val="22"/>
                <w:szCs w:val="22"/>
                <w:highlight w:val="none"/>
              </w:rPr>
              <w:t>项规定</w:t>
            </w:r>
          </w:p>
        </w:tc>
      </w:tr>
      <w:tr w14:paraId="039D8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818" w:type="dxa"/>
            <w:vMerge w:val="continue"/>
          </w:tcPr>
          <w:p w14:paraId="4AF11480">
            <w:pPr>
              <w:spacing w:line="400" w:lineRule="exact"/>
              <w:ind w:left="359" w:leftChars="171"/>
              <w:rPr>
                <w:rFonts w:ascii="Times New Roman" w:hAnsi="Times New Roman" w:eastAsia="仿宋" w:cs="Times New Roman"/>
                <w:color w:val="auto"/>
                <w:sz w:val="22"/>
                <w:szCs w:val="22"/>
                <w:highlight w:val="none"/>
              </w:rPr>
            </w:pPr>
          </w:p>
        </w:tc>
        <w:tc>
          <w:tcPr>
            <w:tcW w:w="2752" w:type="dxa"/>
            <w:vAlign w:val="center"/>
          </w:tcPr>
          <w:p w14:paraId="1FE43F3F">
            <w:pPr>
              <w:spacing w:line="400" w:lineRule="exact"/>
              <w:jc w:val="center"/>
              <w:rPr>
                <w:rFonts w:ascii="Times New Roman" w:hAnsi="Times New Roman" w:eastAsia="仿宋" w:cs="Times New Roman"/>
                <w:b/>
                <w:color w:val="auto"/>
                <w:sz w:val="22"/>
                <w:szCs w:val="22"/>
                <w:highlight w:val="none"/>
              </w:rPr>
            </w:pPr>
            <w:r>
              <w:rPr>
                <w:rFonts w:ascii="Times New Roman" w:hAnsi="Times New Roman" w:eastAsia="仿宋" w:cs="Times New Roman"/>
                <w:b/>
                <w:color w:val="auto"/>
                <w:sz w:val="22"/>
                <w:szCs w:val="22"/>
                <w:highlight w:val="none"/>
              </w:rPr>
              <w:t>结论</w:t>
            </w:r>
          </w:p>
        </w:tc>
        <w:tc>
          <w:tcPr>
            <w:tcW w:w="3734" w:type="dxa"/>
            <w:vAlign w:val="center"/>
          </w:tcPr>
          <w:p w14:paraId="4D8B43E9">
            <w:pPr>
              <w:spacing w:line="400" w:lineRule="exact"/>
              <w:ind w:firstLine="0"/>
              <w:rPr>
                <w:rFonts w:ascii="Times New Roman" w:hAnsi="Times New Roman" w:eastAsia="仿宋" w:cs="Times New Roman"/>
                <w:b/>
                <w:color w:val="auto"/>
                <w:kern w:val="2"/>
                <w:sz w:val="22"/>
                <w:szCs w:val="22"/>
                <w:highlight w:val="none"/>
                <w:lang w:val="en-US" w:eastAsia="zh-CN" w:bidi="ar-SA"/>
              </w:rPr>
            </w:pPr>
            <w:r>
              <w:rPr>
                <w:rFonts w:ascii="Times New Roman" w:hAnsi="Times New Roman" w:eastAsia="仿宋" w:cs="Times New Roman"/>
                <w:b/>
                <w:color w:val="auto"/>
                <w:kern w:val="2"/>
                <w:sz w:val="22"/>
                <w:szCs w:val="22"/>
                <w:highlight w:val="none"/>
                <w:lang w:val="en-US" w:eastAsia="zh-CN" w:bidi="ar-SA"/>
              </w:rPr>
              <w:t>“通过”或“不通过”</w:t>
            </w:r>
          </w:p>
        </w:tc>
      </w:tr>
    </w:tbl>
    <w:p w14:paraId="4A49FE1A">
      <w:pPr>
        <w:spacing w:line="400" w:lineRule="exact"/>
        <w:ind w:firstLine="482" w:firstLineChars="200"/>
        <w:jc w:val="center"/>
        <w:rPr>
          <w:rFonts w:ascii="Times New Roman" w:hAnsi="Times New Roman" w:eastAsia="仿宋" w:cs="Times New Roman"/>
          <w:b/>
          <w:color w:val="auto"/>
          <w:kern w:val="0"/>
          <w:sz w:val="24"/>
          <w:highlight w:val="none"/>
        </w:rPr>
      </w:pPr>
      <w:r>
        <w:rPr>
          <w:rFonts w:ascii="Times New Roman" w:hAnsi="Times New Roman" w:eastAsia="仿宋" w:cs="Times New Roman"/>
          <w:b/>
          <w:color w:val="auto"/>
          <w:kern w:val="0"/>
          <w:sz w:val="24"/>
          <w:highlight w:val="none"/>
        </w:rPr>
        <w:br w:type="page"/>
      </w:r>
    </w:p>
    <w:bookmarkEnd w:id="413"/>
    <w:p w14:paraId="6AE2110C">
      <w:pPr>
        <w:jc w:val="center"/>
        <w:rPr>
          <w:rFonts w:hint="eastAsia" w:ascii="楷体" w:hAnsi="楷体" w:eastAsia="楷体" w:cs="楷体"/>
          <w:color w:val="000000" w:themeColor="text1"/>
          <w:sz w:val="21"/>
          <w:szCs w:val="21"/>
          <w:lang w:val="en-US" w:eastAsia="zh-CN"/>
          <w14:textFill>
            <w14:solidFill>
              <w14:schemeClr w14:val="tx1"/>
            </w14:solidFill>
          </w14:textFill>
        </w:rPr>
      </w:pPr>
      <w:bookmarkStart w:id="414" w:name="_Toc19015"/>
      <w:bookmarkStart w:id="415" w:name="_Toc8490"/>
      <w:r>
        <w:rPr>
          <w:rFonts w:hint="eastAsia" w:ascii="楷体" w:hAnsi="楷体" w:eastAsia="楷体" w:cs="楷体"/>
          <w:b w:val="0"/>
          <w:bCs w:val="0"/>
          <w:color w:val="000000" w:themeColor="text1"/>
          <w:sz w:val="32"/>
          <w:szCs w:val="32"/>
          <w:lang w:val="en-US" w:eastAsia="zh-CN"/>
          <w14:textFill>
            <w14:solidFill>
              <w14:schemeClr w14:val="tx1"/>
            </w14:solidFill>
          </w14:textFill>
        </w:rPr>
        <w:t>详细评审评分表</w:t>
      </w:r>
    </w:p>
    <w:p w14:paraId="6AC724A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项目名称：四川省铁产石油化工有限责任公司与某公司欠款案专项律所公开选聘项目项目编号：TCSY20260301</w:t>
      </w:r>
    </w:p>
    <w:tbl>
      <w:tblPr>
        <w:tblStyle w:val="7"/>
        <w:tblpPr w:leftFromText="180" w:rightFromText="180" w:vertAnchor="text" w:horzAnchor="page" w:tblpX="672" w:tblpY="345"/>
        <w:tblOverlap w:val="never"/>
        <w:tblW w:w="10667" w:type="dxa"/>
        <w:tblInd w:w="0" w:type="dxa"/>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567" w:type="dxa"/>
          <w:left w:w="105" w:type="dxa"/>
          <w:bottom w:w="567" w:type="dxa"/>
          <w:right w:w="105" w:type="dxa"/>
        </w:tblCellMar>
      </w:tblPr>
      <w:tblGrid>
        <w:gridCol w:w="1267"/>
        <w:gridCol w:w="573"/>
        <w:gridCol w:w="3060"/>
        <w:gridCol w:w="1245"/>
        <w:gridCol w:w="1309"/>
        <w:gridCol w:w="1071"/>
        <w:gridCol w:w="1071"/>
        <w:gridCol w:w="1071"/>
      </w:tblGrid>
      <w:tr w14:paraId="7DD070DC">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474" w:hRule="atLeast"/>
        </w:trPr>
        <w:tc>
          <w:tcPr>
            <w:tcW w:w="1267" w:type="dxa"/>
            <w:vMerge w:val="restart"/>
            <w:tcBorders>
              <w:tl2br w:val="nil"/>
              <w:tr2bl w:val="nil"/>
            </w:tcBorders>
            <w:noWrap w:val="0"/>
            <w:tcMar>
              <w:top w:w="0" w:type="dxa"/>
              <w:left w:w="105" w:type="dxa"/>
              <w:bottom w:w="0" w:type="dxa"/>
              <w:right w:w="105" w:type="dxa"/>
            </w:tcMar>
            <w:vAlign w:val="center"/>
          </w:tcPr>
          <w:p w14:paraId="6878F1BB">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r>
              <w:rPr>
                <w:rFonts w:hint="eastAsia" w:ascii="楷体" w:hAnsi="楷体" w:eastAsia="楷体" w:cs="楷体"/>
                <w:b/>
                <w:bCs/>
                <w:color w:val="000000" w:themeColor="text1"/>
                <w:kern w:val="0"/>
                <w:sz w:val="24"/>
                <w:szCs w:val="24"/>
                <w14:textFill>
                  <w14:solidFill>
                    <w14:schemeClr w14:val="tx1"/>
                  </w14:solidFill>
                </w14:textFill>
              </w:rPr>
              <w:t>评审内容</w:t>
            </w:r>
          </w:p>
        </w:tc>
        <w:tc>
          <w:tcPr>
            <w:tcW w:w="573" w:type="dxa"/>
            <w:vMerge w:val="restart"/>
            <w:tcBorders>
              <w:tl2br w:val="nil"/>
              <w:tr2bl w:val="nil"/>
            </w:tcBorders>
            <w:noWrap w:val="0"/>
            <w:tcMar>
              <w:top w:w="0" w:type="dxa"/>
              <w:left w:w="105" w:type="dxa"/>
              <w:bottom w:w="0" w:type="dxa"/>
              <w:right w:w="105" w:type="dxa"/>
            </w:tcMar>
            <w:vAlign w:val="center"/>
          </w:tcPr>
          <w:p w14:paraId="72ABFCF0">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r>
              <w:rPr>
                <w:rFonts w:hint="eastAsia" w:ascii="楷体" w:hAnsi="楷体" w:eastAsia="楷体" w:cs="楷体"/>
                <w:b/>
                <w:bCs/>
                <w:color w:val="000000" w:themeColor="text1"/>
                <w:kern w:val="0"/>
                <w:sz w:val="24"/>
                <w:szCs w:val="24"/>
                <w14:textFill>
                  <w14:solidFill>
                    <w14:schemeClr w14:val="tx1"/>
                  </w14:solidFill>
                </w14:textFill>
              </w:rPr>
              <w:t>分值</w:t>
            </w:r>
          </w:p>
        </w:tc>
        <w:tc>
          <w:tcPr>
            <w:tcW w:w="3060" w:type="dxa"/>
            <w:vMerge w:val="restart"/>
            <w:tcBorders>
              <w:tl2br w:val="nil"/>
              <w:tr2bl w:val="nil"/>
            </w:tcBorders>
            <w:noWrap w:val="0"/>
            <w:tcMar>
              <w:top w:w="0" w:type="dxa"/>
              <w:left w:w="105" w:type="dxa"/>
              <w:bottom w:w="0" w:type="dxa"/>
              <w:right w:w="105" w:type="dxa"/>
            </w:tcMar>
            <w:vAlign w:val="center"/>
          </w:tcPr>
          <w:p w14:paraId="3A14F4DC">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r>
              <w:rPr>
                <w:rFonts w:hint="eastAsia" w:ascii="楷体" w:hAnsi="楷体" w:eastAsia="楷体" w:cs="楷体"/>
                <w:b/>
                <w:bCs/>
                <w:color w:val="000000" w:themeColor="text1"/>
                <w:kern w:val="0"/>
                <w:sz w:val="24"/>
                <w:szCs w:val="24"/>
                <w14:textFill>
                  <w14:solidFill>
                    <w14:schemeClr w14:val="tx1"/>
                  </w14:solidFill>
                </w14:textFill>
              </w:rPr>
              <w:t>评分标准</w:t>
            </w:r>
          </w:p>
        </w:tc>
        <w:tc>
          <w:tcPr>
            <w:tcW w:w="5767" w:type="dxa"/>
            <w:gridSpan w:val="5"/>
            <w:tcBorders>
              <w:bottom w:val="single" w:color="000000" w:sz="6" w:space="0"/>
              <w:tl2br w:val="nil"/>
              <w:tr2bl w:val="nil"/>
            </w:tcBorders>
            <w:noWrap w:val="0"/>
            <w:tcMar>
              <w:top w:w="0" w:type="dxa"/>
              <w:left w:w="105" w:type="dxa"/>
              <w:bottom w:w="0" w:type="dxa"/>
              <w:right w:w="105" w:type="dxa"/>
            </w:tcMar>
            <w:vAlign w:val="center"/>
          </w:tcPr>
          <w:p w14:paraId="28F2C93C">
            <w:pPr>
              <w:widowControl/>
              <w:spacing w:line="400" w:lineRule="exact"/>
              <w:jc w:val="center"/>
              <w:rPr>
                <w:rFonts w:hint="eastAsia" w:ascii="楷体" w:hAnsi="楷体" w:eastAsia="楷体" w:cs="楷体"/>
                <w:b/>
                <w:bCs/>
                <w:color w:val="000000" w:themeColor="text1"/>
                <w:kern w:val="0"/>
                <w:sz w:val="32"/>
                <w:szCs w:val="32"/>
                <w:lang w:val="en-US" w:eastAsia="zh-CN"/>
                <w14:textFill>
                  <w14:solidFill>
                    <w14:schemeClr w14:val="tx1"/>
                  </w14:solidFill>
                </w14:textFill>
              </w:rPr>
            </w:pPr>
            <w:r>
              <w:rPr>
                <w:rFonts w:hint="eastAsia" w:ascii="楷体" w:hAnsi="楷体" w:eastAsia="楷体" w:cs="楷体"/>
                <w:b/>
                <w:bCs/>
                <w:color w:val="000000" w:themeColor="text1"/>
                <w:kern w:val="0"/>
                <w:sz w:val="24"/>
                <w:szCs w:val="24"/>
                <w:lang w:val="en-US" w:eastAsia="zh-CN"/>
                <w14:textFill>
                  <w14:solidFill>
                    <w14:schemeClr w14:val="tx1"/>
                  </w14:solidFill>
                </w14:textFill>
              </w:rPr>
              <w:t>得分</w:t>
            </w:r>
          </w:p>
        </w:tc>
      </w:tr>
      <w:tr w14:paraId="148FC23F">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1750" w:hRule="atLeast"/>
        </w:trPr>
        <w:tc>
          <w:tcPr>
            <w:tcW w:w="1267" w:type="dxa"/>
            <w:vMerge w:val="continue"/>
            <w:tcBorders>
              <w:tl2br w:val="nil"/>
              <w:tr2bl w:val="nil"/>
            </w:tcBorders>
            <w:noWrap w:val="0"/>
            <w:tcMar>
              <w:top w:w="0" w:type="dxa"/>
              <w:left w:w="105" w:type="dxa"/>
              <w:bottom w:w="0" w:type="dxa"/>
              <w:right w:w="105" w:type="dxa"/>
            </w:tcMar>
            <w:vAlign w:val="center"/>
          </w:tcPr>
          <w:p w14:paraId="474AC1C0">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p>
        </w:tc>
        <w:tc>
          <w:tcPr>
            <w:tcW w:w="573" w:type="dxa"/>
            <w:vMerge w:val="continue"/>
            <w:tcBorders>
              <w:tl2br w:val="nil"/>
              <w:tr2bl w:val="nil"/>
            </w:tcBorders>
            <w:noWrap w:val="0"/>
            <w:tcMar>
              <w:top w:w="0" w:type="dxa"/>
              <w:left w:w="105" w:type="dxa"/>
              <w:bottom w:w="0" w:type="dxa"/>
              <w:right w:w="105" w:type="dxa"/>
            </w:tcMar>
            <w:vAlign w:val="center"/>
          </w:tcPr>
          <w:p w14:paraId="31F25D69">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p>
        </w:tc>
        <w:tc>
          <w:tcPr>
            <w:tcW w:w="3060" w:type="dxa"/>
            <w:vMerge w:val="continue"/>
            <w:tcBorders>
              <w:tl2br w:val="nil"/>
              <w:tr2bl w:val="nil"/>
            </w:tcBorders>
            <w:noWrap w:val="0"/>
            <w:tcMar>
              <w:top w:w="0" w:type="dxa"/>
              <w:left w:w="105" w:type="dxa"/>
              <w:bottom w:w="0" w:type="dxa"/>
              <w:right w:w="105" w:type="dxa"/>
            </w:tcMar>
            <w:vAlign w:val="center"/>
          </w:tcPr>
          <w:p w14:paraId="41ED4A5B">
            <w:pPr>
              <w:widowControl/>
              <w:spacing w:line="400" w:lineRule="exact"/>
              <w:jc w:val="center"/>
              <w:rPr>
                <w:rFonts w:hint="eastAsia" w:ascii="楷体" w:hAnsi="楷体" w:eastAsia="楷体" w:cs="楷体"/>
                <w:b/>
                <w:bCs/>
                <w:color w:val="000000" w:themeColor="text1"/>
                <w:kern w:val="0"/>
                <w:sz w:val="22"/>
                <w:szCs w:val="22"/>
                <w14:textFill>
                  <w14:solidFill>
                    <w14:schemeClr w14:val="tx1"/>
                  </w14:solidFill>
                </w14:textFill>
              </w:rPr>
            </w:pPr>
          </w:p>
        </w:tc>
        <w:tc>
          <w:tcPr>
            <w:tcW w:w="1245" w:type="dxa"/>
            <w:tcBorders>
              <w:top w:val="single" w:color="000000" w:sz="6" w:space="0"/>
              <w:right w:val="single" w:color="000000" w:sz="6" w:space="0"/>
              <w:tl2br w:val="nil"/>
              <w:tr2bl w:val="nil"/>
            </w:tcBorders>
            <w:noWrap w:val="0"/>
            <w:tcMar>
              <w:top w:w="0" w:type="dxa"/>
              <w:left w:w="105" w:type="dxa"/>
              <w:bottom w:w="0" w:type="dxa"/>
              <w:right w:w="105" w:type="dxa"/>
            </w:tcMar>
            <w:vAlign w:val="center"/>
          </w:tcPr>
          <w:p w14:paraId="18B185D2">
            <w:pPr>
              <w:jc w:val="center"/>
              <w:rPr>
                <w:rFonts w:hint="eastAsia" w:ascii="楷体" w:hAnsi="楷体" w:eastAsia="楷体" w:cs="楷体"/>
                <w:b/>
                <w:bCs/>
                <w:color w:val="000000" w:themeColor="text1"/>
                <w:kern w:val="0"/>
                <w:sz w:val="32"/>
                <w:szCs w:val="32"/>
                <w14:textFill>
                  <w14:solidFill>
                    <w14:schemeClr w14:val="tx1"/>
                  </w14:solidFill>
                </w14:textFill>
              </w:rPr>
            </w:pPr>
          </w:p>
        </w:tc>
        <w:tc>
          <w:tcPr>
            <w:tcW w:w="1309" w:type="dxa"/>
            <w:tcBorders>
              <w:top w:val="single" w:color="000000" w:sz="6" w:space="0"/>
              <w:left w:val="single" w:color="000000" w:sz="6" w:space="0"/>
              <w:right w:val="single" w:color="000000" w:sz="6" w:space="0"/>
              <w:tl2br w:val="nil"/>
              <w:tr2bl w:val="nil"/>
            </w:tcBorders>
            <w:noWrap w:val="0"/>
            <w:tcMar>
              <w:top w:w="0" w:type="dxa"/>
              <w:left w:w="105" w:type="dxa"/>
              <w:bottom w:w="0" w:type="dxa"/>
              <w:right w:w="105" w:type="dxa"/>
            </w:tcMar>
            <w:vAlign w:val="center"/>
          </w:tcPr>
          <w:p w14:paraId="3A269F8F">
            <w:pPr>
              <w:jc w:val="center"/>
              <w:rPr>
                <w:rFonts w:hint="eastAsia" w:ascii="楷体" w:hAnsi="楷体" w:eastAsia="楷体" w:cs="楷体"/>
                <w:b/>
                <w:bCs/>
                <w:color w:val="000000" w:themeColor="text1"/>
                <w:kern w:val="0"/>
                <w:sz w:val="32"/>
                <w:szCs w:val="32"/>
                <w14:textFill>
                  <w14:solidFill>
                    <w14:schemeClr w14:val="tx1"/>
                  </w14:solidFill>
                </w14:textFill>
              </w:rPr>
            </w:pPr>
          </w:p>
        </w:tc>
        <w:tc>
          <w:tcPr>
            <w:tcW w:w="1071" w:type="dxa"/>
            <w:tcBorders>
              <w:top w:val="single" w:color="000000" w:sz="6" w:space="0"/>
              <w:left w:val="single" w:color="000000" w:sz="6" w:space="0"/>
              <w:right w:val="single" w:color="000000" w:sz="6" w:space="0"/>
              <w:tl2br w:val="nil"/>
              <w:tr2bl w:val="nil"/>
            </w:tcBorders>
            <w:noWrap w:val="0"/>
            <w:tcMar>
              <w:top w:w="0" w:type="dxa"/>
              <w:left w:w="105" w:type="dxa"/>
              <w:bottom w:w="0" w:type="dxa"/>
              <w:right w:w="105" w:type="dxa"/>
            </w:tcMar>
            <w:vAlign w:val="center"/>
          </w:tcPr>
          <w:p w14:paraId="0A4C7EB6">
            <w:pPr>
              <w:jc w:val="center"/>
              <w:rPr>
                <w:rFonts w:hint="eastAsia" w:ascii="楷体" w:hAnsi="楷体" w:eastAsia="楷体" w:cs="楷体"/>
                <w:b/>
                <w:bCs/>
                <w:color w:val="000000" w:themeColor="text1"/>
                <w:kern w:val="0"/>
                <w:sz w:val="32"/>
                <w:szCs w:val="32"/>
                <w14:textFill>
                  <w14:solidFill>
                    <w14:schemeClr w14:val="tx1"/>
                  </w14:solidFill>
                </w14:textFill>
              </w:rPr>
            </w:pPr>
          </w:p>
        </w:tc>
        <w:tc>
          <w:tcPr>
            <w:tcW w:w="1071" w:type="dxa"/>
            <w:tcBorders>
              <w:top w:val="single" w:color="000000" w:sz="6" w:space="0"/>
              <w:left w:val="single" w:color="000000" w:sz="6" w:space="0"/>
              <w:right w:val="single" w:color="000000" w:sz="6" w:space="0"/>
              <w:tl2br w:val="nil"/>
              <w:tr2bl w:val="nil"/>
            </w:tcBorders>
            <w:noWrap w:val="0"/>
            <w:tcMar>
              <w:top w:w="0" w:type="dxa"/>
              <w:left w:w="105" w:type="dxa"/>
              <w:bottom w:w="0" w:type="dxa"/>
              <w:right w:w="105" w:type="dxa"/>
            </w:tcMar>
            <w:vAlign w:val="center"/>
          </w:tcPr>
          <w:p w14:paraId="65A3A30A">
            <w:pPr>
              <w:jc w:val="center"/>
              <w:rPr>
                <w:rFonts w:hint="eastAsia" w:ascii="楷体" w:hAnsi="楷体" w:eastAsia="楷体" w:cs="楷体"/>
                <w:b/>
                <w:bCs/>
                <w:color w:val="000000" w:themeColor="text1"/>
                <w:kern w:val="0"/>
                <w:sz w:val="32"/>
                <w:szCs w:val="32"/>
                <w14:textFill>
                  <w14:solidFill>
                    <w14:schemeClr w14:val="tx1"/>
                  </w14:solidFill>
                </w14:textFill>
              </w:rPr>
            </w:pPr>
          </w:p>
        </w:tc>
        <w:tc>
          <w:tcPr>
            <w:tcW w:w="1071" w:type="dxa"/>
            <w:tcBorders>
              <w:top w:val="single" w:color="000000" w:sz="6" w:space="0"/>
              <w:left w:val="single" w:color="000000" w:sz="6" w:space="0"/>
              <w:tl2br w:val="nil"/>
              <w:tr2bl w:val="nil"/>
            </w:tcBorders>
            <w:noWrap w:val="0"/>
            <w:tcMar>
              <w:top w:w="0" w:type="dxa"/>
              <w:left w:w="105" w:type="dxa"/>
              <w:bottom w:w="0" w:type="dxa"/>
              <w:right w:w="105" w:type="dxa"/>
            </w:tcMar>
            <w:vAlign w:val="center"/>
          </w:tcPr>
          <w:p w14:paraId="59EBDB5D">
            <w:pPr>
              <w:jc w:val="center"/>
              <w:rPr>
                <w:rFonts w:hint="eastAsia" w:ascii="楷体" w:hAnsi="楷体" w:eastAsia="楷体" w:cs="楷体"/>
                <w:b/>
                <w:bCs/>
                <w:color w:val="000000" w:themeColor="text1"/>
                <w:kern w:val="0"/>
                <w:sz w:val="32"/>
                <w:szCs w:val="32"/>
                <w14:textFill>
                  <w14:solidFill>
                    <w14:schemeClr w14:val="tx1"/>
                  </w14:solidFill>
                </w14:textFill>
              </w:rPr>
            </w:pPr>
          </w:p>
        </w:tc>
      </w:tr>
      <w:tr w14:paraId="74E42F37">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1512" w:hRule="atLeast"/>
        </w:trPr>
        <w:tc>
          <w:tcPr>
            <w:tcW w:w="1267" w:type="dxa"/>
            <w:tcBorders>
              <w:tl2br w:val="nil"/>
              <w:tr2bl w:val="nil"/>
            </w:tcBorders>
            <w:noWrap w:val="0"/>
            <w:tcMar>
              <w:top w:w="0" w:type="dxa"/>
              <w:left w:w="105" w:type="dxa"/>
              <w:bottom w:w="0" w:type="dxa"/>
              <w:right w:w="105" w:type="dxa"/>
            </w:tcMar>
            <w:vAlign w:val="center"/>
          </w:tcPr>
          <w:p w14:paraId="4BCAF150">
            <w:pPr>
              <w:jc w:val="center"/>
              <w:rPr>
                <w:color w:val="000000" w:themeColor="text1"/>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事务所</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同类业绩</w:t>
            </w:r>
          </w:p>
        </w:tc>
        <w:tc>
          <w:tcPr>
            <w:tcW w:w="573" w:type="dxa"/>
            <w:tcBorders>
              <w:tl2br w:val="nil"/>
              <w:tr2bl w:val="nil"/>
            </w:tcBorders>
            <w:noWrap w:val="0"/>
            <w:tcMar>
              <w:top w:w="0" w:type="dxa"/>
              <w:left w:w="105" w:type="dxa"/>
              <w:bottom w:w="0" w:type="dxa"/>
              <w:right w:w="105" w:type="dxa"/>
            </w:tcMar>
            <w:vAlign w:val="center"/>
          </w:tcPr>
          <w:p w14:paraId="4C18F78C">
            <w:pPr>
              <w:jc w:val="center"/>
              <w:rPr>
                <w:rFonts w:hint="default"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p>
        </w:tc>
        <w:tc>
          <w:tcPr>
            <w:tcW w:w="3060" w:type="dxa"/>
            <w:tcBorders>
              <w:tl2br w:val="nil"/>
              <w:tr2bl w:val="nil"/>
            </w:tcBorders>
            <w:noWrap w:val="0"/>
            <w:tcMar>
              <w:top w:w="0" w:type="dxa"/>
              <w:left w:w="105" w:type="dxa"/>
              <w:bottom w:w="0" w:type="dxa"/>
              <w:right w:w="105" w:type="dxa"/>
            </w:tcMar>
            <w:vAlign w:val="center"/>
          </w:tcPr>
          <w:p w14:paraId="22CD75C6">
            <w:pPr>
              <w:ind w:firstLine="0" w:firstLineChars="0"/>
              <w:rPr>
                <w:rFonts w:hint="eastAsia" w:ascii="仿宋_GB2312" w:hAnsi="仿宋_GB2312" w:eastAsia="仿宋_GB2312" w:cs="仿宋_GB2312"/>
                <w:color w:val="000000" w:themeColor="text1"/>
                <w:spacing w:val="-20"/>
                <w:kern w:val="2"/>
                <w:sz w:val="22"/>
                <w:szCs w:val="2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最近三年内，比选申请人为国有企业/政府部门提供诉讼或执行法律服务，</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每</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服务一家</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分；累计得分不超过</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服务团队中已提交的业绩不计入该项得分）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20E8E0F7">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04540FB5">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731309B6">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4A02A163">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3A65DE36">
            <w:pPr>
              <w:widowControl/>
              <w:spacing w:line="400" w:lineRule="exact"/>
              <w:jc w:val="center"/>
              <w:rPr>
                <w:rFonts w:hint="eastAsia" w:ascii="楷体" w:hAnsi="楷体" w:eastAsia="楷体" w:cs="楷体"/>
                <w:color w:val="000000" w:themeColor="text1"/>
                <w:kern w:val="0"/>
                <w:sz w:val="32"/>
                <w:szCs w:val="32"/>
                <w14:textFill>
                  <w14:solidFill>
                    <w14:schemeClr w14:val="tx1"/>
                  </w14:solidFill>
                </w14:textFill>
              </w:rPr>
            </w:pPr>
          </w:p>
        </w:tc>
      </w:tr>
      <w:tr w14:paraId="60B9A15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1713" w:hRule="atLeast"/>
        </w:trPr>
        <w:tc>
          <w:tcPr>
            <w:tcW w:w="1267" w:type="dxa"/>
            <w:tcBorders>
              <w:tl2br w:val="nil"/>
              <w:tr2bl w:val="nil"/>
            </w:tcBorders>
            <w:noWrap w:val="0"/>
            <w:tcMar>
              <w:top w:w="0" w:type="dxa"/>
              <w:left w:w="105" w:type="dxa"/>
              <w:bottom w:w="0" w:type="dxa"/>
              <w:right w:w="105" w:type="dxa"/>
            </w:tcMar>
            <w:vAlign w:val="center"/>
          </w:tcPr>
          <w:p w14:paraId="6843B823">
            <w:pPr>
              <w:jc w:val="center"/>
              <w:rPr>
                <w:rFonts w:hint="eastAsia"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本次报价</w:t>
            </w:r>
          </w:p>
        </w:tc>
        <w:tc>
          <w:tcPr>
            <w:tcW w:w="573" w:type="dxa"/>
            <w:tcBorders>
              <w:tl2br w:val="nil"/>
              <w:tr2bl w:val="nil"/>
            </w:tcBorders>
            <w:noWrap w:val="0"/>
            <w:tcMar>
              <w:top w:w="0" w:type="dxa"/>
              <w:left w:w="105" w:type="dxa"/>
              <w:bottom w:w="0" w:type="dxa"/>
              <w:right w:w="105" w:type="dxa"/>
            </w:tcMar>
            <w:vAlign w:val="center"/>
          </w:tcPr>
          <w:p w14:paraId="2D7C57C8">
            <w:pPr>
              <w:jc w:val="center"/>
              <w:rPr>
                <w:rFonts w:hint="eastAsia"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15</w:t>
            </w:r>
          </w:p>
        </w:tc>
        <w:tc>
          <w:tcPr>
            <w:tcW w:w="3060" w:type="dxa"/>
            <w:tcBorders>
              <w:tl2br w:val="nil"/>
              <w:tr2bl w:val="nil"/>
            </w:tcBorders>
            <w:noWrap w:val="0"/>
            <w:tcMar>
              <w:top w:w="0" w:type="dxa"/>
              <w:left w:w="105" w:type="dxa"/>
              <w:bottom w:w="0" w:type="dxa"/>
              <w:right w:w="105" w:type="dxa"/>
            </w:tcMar>
            <w:vAlign w:val="top"/>
          </w:tcPr>
          <w:p w14:paraId="55219F9D">
            <w:pPr>
              <w:jc w:val="left"/>
              <w:outlineLvl w:val="0"/>
              <w:rPr>
                <w:rFonts w:hint="default"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比选报价得分：</w:t>
            </w:r>
          </w:p>
          <w:p w14:paraId="2097D092">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bookmarkStart w:id="443" w:name="_GoBack"/>
            <w:bookmarkEnd w:id="443"/>
            <w:r>
              <w:rPr>
                <w:rFonts w:hint="eastAsia" w:ascii="楷体" w:hAnsi="楷体" w:eastAsia="楷体" w:cs="楷体"/>
                <w:color w:val="000000" w:themeColor="text1"/>
                <w:szCs w:val="21"/>
                <w:highlight w:val="none"/>
                <w:lang w:val="en-US" w:eastAsia="zh-CN"/>
                <w14:textFill>
                  <w14:solidFill>
                    <w14:schemeClr w14:val="tx1"/>
                  </w14:solidFill>
                </w14:textFill>
              </w:rPr>
              <w:t>总价得分：满分为15分。报价</w:t>
            </w:r>
            <w:r>
              <w:rPr>
                <w:rFonts w:hint="eastAsia" w:ascii="楷体" w:hAnsi="楷体" w:eastAsia="楷体" w:cs="楷体"/>
                <w:color w:val="000000" w:themeColor="text1"/>
                <w:szCs w:val="21"/>
                <w:highlight w:val="none"/>
                <w14:textFill>
                  <w14:solidFill>
                    <w14:schemeClr w14:val="tx1"/>
                  </w14:solidFill>
                </w14:textFill>
              </w:rPr>
              <w:t>为</w:t>
            </w:r>
            <w:r>
              <w:rPr>
                <w:rFonts w:hint="eastAsia" w:ascii="楷体" w:hAnsi="楷体" w:eastAsia="楷体" w:cs="楷体"/>
                <w:color w:val="000000" w:themeColor="text1"/>
                <w:szCs w:val="21"/>
                <w:highlight w:val="none"/>
                <w:lang w:val="en-US" w:eastAsia="zh-CN"/>
                <w14:textFill>
                  <w14:solidFill>
                    <w14:schemeClr w14:val="tx1"/>
                  </w14:solidFill>
                </w14:textFill>
              </w:rPr>
              <w:t>全</w:t>
            </w:r>
            <w:r>
              <w:rPr>
                <w:rFonts w:hint="eastAsia" w:ascii="楷体" w:hAnsi="楷体" w:eastAsia="楷体" w:cs="楷体"/>
                <w:color w:val="000000" w:themeColor="text1"/>
                <w:szCs w:val="21"/>
                <w:highlight w:val="none"/>
                <w14:textFill>
                  <w14:solidFill>
                    <w14:schemeClr w14:val="tx1"/>
                  </w14:solidFill>
                </w14:textFill>
              </w:rPr>
              <w:t>风险代理费</w:t>
            </w:r>
            <w:r>
              <w:rPr>
                <w:rFonts w:hint="eastAsia" w:ascii="楷体" w:hAnsi="楷体" w:eastAsia="楷体" w:cs="楷体"/>
                <w:color w:val="000000" w:themeColor="text1"/>
                <w:szCs w:val="21"/>
                <w:highlight w:val="none"/>
                <w:lang w:val="en-US" w:eastAsia="zh-CN"/>
                <w14:textFill>
                  <w14:solidFill>
                    <w14:schemeClr w14:val="tx1"/>
                  </w14:solidFill>
                </w14:textFill>
              </w:rPr>
              <w:t>方式</w:t>
            </w:r>
            <w:r>
              <w:rPr>
                <w:rFonts w:hint="eastAsia" w:ascii="楷体" w:hAnsi="楷体" w:eastAsia="楷体" w:cs="楷体"/>
                <w:color w:val="000000" w:themeColor="text1"/>
                <w:szCs w:val="21"/>
                <w:highlight w:val="none"/>
                <w14:textFill>
                  <w14:solidFill>
                    <w14:schemeClr w14:val="tx1"/>
                  </w14:solidFill>
                </w14:textFill>
              </w:rPr>
              <w:t>（风险代理费以涉案金额为计算基数）</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14:textFill>
                  <w14:solidFill>
                    <w14:schemeClr w14:val="tx1"/>
                  </w14:solidFill>
                </w14:textFill>
              </w:rPr>
              <w:t>以所有有效比选申请人的</w:t>
            </w:r>
            <w:r>
              <w:rPr>
                <w:rFonts w:hint="eastAsia" w:ascii="楷体" w:hAnsi="楷体" w:eastAsia="楷体" w:cs="楷体"/>
                <w:color w:val="000000" w:themeColor="text1"/>
                <w:szCs w:val="21"/>
                <w:highlight w:val="none"/>
                <w:lang w:val="en-US" w:eastAsia="zh-CN"/>
                <w14:textFill>
                  <w14:solidFill>
                    <w14:schemeClr w14:val="tx1"/>
                  </w14:solidFill>
                </w14:textFill>
              </w:rPr>
              <w:t>算术</w:t>
            </w:r>
            <w:r>
              <w:rPr>
                <w:rFonts w:hint="eastAsia" w:ascii="楷体" w:hAnsi="楷体" w:eastAsia="楷体" w:cs="楷体"/>
                <w:color w:val="000000" w:themeColor="text1"/>
                <w:szCs w:val="21"/>
                <w:highlight w:val="none"/>
                <w14:textFill>
                  <w14:solidFill>
                    <w14:schemeClr w14:val="tx1"/>
                  </w14:solidFill>
                </w14:textFill>
              </w:rPr>
              <w:t>平均比选报价作为基准价。</w:t>
            </w:r>
            <w:r>
              <w:rPr>
                <w:rFonts w:hint="eastAsia" w:ascii="楷体" w:hAnsi="楷体" w:eastAsia="楷体" w:cs="楷体"/>
                <w:color w:val="000000" w:themeColor="text1"/>
                <w:szCs w:val="21"/>
                <w:highlight w:val="none"/>
                <w:lang w:val="en-US" w:eastAsia="zh-CN"/>
                <w14:textFill>
                  <w14:solidFill>
                    <w14:schemeClr w14:val="tx1"/>
                  </w14:solidFill>
                </w14:textFill>
              </w:rPr>
              <w:t>得分</w:t>
            </w:r>
            <w:r>
              <w:rPr>
                <w:rFonts w:hint="eastAsia" w:ascii="楷体" w:hAnsi="楷体" w:eastAsia="楷体" w:cs="楷体"/>
                <w:color w:val="000000" w:themeColor="text1"/>
                <w:szCs w:val="21"/>
                <w:highlight w:val="none"/>
                <w14:textFill>
                  <w14:solidFill>
                    <w14:schemeClr w14:val="tx1"/>
                  </w14:solidFill>
                </w14:textFill>
              </w:rPr>
              <w:t>统一按照下列公式计算：报价得分=1</w:t>
            </w:r>
            <w:r>
              <w:rPr>
                <w:rFonts w:hint="eastAsia" w:ascii="楷体" w:hAnsi="楷体" w:eastAsia="楷体" w:cs="楷体"/>
                <w:color w:val="000000" w:themeColor="text1"/>
                <w:szCs w:val="21"/>
                <w:highlight w:val="none"/>
                <w:lang w:val="en-US" w:eastAsia="zh-CN"/>
                <w14:textFill>
                  <w14:solidFill>
                    <w14:schemeClr w14:val="tx1"/>
                  </w14:solidFill>
                </w14:textFill>
              </w:rPr>
              <w:t>0</w:t>
            </w:r>
            <w:r>
              <w:rPr>
                <w:rFonts w:hint="eastAsia" w:ascii="楷体" w:hAnsi="楷体" w:eastAsia="楷体" w:cs="楷体"/>
                <w:color w:val="000000" w:themeColor="text1"/>
                <w:szCs w:val="21"/>
                <w:highlight w:val="none"/>
                <w14:textFill>
                  <w14:solidFill>
                    <w14:schemeClr w14:val="tx1"/>
                  </w14:solidFill>
                </w14:textFill>
              </w:rPr>
              <w:t>×[1-︱（最终报价-基准价）︱/基准价]</w:t>
            </w:r>
            <w:r>
              <w:rPr>
                <w:rFonts w:hint="eastAsia" w:ascii="楷体" w:hAnsi="楷体" w:eastAsia="楷体" w:cs="楷体"/>
                <w:color w:val="000000" w:themeColor="text1"/>
                <w:szCs w:val="21"/>
                <w:highlight w:val="none"/>
                <w:lang w:eastAsia="zh-CN"/>
                <w14:textFill>
                  <w14:solidFill>
                    <w14:schemeClr w14:val="tx1"/>
                  </w14:solidFill>
                </w14:textFill>
              </w:rPr>
              <w:t>，</w:t>
            </w:r>
            <w:r>
              <w:rPr>
                <w:rFonts w:hint="eastAsia" w:ascii="楷体" w:hAnsi="楷体" w:eastAsia="楷体" w:cs="楷体"/>
                <w:color w:val="000000" w:themeColor="text1"/>
                <w:szCs w:val="21"/>
                <w:highlight w:val="none"/>
                <w:lang w:val="en-US" w:eastAsia="zh-CN"/>
                <w14:textFill>
                  <w14:solidFill>
                    <w14:schemeClr w14:val="tx1"/>
                  </w14:solidFill>
                </w14:textFill>
              </w:rPr>
              <w:t>注：得分精确到小数点后两位。</w:t>
            </w:r>
          </w:p>
          <w:p w14:paraId="5D3941EB">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color w:val="000000" w:themeColor="text1"/>
                <w:szCs w:val="21"/>
                <w:highlight w:val="none"/>
                <w:lang w:val="en-US" w:eastAsia="zh-CN"/>
                <w14:textFill>
                  <w14:solidFill>
                    <w14:schemeClr w14:val="tx1"/>
                  </w14:solidFill>
                </w14:textFill>
              </w:rPr>
              <w:t>注：得分精确到小数点后两位。</w:t>
            </w:r>
          </w:p>
          <w:p w14:paraId="7597A030">
            <w:pPr>
              <w:jc w:val="left"/>
              <w:outlineLvl w:val="0"/>
              <w:rPr>
                <w:rFonts w:hint="eastAsia" w:ascii="仿宋_GB2312" w:hAnsi="仿宋_GB2312" w:eastAsia="仿宋_GB2312" w:cs="仿宋_GB2312"/>
                <w:color w:val="000000" w:themeColor="text1"/>
                <w:spacing w:val="-20"/>
                <w:kern w:val="2"/>
                <w:sz w:val="22"/>
                <w:szCs w:val="22"/>
                <w:highlight w:val="none"/>
                <w:lang w:val="en-US" w:eastAsia="zh-CN" w:bidi="ar-SA"/>
                <w14:textFill>
                  <w14:solidFill>
                    <w14:schemeClr w14:val="tx1"/>
                  </w14:solidFill>
                </w14:textFill>
              </w:rPr>
            </w:pPr>
            <w:r>
              <w:rPr>
                <w:rFonts w:hint="eastAsia" w:ascii="楷体" w:hAnsi="楷体" w:eastAsia="楷体" w:cs="楷体"/>
                <w:color w:val="000000" w:themeColor="text1"/>
                <w:szCs w:val="21"/>
                <w:highlight w:val="none"/>
                <w14:textFill>
                  <w14:solidFill>
                    <w14:schemeClr w14:val="tx1"/>
                  </w14:solidFill>
                </w14:textFill>
              </w:rPr>
              <w:t>风险代理费不超过</w:t>
            </w:r>
            <w:r>
              <w:rPr>
                <w:rFonts w:hint="eastAsia" w:ascii="楷体" w:hAnsi="楷体" w:eastAsia="楷体" w:cs="楷体"/>
                <w:color w:val="000000" w:themeColor="text1"/>
                <w:szCs w:val="21"/>
                <w:highlight w:val="none"/>
                <w:u w:val="single"/>
                <w:lang w:val="en-US" w:eastAsia="zh-CN"/>
                <w14:textFill>
                  <w14:solidFill>
                    <w14:schemeClr w14:val="tx1"/>
                  </w14:solidFill>
                </w14:textFill>
              </w:rPr>
              <w:t>9.2</w:t>
            </w:r>
            <w:r>
              <w:rPr>
                <w:rFonts w:hint="eastAsia" w:ascii="楷体" w:hAnsi="楷体" w:eastAsia="楷体" w:cs="楷体"/>
                <w:color w:val="000000" w:themeColor="text1"/>
                <w:szCs w:val="21"/>
                <w:highlight w:val="none"/>
                <w14:textFill>
                  <w14:solidFill>
                    <w14:schemeClr w14:val="tx1"/>
                  </w14:solidFill>
                </w14:textFill>
              </w:rPr>
              <w:t>万（</w:t>
            </w:r>
            <w:r>
              <w:rPr>
                <w:rFonts w:hint="eastAsia" w:ascii="楷体" w:hAnsi="楷体" w:eastAsia="楷体" w:cs="楷体"/>
                <w:color w:val="000000" w:themeColor="text1"/>
                <w:szCs w:val="21"/>
                <w:highlight w:val="none"/>
                <w:lang w:val="en-US" w:eastAsia="zh-CN"/>
                <w14:textFill>
                  <w14:solidFill>
                    <w14:schemeClr w14:val="tx1"/>
                  </w14:solidFill>
                </w14:textFill>
              </w:rPr>
              <w:t>此为限价，</w:t>
            </w:r>
            <w:r>
              <w:rPr>
                <w:rFonts w:hint="eastAsia" w:ascii="楷体" w:hAnsi="楷体" w:eastAsia="楷体" w:cs="楷体"/>
                <w:color w:val="000000" w:themeColor="text1"/>
                <w:szCs w:val="21"/>
                <w:highlight w:val="none"/>
                <w14:textFill>
                  <w14:solidFill>
                    <w14:schemeClr w14:val="tx1"/>
                  </w14:solidFill>
                </w14:textFill>
              </w:rPr>
              <w:t>含本数），超过的本次报价</w:t>
            </w:r>
            <w:r>
              <w:rPr>
                <w:rFonts w:hint="eastAsia" w:ascii="楷体" w:hAnsi="楷体" w:eastAsia="楷体" w:cs="楷体"/>
                <w:color w:val="000000" w:themeColor="text1"/>
                <w:szCs w:val="21"/>
                <w:highlight w:val="none"/>
                <w:lang w:val="en-US" w:eastAsia="zh-CN"/>
                <w14:textFill>
                  <w14:solidFill>
                    <w14:schemeClr w14:val="tx1"/>
                  </w14:solidFill>
                </w14:textFill>
              </w:rPr>
              <w:t>为无效报价。</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1AF98F91">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77A9A1C4">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094C763D">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1AB5708A">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43B5A9C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14:paraId="1CFCA670">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1713" w:hRule="atLeast"/>
        </w:trPr>
        <w:tc>
          <w:tcPr>
            <w:tcW w:w="1267" w:type="dxa"/>
            <w:tcBorders>
              <w:tl2br w:val="nil"/>
              <w:tr2bl w:val="nil"/>
            </w:tcBorders>
            <w:noWrap w:val="0"/>
            <w:tcMar>
              <w:top w:w="0" w:type="dxa"/>
              <w:left w:w="105" w:type="dxa"/>
              <w:bottom w:w="0" w:type="dxa"/>
              <w:right w:w="105" w:type="dxa"/>
            </w:tcMar>
            <w:vAlign w:val="center"/>
          </w:tcPr>
          <w:p w14:paraId="4763A753">
            <w:pPr>
              <w:jc w:val="center"/>
              <w:rPr>
                <w:rFonts w:hint="eastAsia"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服务方案认可度</w:t>
            </w:r>
          </w:p>
        </w:tc>
        <w:tc>
          <w:tcPr>
            <w:tcW w:w="573" w:type="dxa"/>
            <w:tcBorders>
              <w:tl2br w:val="nil"/>
              <w:tr2bl w:val="nil"/>
            </w:tcBorders>
            <w:noWrap w:val="0"/>
            <w:tcMar>
              <w:top w:w="0" w:type="dxa"/>
              <w:left w:w="105" w:type="dxa"/>
              <w:bottom w:w="0" w:type="dxa"/>
              <w:right w:w="105" w:type="dxa"/>
            </w:tcMar>
            <w:vAlign w:val="center"/>
          </w:tcPr>
          <w:p w14:paraId="3CE98603">
            <w:pPr>
              <w:jc w:val="center"/>
              <w:rPr>
                <w:rFonts w:hint="default"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20"/>
                <w:kern w:val="2"/>
                <w:sz w:val="24"/>
                <w:szCs w:val="24"/>
                <w:highlight w:val="none"/>
                <w:lang w:val="en-US" w:eastAsia="zh-CN" w:bidi="ar-SA"/>
                <w14:textFill>
                  <w14:solidFill>
                    <w14:schemeClr w14:val="tx1"/>
                  </w14:solidFill>
                </w14:textFill>
              </w:rPr>
              <w:t>40</w:t>
            </w:r>
          </w:p>
        </w:tc>
        <w:tc>
          <w:tcPr>
            <w:tcW w:w="3060" w:type="dxa"/>
            <w:tcBorders>
              <w:tl2br w:val="nil"/>
              <w:tr2bl w:val="nil"/>
            </w:tcBorders>
            <w:noWrap w:val="0"/>
            <w:tcMar>
              <w:top w:w="0" w:type="dxa"/>
              <w:left w:w="105" w:type="dxa"/>
              <w:bottom w:w="0" w:type="dxa"/>
              <w:right w:w="105" w:type="dxa"/>
            </w:tcMar>
            <w:vAlign w:val="top"/>
          </w:tcPr>
          <w:p w14:paraId="6268EEE9">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sz w:val="21"/>
                <w:szCs w:val="21"/>
                <w:highlight w:val="none"/>
                <w14:textFill>
                  <w14:solidFill>
                    <w14:schemeClr w14:val="tx1"/>
                  </w14:solidFill>
                </w14:textFill>
              </w:rPr>
              <w:t>针对</w:t>
            </w:r>
            <w:r>
              <w:rPr>
                <w:rFonts w:hint="eastAsia" w:ascii="楷体" w:hAnsi="楷体" w:eastAsia="楷体" w:cs="楷体"/>
                <w:b w:val="0"/>
                <w:bCs w:val="0"/>
                <w:color w:val="000000" w:themeColor="text1"/>
                <w:sz w:val="21"/>
                <w:szCs w:val="21"/>
                <w:highlight w:val="none"/>
                <w:lang w:val="en-US" w:eastAsia="zh-CN"/>
                <w14:textFill>
                  <w14:solidFill>
                    <w14:schemeClr w14:val="tx1"/>
                  </w14:solidFill>
                </w14:textFill>
              </w:rPr>
              <w:t>比选申请</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人</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提交的整体</w:t>
            </w:r>
            <w:r>
              <w:rPr>
                <w:rFonts w:hint="eastAsia" w:ascii="楷体" w:hAnsi="楷体" w:eastAsia="楷体" w:cs="楷体"/>
                <w:b w:val="0"/>
                <w:bCs w:val="0"/>
                <w:color w:val="000000" w:themeColor="text1"/>
                <w:kern w:val="1"/>
                <w:sz w:val="21"/>
                <w:szCs w:val="21"/>
                <w:highlight w:val="none"/>
                <w:lang w:eastAsia="zh-Hans"/>
                <w14:textFill>
                  <w14:solidFill>
                    <w14:schemeClr w14:val="tx1"/>
                  </w14:solidFill>
                </w14:textFill>
              </w:rPr>
              <w:t>法律</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服务方案是否完整、科学等进行综合打分。</w:t>
            </w:r>
          </w:p>
          <w:p w14:paraId="45564E1E">
            <w:pPr>
              <w:numPr>
                <w:ilvl w:val="0"/>
                <w:numId w:val="0"/>
              </w:numP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1.法律分析充分合理，服务方案全面、完整、详尽，并提供创新性解决方案，服务措施完善、有可操作性和针对性，可有效推动案件执行回款，</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31-40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7966E9A6">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.法律分析充分合理，服务方案完整、详尽，服务措施完善、有操作性，得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21-30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3EDDD011">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.有一定法律分析，服务方案较完整，服务措施较完善，有一定操作性，得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11</w:t>
            </w:r>
            <w:r>
              <w:rPr>
                <w:rFonts w:hint="eastAsia" w:ascii="楷体" w:hAnsi="楷体" w:eastAsia="楷体" w:cs="楷体"/>
                <w:b w:val="0"/>
                <w:bCs w:val="0"/>
                <w:color w:val="000000" w:themeColor="text1"/>
                <w:kern w:val="1"/>
                <w:sz w:val="21"/>
                <w:szCs w:val="21"/>
                <w:highlight w:val="none"/>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20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5B8A781B">
            <w:pPr>
              <w:numPr>
                <w:ilvl w:val="0"/>
                <w:numId w:val="0"/>
              </w:numPr>
              <w:rPr>
                <w:rFonts w:hint="eastAsia" w:ascii="楷体" w:hAnsi="楷体" w:eastAsia="楷体" w:cs="楷体"/>
                <w:b w:val="0"/>
                <w:bCs w:val="0"/>
                <w:color w:val="000000" w:themeColor="text1"/>
                <w:kern w:val="1"/>
                <w:sz w:val="21"/>
                <w:szCs w:val="21"/>
                <w:highlight w:val="none"/>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4</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.法律分析不充分，服务方案不够详尽，服务措施不够完善，操作性较差，得1-</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p>
          <w:p w14:paraId="396AA86D">
            <w:pPr>
              <w:numPr>
                <w:ilvl w:val="0"/>
                <w:numId w:val="0"/>
              </w:numPr>
              <w:rPr>
                <w:rFonts w:hint="eastAsia" w:ascii="仿宋_GB2312" w:hAnsi="仿宋_GB2312" w:eastAsia="仿宋_GB2312" w:cs="仿宋_GB2312"/>
                <w:color w:val="000000" w:themeColor="text1"/>
                <w:spacing w:val="-20"/>
                <w:kern w:val="2"/>
                <w:sz w:val="22"/>
                <w:szCs w:val="22"/>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.没有方案不得分。</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37A7712F">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02EB5225">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4FEAE265">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46D30F91">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473EC159">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14:paraId="0C720FBE">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4195" w:hRule="atLeast"/>
        </w:trPr>
        <w:tc>
          <w:tcPr>
            <w:tcW w:w="1267" w:type="dxa"/>
            <w:tcBorders>
              <w:tl2br w:val="nil"/>
              <w:tr2bl w:val="nil"/>
            </w:tcBorders>
            <w:noWrap w:val="0"/>
            <w:tcMar>
              <w:top w:w="0" w:type="dxa"/>
              <w:left w:w="105" w:type="dxa"/>
              <w:bottom w:w="0" w:type="dxa"/>
              <w:right w:w="105" w:type="dxa"/>
            </w:tcMar>
            <w:vAlign w:val="center"/>
          </w:tcPr>
          <w:p w14:paraId="4AD85813">
            <w:pPr>
              <w:jc w:val="cente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服务团队资历</w:t>
            </w:r>
          </w:p>
        </w:tc>
        <w:tc>
          <w:tcPr>
            <w:tcW w:w="573" w:type="dxa"/>
            <w:tcBorders>
              <w:tl2br w:val="nil"/>
              <w:tr2bl w:val="nil"/>
            </w:tcBorders>
            <w:noWrap w:val="0"/>
            <w:tcMar>
              <w:top w:w="0" w:type="dxa"/>
              <w:left w:w="105" w:type="dxa"/>
              <w:bottom w:w="0" w:type="dxa"/>
              <w:right w:w="105" w:type="dxa"/>
            </w:tcMar>
            <w:vAlign w:val="center"/>
          </w:tcPr>
          <w:p w14:paraId="1008470F">
            <w:pPr>
              <w:jc w:val="cente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10</w:t>
            </w:r>
          </w:p>
        </w:tc>
        <w:tc>
          <w:tcPr>
            <w:tcW w:w="3060" w:type="dxa"/>
            <w:tcBorders>
              <w:tl2br w:val="nil"/>
              <w:tr2bl w:val="nil"/>
            </w:tcBorders>
            <w:noWrap w:val="0"/>
            <w:tcMar>
              <w:top w:w="0" w:type="dxa"/>
              <w:left w:w="105" w:type="dxa"/>
              <w:bottom w:w="0" w:type="dxa"/>
              <w:right w:w="105" w:type="dxa"/>
            </w:tcMar>
            <w:vAlign w:val="center"/>
          </w:tcPr>
          <w:p w14:paraId="71FF9D3F">
            <w:pPr>
              <w:jc w:val="left"/>
              <w:outlineLvl w:val="0"/>
              <w:rPr>
                <w:rFonts w:hint="eastAsia" w:ascii="楷体" w:hAnsi="楷体" w:eastAsia="楷体" w:cs="楷体"/>
                <w:color w:val="000000" w:themeColor="text1"/>
                <w:szCs w:val="21"/>
                <w:highlight w:val="none"/>
                <w:lang w:val="en-US"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服务团队资历</w:t>
            </w:r>
            <w:r>
              <w:rPr>
                <w:rFonts w:hint="eastAsia" w:ascii="楷体" w:hAnsi="楷体" w:eastAsia="楷体" w:cs="楷体"/>
                <w:color w:val="000000" w:themeColor="text1"/>
                <w:szCs w:val="21"/>
                <w:highlight w:val="none"/>
                <w:lang w:val="en-US" w:eastAsia="zh-CN"/>
                <w14:textFill>
                  <w14:solidFill>
                    <w14:schemeClr w14:val="tx1"/>
                  </w14:solidFill>
                </w14:textFill>
              </w:rPr>
              <w:t>得分分为以下两个部分：</w:t>
            </w:r>
          </w:p>
          <w:p w14:paraId="6EFF4DAA">
            <w:pPr>
              <w:numPr>
                <w:ilvl w:val="0"/>
                <w:numId w:val="0"/>
              </w:numP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1.</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服务团队律师执业年限和教育背景：三名及以上律师执业满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8</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Hans"/>
                <w14:textFill>
                  <w14:solidFill>
                    <w14:schemeClr w14:val="tx1"/>
                  </w14:solidFill>
                </w14:textFill>
              </w:rPr>
              <w:t>二名及以上</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分，一名律师执业满</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5</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年或博士以上学历得</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3</w:t>
            </w:r>
            <w:r>
              <w:rPr>
                <w:rFonts w:hint="eastAsia" w:ascii="楷体" w:hAnsi="楷体" w:eastAsia="楷体" w:cs="楷体"/>
                <w:b w:val="0"/>
                <w:bCs w:val="0"/>
                <w:color w:val="000000" w:themeColor="text1"/>
                <w:kern w:val="1"/>
                <w:sz w:val="21"/>
                <w:szCs w:val="21"/>
                <w:highlight w:val="none"/>
                <w14:textFill>
                  <w14:solidFill>
                    <w14:schemeClr w14:val="tx1"/>
                  </w14:solidFill>
                </w14:textFill>
              </w:rPr>
              <w:t>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不满足不得分</w:t>
            </w:r>
            <w:r>
              <w:rPr>
                <w:rFonts w:hint="eastAsia" w:ascii="楷体" w:hAnsi="楷体" w:eastAsia="楷体" w:cs="楷体"/>
                <w:b w:val="0"/>
                <w:bCs w:val="0"/>
                <w:color w:val="000000" w:themeColor="text1"/>
                <w:kern w:val="1"/>
                <w:sz w:val="21"/>
                <w:szCs w:val="21"/>
                <w:highlight w:val="none"/>
                <w:lang w:eastAsia="zh-CN"/>
                <w14:textFill>
                  <w14:solidFill>
                    <w14:schemeClr w14:val="tx1"/>
                  </w14:solidFill>
                </w14:textFill>
              </w:rPr>
              <w:t>。</w:t>
            </w:r>
          </w:p>
          <w:p w14:paraId="27305B4C">
            <w:pPr>
              <w:numPr>
                <w:ilvl w:val="0"/>
                <w:numId w:val="0"/>
              </w:numP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2.</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服务团队固定且不少于</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5</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人的律师顾问团队</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的</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（不含实习律师、律师助理）得</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2分</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3至4人</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（不含实习律师、律师助理）</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得1分。</w:t>
            </w:r>
            <w:r>
              <w:rPr>
                <w:rFonts w:hint="eastAsia" w:ascii="楷体" w:hAnsi="楷体" w:eastAsia="楷体" w:cs="楷体"/>
                <w:b w:val="0"/>
                <w:bCs w:val="0"/>
                <w:color w:val="000000" w:themeColor="text1"/>
                <w:sz w:val="21"/>
                <w:szCs w:val="21"/>
                <w:highlight w:val="none"/>
                <w:lang w:bidi="zh-TW"/>
                <w14:textFill>
                  <w14:solidFill>
                    <w14:schemeClr w14:val="tx1"/>
                  </w14:solidFill>
                </w14:textFill>
              </w:rPr>
              <w:t>未达条件</w:t>
            </w:r>
            <w:r>
              <w:rPr>
                <w:rFonts w:hint="eastAsia" w:ascii="楷体" w:hAnsi="楷体" w:eastAsia="楷体" w:cs="楷体"/>
                <w:b w:val="0"/>
                <w:bCs w:val="0"/>
                <w:color w:val="000000" w:themeColor="text1"/>
                <w:sz w:val="21"/>
                <w:szCs w:val="21"/>
                <w:highlight w:val="none"/>
                <w:lang w:val="en-US" w:eastAsia="zh-CN" w:bidi="zh-TW"/>
                <w14:textFill>
                  <w14:solidFill>
                    <w14:schemeClr w14:val="tx1"/>
                  </w14:solidFill>
                </w14:textFill>
              </w:rPr>
              <w:t>为无效报价</w:t>
            </w:r>
            <w:r>
              <w:rPr>
                <w:rFonts w:hint="eastAsia" w:ascii="楷体" w:hAnsi="楷体" w:eastAsia="楷体" w:cs="楷体"/>
                <w:b w:val="0"/>
                <w:bCs w:val="0"/>
                <w:color w:val="000000" w:themeColor="text1"/>
                <w:sz w:val="21"/>
                <w:szCs w:val="21"/>
                <w:highlight w:val="none"/>
                <w:lang w:eastAsia="zh-CN" w:bidi="zh-TW"/>
                <w14:textFill>
                  <w14:solidFill>
                    <w14:schemeClr w14:val="tx1"/>
                  </w14:solidFill>
                </w14:textFill>
              </w:rPr>
              <w:t>。</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7627FC67">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3F98044E">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37B5FA4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240614FD">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362DCF85">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14:paraId="466A1882">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721" w:hRule="atLeast"/>
        </w:trPr>
        <w:tc>
          <w:tcPr>
            <w:tcW w:w="1267" w:type="dxa"/>
            <w:tcBorders>
              <w:tl2br w:val="nil"/>
              <w:tr2bl w:val="nil"/>
            </w:tcBorders>
            <w:noWrap w:val="0"/>
            <w:tcMar>
              <w:top w:w="0" w:type="dxa"/>
              <w:left w:w="105" w:type="dxa"/>
              <w:bottom w:w="0" w:type="dxa"/>
              <w:right w:w="105" w:type="dxa"/>
            </w:tcMar>
            <w:vAlign w:val="center"/>
          </w:tcPr>
          <w:p w14:paraId="353BAD55">
            <w:pPr>
              <w:jc w:val="cente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w:t>
            </w:r>
            <w:r>
              <w:rPr>
                <w:rFonts w:hint="eastAsia" w:ascii="楷体" w:hAnsi="楷体" w:eastAsia="楷体" w:cs="楷体"/>
                <w:b w:val="0"/>
                <w:bCs w:val="0"/>
                <w:color w:val="000000" w:themeColor="text1"/>
                <w:kern w:val="1"/>
                <w:sz w:val="21"/>
                <w:szCs w:val="21"/>
                <w:highlight w:val="none"/>
                <w14:textFill>
                  <w14:solidFill>
                    <w14:schemeClr w14:val="tx1"/>
                  </w14:solidFill>
                </w14:textFill>
              </w:rPr>
              <w:t>服务业绩</w:t>
            </w:r>
          </w:p>
        </w:tc>
        <w:tc>
          <w:tcPr>
            <w:tcW w:w="573" w:type="dxa"/>
            <w:tcBorders>
              <w:tl2br w:val="nil"/>
              <w:tr2bl w:val="nil"/>
            </w:tcBorders>
            <w:noWrap w:val="0"/>
            <w:tcMar>
              <w:top w:w="0" w:type="dxa"/>
              <w:left w:w="105" w:type="dxa"/>
              <w:bottom w:w="0" w:type="dxa"/>
              <w:right w:w="105" w:type="dxa"/>
            </w:tcMar>
            <w:vAlign w:val="center"/>
          </w:tcPr>
          <w:p w14:paraId="48C288EF">
            <w:pPr>
              <w:jc w:val="center"/>
              <w:rPr>
                <w:rFonts w:hint="default"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bidi="ar-SA"/>
                <w14:textFill>
                  <w14:solidFill>
                    <w14:schemeClr w14:val="tx1"/>
                  </w14:solidFill>
                </w14:textFill>
              </w:rPr>
              <w:t>20</w:t>
            </w:r>
          </w:p>
        </w:tc>
        <w:tc>
          <w:tcPr>
            <w:tcW w:w="3060" w:type="dxa"/>
            <w:tcBorders>
              <w:tl2br w:val="nil"/>
              <w:tr2bl w:val="nil"/>
            </w:tcBorders>
            <w:noWrap w:val="0"/>
            <w:tcMar>
              <w:top w:w="0" w:type="dxa"/>
              <w:left w:w="105" w:type="dxa"/>
              <w:bottom w:w="0" w:type="dxa"/>
              <w:right w:w="105" w:type="dxa"/>
            </w:tcMar>
            <w:vAlign w:val="center"/>
          </w:tcPr>
          <w:p w14:paraId="3FC74A7A">
            <w:pPr>
              <w:pStyle w:val="6"/>
              <w:ind w:left="0" w:leftChars="0" w:firstLine="0" w:firstLineChars="0"/>
              <w:rPr>
                <w:rFonts w:hint="eastAsia" w:ascii="Calibri" w:hAnsi="Calibri" w:eastAsia="楷体" w:cs="Times New Roman"/>
                <w:color w:val="000000" w:themeColor="text1"/>
                <w:kern w:val="2"/>
                <w:sz w:val="21"/>
                <w:szCs w:val="24"/>
                <w:highlight w:val="none"/>
                <w:lang w:val="en-US" w:eastAsia="zh-CN" w:bidi="ar-SA"/>
                <w14:textFill>
                  <w14:solidFill>
                    <w14:schemeClr w14:val="tx1"/>
                  </w14:solidFill>
                </w14:textFill>
              </w:rPr>
            </w:pPr>
            <w:r>
              <w:rPr>
                <w:rFonts w:hint="eastAsia" w:ascii="楷体" w:hAnsi="楷体" w:eastAsia="楷体" w:cs="楷体"/>
                <w:b w:val="0"/>
                <w:bCs w:val="0"/>
                <w:color w:val="000000" w:themeColor="text1"/>
                <w:kern w:val="1"/>
                <w:sz w:val="21"/>
                <w:szCs w:val="21"/>
                <w:highlight w:val="none"/>
                <w:lang w:val="en-US" w:eastAsia="zh-CN"/>
                <w14:textFill>
                  <w14:solidFill>
                    <w14:schemeClr w14:val="tx1"/>
                  </w14:solidFill>
                </w14:textFill>
              </w:rPr>
              <w:t>服务团队有为国企提供企业/政府部门提供诉讼或执行法律服务标的金额1000万（含1000万）以上的，每增加一例得4分，最高不超过20分。</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59BB6C0F">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295FA603">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5EEA160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24A1F748">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6796FAC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r w14:paraId="1C8DA994">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567" w:type="dxa"/>
            <w:left w:w="105" w:type="dxa"/>
            <w:bottom w:w="567" w:type="dxa"/>
            <w:right w:w="105" w:type="dxa"/>
          </w:tblCellMar>
        </w:tblPrEx>
        <w:trPr>
          <w:trHeight w:val="721" w:hRule="atLeast"/>
        </w:trPr>
        <w:tc>
          <w:tcPr>
            <w:tcW w:w="1267" w:type="dxa"/>
            <w:tcBorders>
              <w:tl2br w:val="nil"/>
              <w:tr2bl w:val="nil"/>
            </w:tcBorders>
            <w:noWrap w:val="0"/>
            <w:tcMar>
              <w:top w:w="0" w:type="dxa"/>
              <w:left w:w="105" w:type="dxa"/>
              <w:bottom w:w="0" w:type="dxa"/>
              <w:right w:w="105" w:type="dxa"/>
            </w:tcMar>
            <w:vAlign w:val="center"/>
          </w:tcPr>
          <w:p w14:paraId="4F5B49D6">
            <w:pPr>
              <w:widowControl/>
              <w:spacing w:line="400" w:lineRule="exact"/>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总分</w:t>
            </w:r>
          </w:p>
        </w:tc>
        <w:tc>
          <w:tcPr>
            <w:tcW w:w="573" w:type="dxa"/>
            <w:tcBorders>
              <w:tl2br w:val="nil"/>
              <w:tr2bl w:val="nil"/>
            </w:tcBorders>
            <w:noWrap w:val="0"/>
            <w:tcMar>
              <w:top w:w="0" w:type="dxa"/>
              <w:left w:w="105" w:type="dxa"/>
              <w:bottom w:w="0" w:type="dxa"/>
              <w:right w:w="105" w:type="dxa"/>
            </w:tcMar>
            <w:vAlign w:val="center"/>
          </w:tcPr>
          <w:p w14:paraId="0B0C5D72">
            <w:pPr>
              <w:widowControl/>
              <w:spacing w:line="400" w:lineRule="exact"/>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100</w:t>
            </w:r>
          </w:p>
        </w:tc>
        <w:tc>
          <w:tcPr>
            <w:tcW w:w="3060" w:type="dxa"/>
            <w:tcBorders>
              <w:tl2br w:val="nil"/>
              <w:tr2bl w:val="nil"/>
            </w:tcBorders>
            <w:noWrap w:val="0"/>
            <w:tcMar>
              <w:top w:w="0" w:type="dxa"/>
              <w:left w:w="105" w:type="dxa"/>
              <w:bottom w:w="0" w:type="dxa"/>
              <w:right w:w="105" w:type="dxa"/>
            </w:tcMar>
            <w:vAlign w:val="center"/>
          </w:tcPr>
          <w:p w14:paraId="61990D4B">
            <w:pPr>
              <w:widowControl/>
              <w:spacing w:line="400" w:lineRule="exact"/>
              <w:jc w:val="center"/>
              <w:rPr>
                <w:rFonts w:hint="eastAsia" w:ascii="楷体" w:hAnsi="楷体" w:eastAsia="楷体" w:cs="楷体"/>
                <w:color w:val="000000" w:themeColor="text1"/>
                <w:kern w:val="0"/>
                <w:sz w:val="24"/>
                <w:szCs w:val="24"/>
                <w:lang w:val="en-US" w:eastAsia="zh-CN"/>
                <w14:textFill>
                  <w14:solidFill>
                    <w14:schemeClr w14:val="tx1"/>
                  </w14:solidFill>
                </w14:textFill>
              </w:rPr>
            </w:pPr>
            <w:r>
              <w:rPr>
                <w:rFonts w:hint="eastAsia" w:ascii="楷体" w:hAnsi="楷体" w:eastAsia="楷体" w:cs="楷体"/>
                <w:color w:val="000000" w:themeColor="text1"/>
                <w:kern w:val="0"/>
                <w:sz w:val="24"/>
                <w:szCs w:val="24"/>
                <w:lang w:val="en-US" w:eastAsia="zh-CN"/>
                <w14:textFill>
                  <w14:solidFill>
                    <w14:schemeClr w14:val="tx1"/>
                  </w14:solidFill>
                </w14:textFill>
              </w:rPr>
              <w:t>得分合计</w:t>
            </w:r>
          </w:p>
        </w:tc>
        <w:tc>
          <w:tcPr>
            <w:tcW w:w="1245" w:type="dxa"/>
            <w:tcBorders>
              <w:right w:val="single" w:color="000000" w:sz="6" w:space="0"/>
              <w:tl2br w:val="nil"/>
              <w:tr2bl w:val="nil"/>
            </w:tcBorders>
            <w:noWrap w:val="0"/>
            <w:tcMar>
              <w:top w:w="0" w:type="dxa"/>
              <w:left w:w="105" w:type="dxa"/>
              <w:bottom w:w="0" w:type="dxa"/>
              <w:right w:w="105" w:type="dxa"/>
            </w:tcMar>
            <w:vAlign w:val="center"/>
          </w:tcPr>
          <w:p w14:paraId="20D72334">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309"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3F1EE5A7">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080F0FCC">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right w:val="single" w:color="000000" w:sz="6" w:space="0"/>
              <w:tl2br w:val="nil"/>
              <w:tr2bl w:val="nil"/>
            </w:tcBorders>
            <w:noWrap w:val="0"/>
            <w:tcMar>
              <w:top w:w="0" w:type="dxa"/>
              <w:left w:w="105" w:type="dxa"/>
              <w:bottom w:w="0" w:type="dxa"/>
              <w:right w:w="105" w:type="dxa"/>
            </w:tcMar>
            <w:vAlign w:val="center"/>
          </w:tcPr>
          <w:p w14:paraId="3EDCA4D6">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c>
          <w:tcPr>
            <w:tcW w:w="1071" w:type="dxa"/>
            <w:tcBorders>
              <w:left w:val="single" w:color="000000" w:sz="6" w:space="0"/>
              <w:tl2br w:val="nil"/>
              <w:tr2bl w:val="nil"/>
            </w:tcBorders>
            <w:noWrap w:val="0"/>
            <w:tcMar>
              <w:top w:w="0" w:type="dxa"/>
              <w:left w:w="105" w:type="dxa"/>
              <w:bottom w:w="0" w:type="dxa"/>
              <w:right w:w="105" w:type="dxa"/>
            </w:tcMar>
            <w:vAlign w:val="center"/>
          </w:tcPr>
          <w:p w14:paraId="2B6EBA44">
            <w:pPr>
              <w:widowControl/>
              <w:spacing w:line="400" w:lineRule="exact"/>
              <w:rPr>
                <w:rFonts w:ascii="Times New Roman" w:hAnsi="Times New Roman" w:eastAsia="仿宋_GB2312" w:cs="Times New Roman"/>
                <w:color w:val="000000" w:themeColor="text1"/>
                <w:kern w:val="0"/>
                <w:sz w:val="32"/>
                <w:szCs w:val="32"/>
                <w14:textFill>
                  <w14:solidFill>
                    <w14:schemeClr w14:val="tx1"/>
                  </w14:solidFill>
                </w14:textFill>
              </w:rPr>
            </w:pPr>
          </w:p>
        </w:tc>
      </w:tr>
    </w:tbl>
    <w:p w14:paraId="4965938F">
      <w:pPr>
        <w:rPr>
          <w:rFonts w:hint="eastAsia" w:ascii="宋体" w:hAnsi="宋体" w:eastAsia="宋体" w:cs="宋体"/>
          <w:color w:val="000000" w:themeColor="text1"/>
          <w:sz w:val="28"/>
          <w:szCs w:val="28"/>
          <w:lang w:val="en-US" w:eastAsia="zh-CN"/>
          <w14:textFill>
            <w14:solidFill>
              <w14:schemeClr w14:val="tx1"/>
            </w14:solidFill>
          </w14:textFill>
        </w:rPr>
      </w:pPr>
    </w:p>
    <w:p w14:paraId="19FA9D0A">
      <w:pPr>
        <w:spacing w:line="400" w:lineRule="exact"/>
        <w:ind w:firstLine="560"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评委签字：</w:t>
      </w:r>
      <w:r>
        <w:rPr>
          <w:rFonts w:hint="eastAsia" w:ascii="宋体" w:hAnsi="宋体" w:cs="宋体"/>
          <w:color w:val="000000" w:themeColor="text1"/>
          <w:sz w:val="28"/>
          <w:szCs w:val="28"/>
          <w:lang w:val="en-US" w:eastAsia="zh-CN"/>
          <w14:textFill>
            <w14:solidFill>
              <w14:schemeClr w14:val="tx1"/>
            </w14:solidFill>
          </w14:textFill>
        </w:rPr>
        <w:t xml:space="preserve">__________________             </w:t>
      </w:r>
    </w:p>
    <w:p w14:paraId="4CA474D3">
      <w:pPr>
        <w:spacing w:line="400" w:lineRule="exact"/>
        <w:ind w:firstLine="643" w:firstLineChars="200"/>
        <w:jc w:val="center"/>
        <w:rPr>
          <w:rFonts w:ascii="Times New Roman" w:hAnsi="Times New Roman" w:eastAsia="仿宋" w:cs="Times New Roman"/>
          <w:b/>
          <w:color w:val="000000" w:themeColor="text1"/>
          <w:kern w:val="0"/>
          <w:sz w:val="32"/>
          <w:szCs w:val="32"/>
          <w:highlight w:val="none"/>
          <w14:textFill>
            <w14:solidFill>
              <w14:schemeClr w14:val="tx1"/>
            </w14:solidFill>
          </w14:textFill>
        </w:rPr>
      </w:pPr>
    </w:p>
    <w:p w14:paraId="6F0925FB">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782AEC4C">
      <w:pPr>
        <w:spacing w:line="400" w:lineRule="exact"/>
        <w:ind w:firstLine="643" w:firstLineChars="200"/>
        <w:jc w:val="center"/>
        <w:rPr>
          <w:rFonts w:ascii="Times New Roman" w:hAnsi="Times New Roman" w:eastAsia="仿宋" w:cs="Times New Roman"/>
          <w:b/>
          <w:color w:val="auto"/>
          <w:kern w:val="0"/>
          <w:sz w:val="32"/>
          <w:szCs w:val="32"/>
          <w:highlight w:val="none"/>
        </w:rPr>
      </w:pPr>
    </w:p>
    <w:p w14:paraId="21BAE105">
      <w:pPr>
        <w:keepNext/>
        <w:keepLines/>
        <w:widowControl w:val="0"/>
        <w:spacing w:before="0" w:after="156" w:afterLines="50" w:line="460" w:lineRule="exact"/>
        <w:jc w:val="center"/>
        <w:outlineLvl w:val="0"/>
        <w:rPr>
          <w:rFonts w:hint="eastAsia" w:ascii="仿宋_GB2312" w:hAnsi="仿宋_GB2312" w:eastAsia="仿宋_GB2312" w:cs="仿宋_GB2312"/>
          <w:b/>
          <w:bCs/>
          <w:color w:val="auto"/>
          <w:kern w:val="44"/>
          <w:sz w:val="32"/>
          <w:szCs w:val="32"/>
          <w:highlight w:val="none"/>
          <w:lang w:val="zh-CN" w:eastAsia="zh-CN" w:bidi="ar-SA"/>
        </w:rPr>
      </w:pPr>
      <w:bookmarkStart w:id="416" w:name="_Toc10904"/>
      <w:bookmarkStart w:id="417" w:name="_Toc28949"/>
      <w:bookmarkStart w:id="418" w:name="_Toc18600"/>
      <w:bookmarkStart w:id="419" w:name="_Toc332"/>
      <w:bookmarkStart w:id="420" w:name="_Toc13785"/>
      <w:bookmarkStart w:id="421" w:name="_Toc3249"/>
      <w:bookmarkStart w:id="422" w:name="_Toc19065"/>
      <w:bookmarkStart w:id="423" w:name="_Toc5396"/>
      <w:bookmarkStart w:id="424" w:name="_Toc23662"/>
      <w:bookmarkStart w:id="425" w:name="_Toc12996"/>
    </w:p>
    <w:p w14:paraId="59D9403B">
      <w:pPr>
        <w:keepNext/>
        <w:keepLines/>
        <w:widowControl w:val="0"/>
        <w:spacing w:before="0" w:after="156" w:afterLines="50" w:line="460" w:lineRule="exact"/>
        <w:jc w:val="center"/>
        <w:outlineLvl w:val="0"/>
        <w:rPr>
          <w:rFonts w:hint="eastAsia" w:ascii="仿宋_GB2312" w:hAnsi="仿宋_GB2312" w:eastAsia="仿宋_GB2312" w:cs="仿宋_GB2312"/>
          <w:b/>
          <w:bCs/>
          <w:color w:val="auto"/>
          <w:kern w:val="44"/>
          <w:sz w:val="32"/>
          <w:szCs w:val="32"/>
          <w:highlight w:val="none"/>
          <w:lang w:val="zh-CN" w:eastAsia="zh-CN" w:bidi="ar-SA"/>
        </w:rPr>
      </w:pPr>
    </w:p>
    <w:p w14:paraId="08B58607">
      <w:pPr>
        <w:keepNext/>
        <w:keepLines/>
        <w:widowControl w:val="0"/>
        <w:spacing w:before="0" w:after="156" w:afterLines="50" w:line="460" w:lineRule="exact"/>
        <w:jc w:val="center"/>
        <w:outlineLvl w:val="0"/>
        <w:rPr>
          <w:rFonts w:ascii="仿宋_GB2312" w:hAnsi="仿宋_GB2312" w:eastAsia="仿宋_GB2312" w:cs="仿宋_GB2312"/>
          <w:b/>
          <w:bCs/>
          <w:color w:val="auto"/>
          <w:kern w:val="0"/>
          <w:sz w:val="32"/>
          <w:szCs w:val="32"/>
          <w:highlight w:val="none"/>
          <w:lang w:val="zh-CN" w:eastAsia="zh-CN" w:bidi="ar-SA"/>
        </w:rPr>
      </w:pPr>
      <w:r>
        <w:rPr>
          <w:rFonts w:hint="eastAsia" w:ascii="仿宋_GB2312" w:hAnsi="仿宋_GB2312" w:eastAsia="仿宋_GB2312" w:cs="仿宋_GB2312"/>
          <w:b/>
          <w:bCs/>
          <w:color w:val="auto"/>
          <w:kern w:val="44"/>
          <w:sz w:val="32"/>
          <w:szCs w:val="32"/>
          <w:highlight w:val="none"/>
          <w:lang w:val="zh-CN" w:eastAsia="zh-CN" w:bidi="ar-SA"/>
        </w:rPr>
        <w:t xml:space="preserve">第七章 </w:t>
      </w:r>
      <w:r>
        <w:rPr>
          <w:rFonts w:hint="eastAsia" w:ascii="仿宋_GB2312" w:hAnsi="仿宋_GB2312" w:eastAsia="仿宋_GB2312" w:cs="仿宋_GB2312"/>
          <w:b/>
          <w:bCs/>
          <w:color w:val="auto"/>
          <w:kern w:val="44"/>
          <w:sz w:val="32"/>
          <w:szCs w:val="32"/>
          <w:highlight w:val="none"/>
          <w:lang w:val="en-US" w:eastAsia="zh-CN" w:bidi="ar-SA"/>
        </w:rPr>
        <w:t>主要</w:t>
      </w:r>
      <w:r>
        <w:rPr>
          <w:rFonts w:hint="eastAsia" w:ascii="仿宋_GB2312" w:hAnsi="仿宋_GB2312" w:eastAsia="仿宋_GB2312" w:cs="仿宋_GB2312"/>
          <w:b/>
          <w:bCs/>
          <w:color w:val="auto"/>
          <w:kern w:val="44"/>
          <w:sz w:val="32"/>
          <w:szCs w:val="32"/>
          <w:highlight w:val="none"/>
          <w:lang w:val="zh-CN" w:eastAsia="zh-CN" w:bidi="ar-SA"/>
        </w:rPr>
        <w:t>合同条款（草案）</w:t>
      </w:r>
      <w:bookmarkEnd w:id="414"/>
      <w:bookmarkEnd w:id="415"/>
      <w:bookmarkEnd w:id="416"/>
      <w:bookmarkEnd w:id="417"/>
      <w:bookmarkEnd w:id="418"/>
      <w:bookmarkEnd w:id="419"/>
      <w:bookmarkEnd w:id="420"/>
      <w:bookmarkEnd w:id="421"/>
      <w:bookmarkEnd w:id="422"/>
      <w:bookmarkEnd w:id="423"/>
      <w:bookmarkEnd w:id="424"/>
      <w:bookmarkEnd w:id="425"/>
    </w:p>
    <w:p w14:paraId="0BCBFC9E">
      <w:pPr>
        <w:spacing w:line="460" w:lineRule="exact"/>
        <w:ind w:firstLine="480" w:firstLineChars="200"/>
        <w:jc w:val="right"/>
        <w:rPr>
          <w:rFonts w:hint="eastAsia" w:ascii="仿宋_GB2312" w:hAnsi="仿宋_GB2312" w:eastAsia="仿宋_GB2312" w:cs="仿宋_GB2312"/>
          <w:color w:val="auto"/>
          <w:sz w:val="24"/>
          <w:highlight w:val="none"/>
        </w:rPr>
      </w:pPr>
    </w:p>
    <w:p w14:paraId="70C7EA7C">
      <w:pPr>
        <w:spacing w:line="460" w:lineRule="exact"/>
        <w:ind w:firstLine="480" w:firstLineChars="200"/>
        <w:jc w:val="righ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合同编号：</w:t>
      </w:r>
    </w:p>
    <w:p w14:paraId="7889205B">
      <w:pPr>
        <w:spacing w:line="460" w:lineRule="exact"/>
        <w:ind w:firstLine="480" w:firstLineChars="200"/>
        <w:rPr>
          <w:rFonts w:ascii="仿宋_GB2312" w:hAnsi="仿宋_GB2312" w:eastAsia="仿宋_GB2312" w:cs="仿宋_GB2312"/>
          <w:color w:val="auto"/>
          <w:sz w:val="24"/>
          <w:highlight w:val="none"/>
        </w:rPr>
      </w:pPr>
    </w:p>
    <w:p w14:paraId="482CFC9F">
      <w:pPr>
        <w:spacing w:before="156" w:beforeLines="50" w:line="360" w:lineRule="exact"/>
        <w:ind w:left="3036" w:leftChars="230" w:hanging="2553" w:hangingChars="1211"/>
        <w:rPr>
          <w:rFonts w:ascii="Times" w:hAnsi="Times" w:eastAsia="楷体"/>
          <w:color w:val="auto"/>
          <w:highlight w:val="none"/>
        </w:rPr>
      </w:pPr>
      <w:bookmarkStart w:id="426" w:name="_Toc5104"/>
      <w:bookmarkStart w:id="427" w:name="_Toc23657"/>
      <w:bookmarkStart w:id="428" w:name="_Toc29145"/>
      <w:r>
        <w:rPr>
          <w:rFonts w:ascii="Times" w:hAnsi="Times" w:eastAsia="楷体"/>
          <w:b/>
          <w:color w:val="auto"/>
          <w:highlight w:val="none"/>
        </w:rPr>
        <w:t>委托人</w:t>
      </w:r>
      <w:r>
        <w:rPr>
          <w:rFonts w:ascii="Times" w:hAnsi="Times" w:eastAsia="楷体"/>
          <w:color w:val="auto"/>
          <w:highlight w:val="none"/>
        </w:rPr>
        <w:t>（以下简称</w:t>
      </w:r>
      <w:r>
        <w:rPr>
          <w:rFonts w:ascii="楷体" w:hAnsi="楷体" w:eastAsia="楷体"/>
          <w:color w:val="auto"/>
          <w:highlight w:val="none"/>
        </w:rPr>
        <w:t>甲方）：</w:t>
      </w:r>
      <w:r>
        <w:rPr>
          <w:rFonts w:hint="eastAsia" w:ascii="楷体" w:hAnsi="楷体" w:eastAsia="楷体"/>
          <w:color w:val="auto"/>
          <w:highlight w:val="none"/>
          <w:lang w:val="en-US" w:eastAsia="zh-CN"/>
        </w:rPr>
        <w:t>xx</w:t>
      </w:r>
      <w:r>
        <w:rPr>
          <w:rFonts w:hint="eastAsia" w:ascii="楷体" w:hAnsi="楷体" w:eastAsia="楷体" w:cs="楷体"/>
          <w:color w:val="auto"/>
          <w:highlight w:val="none"/>
          <w:lang w:val="en-US" w:eastAsia="zh-CN"/>
        </w:rPr>
        <w:t>有限公司</w:t>
      </w:r>
    </w:p>
    <w:p w14:paraId="7252CBE0">
      <w:pPr>
        <w:spacing w:before="156" w:beforeLines="50" w:line="360" w:lineRule="exact"/>
        <w:ind w:left="1547" w:leftChars="229" w:hanging="1066" w:hangingChars="508"/>
        <w:rPr>
          <w:rFonts w:hint="eastAsia" w:ascii="楷体" w:hAnsi="楷体" w:eastAsia="楷体" w:cs="楷体"/>
          <w:color w:val="auto"/>
          <w:highlight w:val="none"/>
        </w:rPr>
      </w:pPr>
      <w:r>
        <w:rPr>
          <w:rFonts w:hint="eastAsia" w:ascii="楷体" w:hAnsi="楷体" w:eastAsia="楷体" w:cs="楷体"/>
          <w:color w:val="auto"/>
          <w:highlight w:val="none"/>
        </w:rPr>
        <w:t>法定地址：</w:t>
      </w:r>
    </w:p>
    <w:p w14:paraId="57CAEDC2">
      <w:pPr>
        <w:spacing w:before="156" w:beforeLines="50" w:line="360" w:lineRule="exact"/>
        <w:ind w:left="1547" w:leftChars="229" w:hanging="1066" w:hangingChars="508"/>
        <w:rPr>
          <w:rFonts w:hint="eastAsia" w:ascii="楷体" w:hAnsi="楷体" w:eastAsia="楷体" w:cs="楷体"/>
          <w:color w:val="auto"/>
          <w:highlight w:val="none"/>
        </w:rPr>
      </w:pPr>
      <w:r>
        <w:rPr>
          <w:rFonts w:hint="eastAsia" w:ascii="楷体" w:hAnsi="楷体" w:eastAsia="楷体" w:cs="楷体"/>
          <w:color w:val="auto"/>
          <w:highlight w:val="none"/>
        </w:rPr>
        <w:t>联系电话：</w:t>
      </w:r>
    </w:p>
    <w:p w14:paraId="197159BF">
      <w:pPr>
        <w:spacing w:before="156" w:beforeLines="50" w:line="360" w:lineRule="exact"/>
        <w:ind w:firstLine="420" w:firstLineChars="200"/>
        <w:rPr>
          <w:rFonts w:ascii="Times" w:hAnsi="Times" w:eastAsia="楷体"/>
          <w:color w:val="auto"/>
          <w:highlight w:val="none"/>
        </w:rPr>
      </w:pPr>
    </w:p>
    <w:p w14:paraId="7FF4C834">
      <w:pPr>
        <w:spacing w:before="156" w:beforeLines="50" w:line="360" w:lineRule="exact"/>
        <w:ind w:left="3036" w:leftChars="230" w:hanging="2553" w:hangingChars="1211"/>
        <w:rPr>
          <w:rFonts w:ascii="Times" w:hAnsi="Times" w:eastAsia="楷体"/>
          <w:color w:val="auto"/>
          <w:highlight w:val="none"/>
        </w:rPr>
      </w:pPr>
      <w:r>
        <w:rPr>
          <w:rFonts w:ascii="Times" w:hAnsi="Times" w:eastAsia="楷体"/>
          <w:b/>
          <w:color w:val="auto"/>
          <w:highlight w:val="none"/>
        </w:rPr>
        <w:t>受托人</w:t>
      </w:r>
      <w:r>
        <w:rPr>
          <w:rFonts w:ascii="Times" w:hAnsi="Times" w:eastAsia="楷体"/>
          <w:color w:val="auto"/>
          <w:highlight w:val="none"/>
        </w:rPr>
        <w:t>（以下简称乙方）：</w:t>
      </w:r>
      <w:r>
        <w:rPr>
          <w:rFonts w:hint="eastAsia" w:ascii="Times" w:hAnsi="Times" w:eastAsia="楷体"/>
          <w:color w:val="auto"/>
          <w:highlight w:val="none"/>
          <w:lang w:val="en-US" w:eastAsia="zh-CN"/>
        </w:rPr>
        <w:t>xx</w:t>
      </w:r>
      <w:r>
        <w:rPr>
          <w:rFonts w:ascii="Times" w:hAnsi="Times" w:eastAsia="楷体"/>
          <w:color w:val="auto"/>
          <w:highlight w:val="none"/>
        </w:rPr>
        <w:t>律师事务所</w:t>
      </w:r>
    </w:p>
    <w:p w14:paraId="236C20FA">
      <w:pPr>
        <w:spacing w:before="156" w:beforeLines="50" w:line="360" w:lineRule="exact"/>
        <w:ind w:left="1547" w:leftChars="229" w:hanging="1066" w:hangingChars="508"/>
        <w:rPr>
          <w:rFonts w:ascii="Times" w:hAnsi="Times" w:eastAsia="楷体"/>
          <w:color w:val="auto"/>
          <w:highlight w:val="none"/>
        </w:rPr>
      </w:pPr>
      <w:r>
        <w:rPr>
          <w:rFonts w:ascii="Times" w:hAnsi="Times" w:eastAsia="楷体"/>
          <w:color w:val="auto"/>
          <w:highlight w:val="none"/>
        </w:rPr>
        <w:t>法定地址：</w:t>
      </w:r>
    </w:p>
    <w:p w14:paraId="5CF507E5">
      <w:pPr>
        <w:spacing w:before="156" w:beforeLines="50" w:line="360" w:lineRule="exact"/>
        <w:ind w:left="1547" w:leftChars="229" w:hanging="1066" w:hangingChars="508"/>
        <w:rPr>
          <w:rFonts w:ascii="Times" w:hAnsi="Times" w:eastAsia="楷体"/>
          <w:color w:val="auto"/>
          <w:highlight w:val="none"/>
        </w:rPr>
      </w:pPr>
      <w:r>
        <w:rPr>
          <w:rFonts w:ascii="Times" w:hAnsi="Times" w:eastAsia="楷体"/>
          <w:color w:val="auto"/>
          <w:highlight w:val="none"/>
        </w:rPr>
        <w:t>联系电话：</w:t>
      </w:r>
    </w:p>
    <w:p w14:paraId="76D26AE0">
      <w:pPr>
        <w:spacing w:before="156" w:beforeLines="50" w:line="360" w:lineRule="exact"/>
        <w:rPr>
          <w:rFonts w:ascii="Times" w:hAnsi="Times" w:eastAsia="楷体"/>
          <w:color w:val="auto"/>
          <w:highlight w:val="none"/>
        </w:rPr>
      </w:pPr>
    </w:p>
    <w:p w14:paraId="654B394C">
      <w:pPr>
        <w:spacing w:before="156" w:beforeLines="50" w:line="360" w:lineRule="exact"/>
        <w:ind w:firstLine="422" w:firstLineChars="200"/>
        <w:rPr>
          <w:rFonts w:ascii="Times" w:hAnsi="Times" w:eastAsia="楷体"/>
          <w:b/>
          <w:bCs/>
          <w:color w:val="auto"/>
          <w:highlight w:val="none"/>
          <w:u w:color="FFFFFF"/>
        </w:rPr>
      </w:pPr>
      <w:r>
        <w:rPr>
          <w:rFonts w:ascii="Times" w:hAnsi="Times" w:eastAsia="楷体"/>
          <w:b/>
          <w:bCs/>
          <w:color w:val="auto"/>
          <w:highlight w:val="none"/>
          <w:u w:color="FFFFFF"/>
        </w:rPr>
        <w:t>鉴于：</w:t>
      </w:r>
    </w:p>
    <w:p w14:paraId="259C6FB1">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olor w:val="auto"/>
          <w:highlight w:val="none"/>
          <w:u w:color="FFFFFF"/>
        </w:rPr>
        <w:t>甲方是</w:t>
      </w:r>
      <w:r>
        <w:rPr>
          <w:rFonts w:eastAsia="楷体"/>
          <w:color w:val="auto"/>
          <w:highlight w:val="none"/>
          <w:u w:color="FFFFFF"/>
        </w:rPr>
        <w:t>一家在中华人民共和国境内经合法注册、有效运营的公司</w:t>
      </w:r>
      <w:r>
        <w:rPr>
          <w:rFonts w:ascii="Times" w:hAnsi="Times" w:eastAsia="楷体"/>
          <w:color w:val="auto"/>
          <w:highlight w:val="none"/>
          <w:u w:color="FFFFFF"/>
        </w:rPr>
        <w:t>；</w:t>
      </w:r>
    </w:p>
    <w:p w14:paraId="1163F322">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olor w:val="auto"/>
          <w:highlight w:val="none"/>
          <w:u w:color="FFFFFF"/>
        </w:rPr>
        <w:t>乙方是一家在中华人民共和国境内经合法注册登记成立的提供律师法律服务的大型的特殊普通合伙制律师事务所；</w:t>
      </w:r>
    </w:p>
    <w:p w14:paraId="5AAB6049">
      <w:pPr>
        <w:numPr>
          <w:ilvl w:val="0"/>
          <w:numId w:val="3"/>
        </w:numPr>
        <w:spacing w:before="156" w:beforeLines="50" w:line="360" w:lineRule="exact"/>
        <w:ind w:left="0" w:firstLine="480"/>
        <w:jc w:val="both"/>
        <w:rPr>
          <w:rFonts w:ascii="Times" w:hAnsi="Times" w:eastAsia="楷体"/>
          <w:color w:val="auto"/>
          <w:highlight w:val="none"/>
          <w:u w:color="FFFFFF"/>
        </w:rPr>
      </w:pPr>
      <w:r>
        <w:rPr>
          <w:rFonts w:ascii="Times" w:hAnsi="Times" w:eastAsia="楷体" w:cs="Times New Roman"/>
          <w:color w:val="auto"/>
          <w:highlight w:val="none"/>
          <w:u w:color="FFFFFF"/>
        </w:rPr>
        <w:t>甲方因与</w:t>
      </w:r>
      <w:r>
        <w:rPr>
          <w:rFonts w:hint="eastAsia" w:ascii="Times" w:hAnsi="Times" w:eastAsia="楷体" w:cs="Times New Roman"/>
          <w:color w:val="auto"/>
          <w:highlight w:val="none"/>
          <w:u w:val="single" w:color="auto"/>
          <w:lang w:val="en-US" w:eastAsia="zh-CN"/>
        </w:rPr>
        <w:t xml:space="preserve">  xxx 有限公司</w:t>
      </w:r>
      <w:r>
        <w:rPr>
          <w:rFonts w:hint="eastAsia" w:ascii="Times" w:hAnsi="Times" w:eastAsia="楷体" w:cs="Times New Roman"/>
          <w:color w:val="auto"/>
          <w:highlight w:val="none"/>
          <w:u w:val="none" w:color="auto"/>
          <w:lang w:val="en-US" w:eastAsia="zh-CN"/>
        </w:rPr>
        <w:t>买卖</w:t>
      </w:r>
      <w:r>
        <w:rPr>
          <w:rFonts w:hint="eastAsia" w:ascii="Times" w:hAnsi="Times" w:eastAsia="楷体" w:cs="Times New Roman"/>
          <w:color w:val="auto"/>
          <w:highlight w:val="none"/>
          <w:u w:color="FFFFFF"/>
        </w:rPr>
        <w:t>合同</w:t>
      </w:r>
      <w:r>
        <w:rPr>
          <w:rFonts w:ascii="Times" w:hAnsi="Times" w:eastAsia="楷体" w:cs="Times New Roman"/>
          <w:color w:val="auto"/>
          <w:highlight w:val="none"/>
          <w:u w:color="FFFFFF"/>
        </w:rPr>
        <w:t>纠纷一案拟在中华人民共和国境内聘请一家具有合法执业资格的律师事务所为甲方提供法律服</w:t>
      </w:r>
      <w:r>
        <w:rPr>
          <w:rFonts w:ascii="Times" w:hAnsi="Times" w:eastAsia="楷体"/>
          <w:color w:val="auto"/>
          <w:highlight w:val="none"/>
          <w:u w:color="FFFFFF"/>
        </w:rPr>
        <w:t>务。</w:t>
      </w:r>
    </w:p>
    <w:p w14:paraId="786D7F51">
      <w:pPr>
        <w:spacing w:before="156" w:beforeLines="50" w:line="360" w:lineRule="exact"/>
        <w:ind w:firstLine="420" w:firstLineChars="200"/>
        <w:jc w:val="both"/>
        <w:rPr>
          <w:rFonts w:ascii="Times" w:hAnsi="Times" w:eastAsia="楷体"/>
          <w:color w:val="auto"/>
          <w:highlight w:val="none"/>
        </w:rPr>
      </w:pPr>
      <w:r>
        <w:rPr>
          <w:rFonts w:ascii="Times" w:hAnsi="Times" w:eastAsia="楷体"/>
          <w:color w:val="auto"/>
          <w:highlight w:val="none"/>
        </w:rPr>
        <w:t>双方本着平等协商的原则，就合同有关条款达成一致，共同遵照执行。</w:t>
      </w:r>
    </w:p>
    <w:p w14:paraId="75547D47">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委托代理事项</w:t>
      </w:r>
    </w:p>
    <w:p w14:paraId="004C2F2B">
      <w:pPr>
        <w:spacing w:before="156" w:beforeLines="50" w:line="360" w:lineRule="exact"/>
        <w:ind w:firstLine="420" w:firstLineChars="200"/>
        <w:rPr>
          <w:rFonts w:ascii="Times" w:hAnsi="Times" w:eastAsia="楷体"/>
          <w:color w:val="auto"/>
          <w:highlight w:val="none"/>
        </w:rPr>
      </w:pPr>
      <w:r>
        <w:rPr>
          <w:rFonts w:ascii="Times" w:hAnsi="Times" w:eastAsia="楷体"/>
          <w:color w:val="auto"/>
          <w:highlight w:val="none"/>
        </w:rPr>
        <w:t>乙方接受甲方委托，并应甲方要求，乙方安排本所</w:t>
      </w:r>
      <w:r>
        <w:rPr>
          <w:rFonts w:ascii="Times" w:hAnsi="Times" w:eastAsia="Kaiti SC"/>
          <w:color w:val="auto"/>
          <w:highlight w:val="none"/>
          <w:u w:val="single"/>
        </w:rPr>
        <w:t xml:space="preserve"> </w:t>
      </w:r>
      <w:r>
        <w:rPr>
          <w:rFonts w:hint="eastAsia" w:ascii="Times" w:hAnsi="Times" w:eastAsia="Kaiti SC"/>
          <w:color w:val="auto"/>
          <w:highlight w:val="none"/>
          <w:u w:val="single"/>
          <w:lang w:val="en-US" w:eastAsia="zh-CN"/>
        </w:rPr>
        <w:t xml:space="preserve">   </w:t>
      </w:r>
      <w:r>
        <w:rPr>
          <w:rFonts w:ascii="Times" w:hAnsi="Times" w:eastAsia="Kaiti SC"/>
          <w:color w:val="auto"/>
          <w:highlight w:val="none"/>
          <w:u w:val="single"/>
        </w:rPr>
        <w:t xml:space="preserve"> </w:t>
      </w:r>
      <w:r>
        <w:rPr>
          <w:rFonts w:ascii="Times" w:hAnsi="Times" w:eastAsia="楷体"/>
          <w:color w:val="auto"/>
          <w:highlight w:val="none"/>
        </w:rPr>
        <w:t>律师担任本合同项下</w:t>
      </w:r>
      <w:r>
        <w:rPr>
          <w:rFonts w:hint="eastAsia" w:ascii="Times" w:hAnsi="Times" w:eastAsia="楷体"/>
          <w:color w:val="auto"/>
          <w:highlight w:val="none"/>
        </w:rPr>
        <w:t>甲方与</w:t>
      </w:r>
      <w:r>
        <w:rPr>
          <w:rFonts w:hint="eastAsia" w:ascii="Times" w:hAnsi="Times" w:eastAsia="楷体" w:cs="Times New Roman"/>
          <w:color w:val="auto"/>
          <w:highlight w:val="none"/>
          <w:u w:val="single" w:color="auto"/>
          <w:lang w:val="en-US" w:eastAsia="zh-CN"/>
        </w:rPr>
        <w:t>xxx有限公司</w:t>
      </w:r>
      <w:r>
        <w:rPr>
          <w:rFonts w:hint="eastAsia" w:ascii="Times" w:hAnsi="Times" w:eastAsia="楷体" w:cs="Times New Roman"/>
          <w:color w:val="auto"/>
          <w:highlight w:val="none"/>
          <w:u w:val="none" w:color="auto"/>
          <w:lang w:val="en-US" w:eastAsia="zh-CN"/>
        </w:rPr>
        <w:t>买卖合同</w:t>
      </w:r>
      <w:r>
        <w:rPr>
          <w:rFonts w:ascii="Times" w:hAnsi="Times" w:eastAsia="楷体"/>
          <w:color w:val="auto"/>
          <w:highlight w:val="none"/>
        </w:rPr>
        <w:t>纠纷案甲方的委托代理人。</w:t>
      </w:r>
    </w:p>
    <w:p w14:paraId="4B733458">
      <w:pPr>
        <w:spacing w:before="156" w:beforeLines="50" w:line="360" w:lineRule="exact"/>
        <w:ind w:firstLine="420" w:firstLineChars="200"/>
        <w:jc w:val="both"/>
        <w:rPr>
          <w:rFonts w:hint="eastAsia" w:ascii="Times" w:hAnsi="Times" w:eastAsia="楷体"/>
          <w:color w:val="auto"/>
          <w:highlight w:val="none"/>
        </w:rPr>
      </w:pPr>
      <w:r>
        <w:rPr>
          <w:rFonts w:hint="eastAsia" w:ascii="Times" w:hAnsi="Times" w:eastAsia="楷体"/>
          <w:color w:val="auto"/>
          <w:highlight w:val="none"/>
        </w:rPr>
        <w:t>代理事项为：</w:t>
      </w:r>
      <w:r>
        <w:rPr>
          <w:rFonts w:hint="eastAsia" w:ascii="楷体" w:hAnsi="楷体" w:eastAsia="楷体" w:cs="楷体"/>
          <w:color w:val="auto"/>
          <w:sz w:val="24"/>
          <w:szCs w:val="24"/>
          <w:highlight w:val="none"/>
        </w:rPr>
        <w:t xml:space="preserve"> </w:t>
      </w:r>
      <w:r>
        <w:rPr>
          <w:rFonts w:hint="eastAsia" w:ascii="楷体" w:hAnsi="楷体" w:eastAsia="楷体" w:cs="楷体"/>
          <w:color w:val="auto"/>
          <w:sz w:val="21"/>
          <w:szCs w:val="21"/>
          <w:highlight w:val="none"/>
        </w:rPr>
        <w:t>一审； 二审</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如有）</w:t>
      </w:r>
      <w:r>
        <w:rPr>
          <w:rFonts w:hint="eastAsia" w:ascii="楷体" w:hAnsi="楷体" w:eastAsia="楷体" w:cs="楷体"/>
          <w:color w:val="auto"/>
          <w:sz w:val="21"/>
          <w:szCs w:val="21"/>
          <w:highlight w:val="none"/>
        </w:rPr>
        <w:t>； 申诉</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如有）</w:t>
      </w:r>
      <w:r>
        <w:rPr>
          <w:rFonts w:hint="eastAsia" w:ascii="楷体" w:hAnsi="楷体" w:eastAsia="楷体" w:cs="楷体"/>
          <w:color w:val="auto"/>
          <w:sz w:val="21"/>
          <w:szCs w:val="21"/>
          <w:highlight w:val="none"/>
        </w:rPr>
        <w:t>； 再审</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如有）</w:t>
      </w:r>
      <w:r>
        <w:rPr>
          <w:rFonts w:hint="eastAsia" w:ascii="楷体" w:hAnsi="楷体" w:eastAsia="楷体" w:cs="楷体"/>
          <w:color w:val="auto"/>
          <w:sz w:val="21"/>
          <w:szCs w:val="21"/>
          <w:highlight w:val="none"/>
        </w:rPr>
        <w:t>； 执行</w:t>
      </w:r>
      <w:r>
        <w:rPr>
          <w:rFonts w:hint="eastAsia" w:ascii="楷体" w:hAnsi="楷体" w:eastAsia="楷体" w:cs="楷体"/>
          <w:color w:val="auto"/>
          <w:sz w:val="21"/>
          <w:szCs w:val="21"/>
          <w:highlight w:val="none"/>
          <w:lang w:eastAsia="zh-CN"/>
        </w:rPr>
        <w:t>（</w:t>
      </w:r>
      <w:r>
        <w:rPr>
          <w:rFonts w:hint="eastAsia" w:ascii="楷体" w:hAnsi="楷体" w:eastAsia="楷体" w:cs="楷体"/>
          <w:color w:val="auto"/>
          <w:sz w:val="21"/>
          <w:szCs w:val="21"/>
          <w:highlight w:val="none"/>
          <w:lang w:val="en-US" w:eastAsia="zh-CN"/>
        </w:rPr>
        <w:t>如有）</w:t>
      </w:r>
      <w:r>
        <w:rPr>
          <w:rFonts w:hint="eastAsia" w:ascii="楷体" w:hAnsi="楷体" w:eastAsia="楷体" w:cs="楷体"/>
          <w:color w:val="auto"/>
          <w:sz w:val="24"/>
          <w:szCs w:val="24"/>
          <w:highlight w:val="none"/>
        </w:rPr>
        <w:t>；</w:t>
      </w:r>
      <w:r>
        <w:rPr>
          <w:rFonts w:hint="eastAsia" w:ascii="Times" w:hAnsi="Times" w:eastAsia="楷体"/>
          <w:color w:val="auto"/>
          <w:highlight w:val="none"/>
        </w:rPr>
        <w:t xml:space="preserve"> </w:t>
      </w:r>
    </w:p>
    <w:p w14:paraId="49D0FFB3">
      <w:pPr>
        <w:numPr>
          <w:ilvl w:val="0"/>
          <w:numId w:val="4"/>
        </w:numPr>
        <w:spacing w:before="156" w:beforeLines="50" w:line="360" w:lineRule="exact"/>
        <w:rPr>
          <w:rFonts w:hint="eastAsia" w:ascii="楷体" w:hAnsi="楷体" w:eastAsia="楷体" w:cs="楷体"/>
          <w:color w:val="auto"/>
          <w:highlight w:val="none"/>
        </w:rPr>
      </w:pPr>
      <w:r>
        <w:rPr>
          <w:rFonts w:hint="eastAsia" w:ascii="楷体" w:hAnsi="楷体" w:eastAsia="楷体" w:cs="楷体"/>
          <w:color w:val="auto"/>
          <w:highlight w:val="none"/>
        </w:rPr>
        <w:t>委托代理权限</w:t>
      </w:r>
    </w:p>
    <w:p w14:paraId="0ACBE70D">
      <w:pPr>
        <w:spacing w:before="156" w:beforeLines="50" w:line="360" w:lineRule="exact"/>
        <w:ind w:firstLine="420" w:firstLineChars="200"/>
        <w:rPr>
          <w:rFonts w:ascii="Times" w:hAnsi="Times" w:eastAsia="楷体"/>
          <w:color w:val="auto"/>
          <w:highlight w:val="none"/>
        </w:rPr>
      </w:pPr>
      <w:r>
        <w:rPr>
          <w:rFonts w:ascii="Times" w:hAnsi="Times" w:eastAsia="楷体"/>
          <w:color w:val="auto"/>
          <w:highlight w:val="none"/>
        </w:rPr>
        <w:t>甲方授予乙方律师的代理权限为</w:t>
      </w:r>
      <w:r>
        <w:rPr>
          <w:rFonts w:ascii="Times" w:hAnsi="Times" w:eastAsia="Kaiti SC"/>
          <w:color w:val="auto"/>
          <w:highlight w:val="none"/>
          <w:u w:val="single"/>
        </w:rPr>
        <w:t xml:space="preserve"> </w:t>
      </w:r>
      <w:r>
        <w:rPr>
          <w:rFonts w:hint="eastAsia" w:ascii="Times" w:hAnsi="Times" w:eastAsia="Kaiti SC"/>
          <w:color w:val="auto"/>
          <w:highlight w:val="none"/>
          <w:u w:val="single"/>
          <w:lang w:val="en-US" w:eastAsia="zh-CN"/>
        </w:rPr>
        <w:t xml:space="preserve">  </w:t>
      </w:r>
      <w:r>
        <w:rPr>
          <w:rFonts w:ascii="Times" w:hAnsi="Times" w:eastAsia="Kaiti SC"/>
          <w:color w:val="auto"/>
          <w:highlight w:val="none"/>
          <w:u w:val="single"/>
        </w:rPr>
        <w:t xml:space="preserve"> </w:t>
      </w:r>
      <w:r>
        <w:rPr>
          <w:rFonts w:ascii="Times" w:hAnsi="Times" w:eastAsia="楷体"/>
          <w:color w:val="auto"/>
          <w:highlight w:val="none"/>
        </w:rPr>
        <w:t>代理（具体权限详见《授权委托书》）。在代理期间内如需变更代理权限，双方需另行协商。</w:t>
      </w:r>
    </w:p>
    <w:p w14:paraId="04F96C8B">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甲方的权利义务</w:t>
      </w:r>
    </w:p>
    <w:p w14:paraId="745CF156">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甲方有权要求乙方承办律师及时通报服务或案情进展情况，对乙方提供的法律服务有权提出意见或建议。</w:t>
      </w:r>
    </w:p>
    <w:p w14:paraId="2D0DBB03">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甲方有权拒绝乙方及承办律师提出的本委托合同约定之外的报酬、报销、补贴、津贴或者馈赠要求。</w:t>
      </w:r>
    </w:p>
    <w:p w14:paraId="713EA913">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甲方应当真实、详尽和及时地向乙方叙述案情，提供与委托代理事项有关的证据、文件及其他事实材料；并积极、主动地配合乙方律师的工作，甲方对乙方律师提出的要求应当明确合理。</w:t>
      </w:r>
    </w:p>
    <w:p w14:paraId="628B4A4A">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甲方应当按时、足额向乙方支付律师代理费和工作费用。</w:t>
      </w:r>
    </w:p>
    <w:p w14:paraId="097BE7DF">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甲方指定</w:t>
      </w:r>
      <w:r>
        <w:rPr>
          <w:rFonts w:ascii="Times" w:hAnsi="Times" w:eastAsia="Kaiti SC"/>
          <w:color w:val="auto"/>
          <w:highlight w:val="none"/>
          <w:u w:val="single"/>
        </w:rPr>
        <w:t xml:space="preserve">    </w:t>
      </w:r>
      <w:r>
        <w:rPr>
          <w:rFonts w:ascii="Times" w:hAnsi="Times" w:eastAsia="楷体"/>
          <w:color w:val="auto"/>
          <w:highlight w:val="none"/>
        </w:rPr>
        <w:t>为本案联系人（联系电话：</w:t>
      </w:r>
      <w:r>
        <w:rPr>
          <w:rFonts w:ascii="Times" w:hAnsi="Times" w:eastAsia="Kaiti SC"/>
          <w:color w:val="auto"/>
          <w:highlight w:val="none"/>
          <w:u w:val="single"/>
        </w:rPr>
        <w:t xml:space="preserve">    </w:t>
      </w:r>
      <w:r>
        <w:rPr>
          <w:rFonts w:ascii="Times" w:hAnsi="Times" w:eastAsia="楷体"/>
          <w:color w:val="auto"/>
          <w:highlight w:val="none"/>
        </w:rPr>
        <w:t>），负责转达甲方的指示和要求，提供文件和资料等，甲方更换联系人（或更换联系电话）应当及时通知乙方。</w:t>
      </w:r>
    </w:p>
    <w:p w14:paraId="5D380FDB">
      <w:pPr>
        <w:numPr>
          <w:ilvl w:val="0"/>
          <w:numId w:val="5"/>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甲方有责任对委托代理事项做出独立的判断、决策，甲方根据乙方律师提供的法律意见、建议、方案所做出的决定而导致的损失，非因乙方律师错误运用法律等失职行为造成的，由甲方自行承担责任。</w:t>
      </w:r>
    </w:p>
    <w:p w14:paraId="2BA21DDF">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乙方的权利义务</w:t>
      </w:r>
    </w:p>
    <w:p w14:paraId="6BB14691">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乙方指派人员应当以事实为依据，以法律为准绳，认真负责地维护甲方的合法权益，并按甲方要求及时通报案件进展情况，遇到重大决定，必须经过甲方的书面确认。</w:t>
      </w:r>
    </w:p>
    <w:p w14:paraId="01BC5D72">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乙方律师应当以其依据法律做出的判断，向甲方进行法律风险提示，尽最大努力维护甲方利益。</w:t>
      </w:r>
    </w:p>
    <w:p w14:paraId="0BA9F6E4">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乙方律师对其获知的甲方的商业机密或者甲方的个人隐私负有保密责任，非由法律规定或甲方同意，不得向任何第三方披露。</w:t>
      </w:r>
    </w:p>
    <w:p w14:paraId="191866C9">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乙方如发现甲方有捏造事实、隐瞒事实真相或提供虚假证据等行为的，乙方有权解除本合同终止委托关系，已收取的律师服务费不予退还。</w:t>
      </w:r>
    </w:p>
    <w:p w14:paraId="6F048E20">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乙方律师不得违反《律师执业规范》，在涉及甲方的对抗性案件中，未经甲方同意，不得同时担任与甲方具有法律上利益冲突的另一方的委托代理人。</w:t>
      </w:r>
    </w:p>
    <w:p w14:paraId="3849035B">
      <w:pPr>
        <w:numPr>
          <w:ilvl w:val="0"/>
          <w:numId w:val="6"/>
        </w:numPr>
        <w:spacing w:before="156" w:beforeLines="50" w:line="360" w:lineRule="exact"/>
        <w:ind w:left="0" w:firstLine="480"/>
        <w:rPr>
          <w:rFonts w:ascii="Times" w:hAnsi="Times" w:eastAsia="楷体"/>
          <w:color w:val="auto"/>
          <w:highlight w:val="none"/>
        </w:rPr>
      </w:pPr>
      <w:r>
        <w:rPr>
          <w:rFonts w:ascii="Times" w:hAnsi="Times" w:eastAsia="楷体"/>
          <w:color w:val="auto"/>
          <w:szCs w:val="28"/>
          <w:highlight w:val="none"/>
          <w:u w:color="FFFFFF"/>
        </w:rPr>
        <w:t>如乙方在代理过程中因重大过失或者故意给甲方造成损失的，乙方应当按照《合伙企业法》第57条、《律师法》第15条、《律师事务所管理办法》第53条规定承担赔偿责任。</w:t>
      </w:r>
    </w:p>
    <w:p w14:paraId="3945AB82">
      <w:pPr>
        <w:numPr>
          <w:ilvl w:val="0"/>
          <w:numId w:val="4"/>
        </w:numPr>
        <w:spacing w:before="156" w:beforeLines="50" w:line="360" w:lineRule="exact"/>
        <w:rPr>
          <w:rFonts w:ascii="Times" w:hAnsi="Times" w:eastAsia="楷体"/>
          <w:color w:val="auto"/>
          <w:highlight w:val="none"/>
        </w:rPr>
      </w:pPr>
      <w:r>
        <w:rPr>
          <w:rFonts w:ascii="Times" w:hAnsi="Times" w:eastAsia="楷体"/>
          <w:color w:val="auto"/>
          <w:highlight w:val="none"/>
        </w:rPr>
        <w:t>文件传递</w:t>
      </w:r>
    </w:p>
    <w:p w14:paraId="0999631C">
      <w:pPr>
        <w:numPr>
          <w:ilvl w:val="0"/>
          <w:numId w:val="7"/>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甲乙双方共同确认：甲方向乙方律师提交证据材料时，只能提交证据复印件或复制件，证据原件或底稿由甲方自行妥善保管，否则因证据原件遗失而造成的损失不由乙方承担。若乙方承办律师因案情需要必须借用证据原件或底稿，应当由乙方代理律师书面出具借条，并在借条上注明归还时间。</w:t>
      </w:r>
    </w:p>
    <w:p w14:paraId="2A2FF7E8">
      <w:pPr>
        <w:numPr>
          <w:ilvl w:val="0"/>
          <w:numId w:val="7"/>
        </w:numPr>
        <w:spacing w:before="156" w:beforeLines="50" w:line="360" w:lineRule="exact"/>
        <w:ind w:left="0" w:firstLine="480"/>
        <w:rPr>
          <w:rFonts w:ascii="Times" w:hAnsi="Times" w:eastAsia="楷体"/>
          <w:color w:val="auto"/>
          <w:highlight w:val="none"/>
        </w:rPr>
      </w:pPr>
      <w:r>
        <w:rPr>
          <w:rFonts w:ascii="Times" w:hAnsi="Times" w:eastAsia="楷体"/>
          <w:color w:val="auto"/>
          <w:highlight w:val="none"/>
        </w:rPr>
        <w:t>双方文件往来应当严格执行签收制度，因文件缺失导致的不利后果将根据签收记录确定双方责任。</w:t>
      </w:r>
    </w:p>
    <w:p w14:paraId="15FEA7EA">
      <w:pPr>
        <w:numPr>
          <w:ilvl w:val="0"/>
          <w:numId w:val="4"/>
        </w:numPr>
        <w:spacing w:before="156" w:beforeLines="50" w:line="360" w:lineRule="exact"/>
        <w:rPr>
          <w:rFonts w:ascii="Times" w:hAnsi="Times" w:eastAsia="楷体"/>
          <w:color w:val="auto"/>
          <w:highlight w:val="none"/>
        </w:rPr>
      </w:pPr>
      <w:r>
        <w:rPr>
          <w:rFonts w:hint="eastAsia" w:ascii="Times" w:hAnsi="Times" w:eastAsia="楷体"/>
          <w:color w:val="auto"/>
          <w:highlight w:val="none"/>
          <w:lang w:val="en-US" w:eastAsia="zh-CN"/>
        </w:rPr>
        <w:t>代理费</w:t>
      </w:r>
      <w:r>
        <w:rPr>
          <w:rFonts w:ascii="Times" w:hAnsi="Times" w:eastAsia="楷体"/>
          <w:color w:val="auto"/>
          <w:highlight w:val="none"/>
        </w:rPr>
        <w:t>及其他费用</w:t>
      </w:r>
    </w:p>
    <w:p w14:paraId="447A72EC">
      <w:pPr>
        <w:spacing w:before="156" w:beforeLines="50" w:line="360" w:lineRule="exact"/>
        <w:ind w:firstLine="420" w:firstLineChars="200"/>
        <w:rPr>
          <w:rFonts w:ascii="Times" w:hAnsi="Times" w:eastAsia="楷体"/>
          <w:color w:val="auto"/>
          <w:szCs w:val="21"/>
          <w:highlight w:val="none"/>
        </w:rPr>
      </w:pPr>
      <w:r>
        <w:rPr>
          <w:rFonts w:ascii="Times" w:hAnsi="Times" w:eastAsia="楷体"/>
          <w:color w:val="auto"/>
          <w:szCs w:val="21"/>
          <w:highlight w:val="none"/>
        </w:rPr>
        <w:t>双方经充分协商，一致同意按如下方式计付代理费：</w:t>
      </w:r>
    </w:p>
    <w:p w14:paraId="5A597F16">
      <w:pPr>
        <w:numPr>
          <w:ilvl w:val="0"/>
          <w:numId w:val="8"/>
        </w:numPr>
        <w:spacing w:before="156" w:beforeLines="50" w:line="360" w:lineRule="exact"/>
        <w:rPr>
          <w:rFonts w:ascii="Times" w:hAnsi="Times" w:eastAsia="楷体"/>
          <w:color w:val="auto"/>
          <w:highlight w:val="none"/>
        </w:rPr>
      </w:pPr>
      <w:r>
        <w:rPr>
          <w:rFonts w:hint="eastAsia" w:ascii="Times" w:hAnsi="Times" w:eastAsia="楷体"/>
          <w:color w:val="auto"/>
          <w:highlight w:val="none"/>
          <w:lang w:val="en-US" w:eastAsia="zh-CN"/>
        </w:rPr>
        <w:t>代理费：</w:t>
      </w:r>
    </w:p>
    <w:p w14:paraId="48DE957B">
      <w:pPr>
        <w:pStyle w:val="2"/>
        <w:rPr>
          <w:rFonts w:hint="eastAsia" w:ascii="Times" w:hAnsi="Times" w:eastAsia="楷体"/>
          <w:color w:val="auto"/>
          <w:highlight w:val="none"/>
          <w:lang w:val="en-US" w:eastAsia="zh-CN"/>
        </w:rPr>
      </w:pPr>
      <w:r>
        <w:rPr>
          <w:rFonts w:hint="eastAsia" w:ascii="Times" w:hAnsi="Times" w:eastAsia="楷体"/>
          <w:color w:val="auto"/>
          <w:highlight w:val="none"/>
          <w:lang w:val="en-US" w:eastAsia="zh-CN"/>
        </w:rPr>
        <w:t xml:space="preserve">     </w:t>
      </w:r>
    </w:p>
    <w:p w14:paraId="7B018EE2">
      <w:pPr>
        <w:pStyle w:val="2"/>
        <w:ind w:firstLine="420" w:firstLineChars="200"/>
        <w:rPr>
          <w:rFonts w:hint="default"/>
          <w:lang w:val="en-US" w:eastAsia="zh-CN"/>
        </w:rPr>
      </w:pPr>
      <w:r>
        <w:rPr>
          <w:rFonts w:hint="eastAsia" w:ascii="Times" w:hAnsi="Times" w:eastAsia="楷体"/>
          <w:color w:val="auto"/>
          <w:sz w:val="21"/>
          <w:szCs w:val="21"/>
          <w:highlight w:val="none"/>
          <w:lang w:val="en-US" w:eastAsia="zh-CN"/>
        </w:rPr>
        <w:t>风险费用：</w:t>
      </w:r>
    </w:p>
    <w:p w14:paraId="41F61147">
      <w:pPr>
        <w:numPr>
          <w:ilvl w:val="0"/>
          <w:numId w:val="0"/>
        </w:numPr>
        <w:spacing w:before="156" w:beforeLines="50" w:line="360" w:lineRule="exact"/>
        <w:ind w:firstLine="480"/>
        <w:rPr>
          <w:rFonts w:hint="default" w:ascii="楷体" w:hAnsi="楷体" w:eastAsia="楷体" w:cs="楷体"/>
          <w:color w:val="000000" w:themeColor="text1"/>
          <w:highlight w:val="none"/>
          <w:u w:val="single"/>
          <w:lang w:val="en-US"/>
          <w14:textFill>
            <w14:solidFill>
              <w14:schemeClr w14:val="tx1"/>
            </w14:solidFill>
          </w14:textFill>
        </w:rPr>
      </w:pPr>
      <w:r>
        <w:rPr>
          <w:rFonts w:hint="eastAsia" w:ascii="楷体" w:hAnsi="楷体" w:eastAsia="楷体" w:cs="楷体"/>
          <w:color w:val="000000" w:themeColor="text1"/>
          <w:highlight w:val="none"/>
          <w:lang w:val="en-US" w:eastAsia="zh-CN"/>
          <w14:textFill>
            <w14:solidFill>
              <w14:schemeClr w14:val="tx1"/>
            </w14:solidFill>
          </w14:textFill>
        </w:rPr>
        <w:t>以上为含税费用，包括但不限</w:t>
      </w:r>
      <w:r>
        <w:rPr>
          <w:rFonts w:hint="eastAsia" w:ascii="楷体" w:hAnsi="楷体" w:eastAsia="楷体" w:cs="楷体"/>
          <w:color w:val="000000" w:themeColor="text1"/>
          <w:highlight w:val="none"/>
          <w:u w:val="none"/>
          <w:lang w:val="en-US" w:eastAsia="zh-CN"/>
          <w14:textFill>
            <w14:solidFill>
              <w14:schemeClr w14:val="tx1"/>
            </w14:solidFill>
          </w14:textFill>
        </w:rPr>
        <w:t>于强制执行、执行异议（若有）、执行复议（若有）、执行异议之诉（若有）等执行阶段或者诉讼阶段的全部代理费用，差旅费（如有），</w:t>
      </w:r>
      <w:r>
        <w:rPr>
          <w:rFonts w:hint="eastAsia" w:ascii="楷体" w:hAnsi="楷体" w:eastAsia="楷体" w:cs="楷体"/>
          <w:color w:val="000000" w:themeColor="text1"/>
          <w:highlight w:val="none"/>
          <w:lang w:val="en-US" w:eastAsia="zh-CN"/>
          <w14:textFill>
            <w14:solidFill>
              <w14:schemeClr w14:val="tx1"/>
            </w14:solidFill>
          </w14:textFill>
        </w:rPr>
        <w:t>不包含案件办理过程中涉及的诉讼费、保全费、鉴定费、公告费等第三方收取的相关费用；</w:t>
      </w:r>
      <w:r>
        <w:rPr>
          <w:rFonts w:hint="eastAsia" w:ascii="楷体" w:hAnsi="楷体" w:eastAsia="楷体" w:cs="楷体"/>
          <w:color w:val="000000" w:themeColor="text1"/>
          <w:highlight w:val="none"/>
          <w:u w:val="none"/>
          <w:lang w:val="en-US" w:eastAsia="zh-CN"/>
          <w14:textFill>
            <w14:solidFill>
              <w14:schemeClr w14:val="tx1"/>
            </w14:solidFill>
          </w14:textFill>
        </w:rPr>
        <w:t>风险代理费以甲方收到乙方发票后</w:t>
      </w:r>
      <w:r>
        <w:rPr>
          <w:rFonts w:hint="eastAsia" w:ascii="楷体" w:hAnsi="楷体" w:eastAsia="楷体" w:cs="楷体"/>
          <w:strike w:val="0"/>
          <w:dstrike w:val="0"/>
          <w:color w:val="000000" w:themeColor="text1"/>
          <w:highlight w:val="none"/>
          <w:u w:val="single"/>
          <w:lang w:val="en-US" w:eastAsia="zh-CN"/>
          <w14:textFill>
            <w14:solidFill>
              <w14:schemeClr w14:val="tx1"/>
            </w14:solidFill>
          </w14:textFill>
        </w:rPr>
        <w:t>15个工作日内</w:t>
      </w:r>
      <w:r>
        <w:rPr>
          <w:rFonts w:hint="eastAsia" w:ascii="楷体" w:hAnsi="楷体" w:eastAsia="楷体" w:cs="楷体"/>
          <w:color w:val="000000" w:themeColor="text1"/>
          <w:highlight w:val="none"/>
          <w:u w:val="none"/>
          <w:lang w:val="en-US" w:eastAsia="zh-CN"/>
          <w14:textFill>
            <w14:solidFill>
              <w14:schemeClr w14:val="tx1"/>
            </w14:solidFill>
          </w14:textFill>
        </w:rPr>
        <w:t>，按照甲方收到案件利息、违约金（不含本金）部分等比例支付，甲方收到的案件回均认定为“先本后息”。</w:t>
      </w:r>
    </w:p>
    <w:p w14:paraId="30F04D53">
      <w:pPr>
        <w:numPr>
          <w:ilvl w:val="1"/>
          <w:numId w:val="9"/>
        </w:numPr>
        <w:spacing w:before="156" w:beforeLines="50" w:line="360" w:lineRule="exact"/>
        <w:rPr>
          <w:rFonts w:hint="eastAsia" w:ascii="楷体" w:hAnsi="楷体" w:eastAsia="楷体" w:cs="楷体"/>
          <w:color w:val="auto"/>
          <w:highlight w:val="none"/>
        </w:rPr>
      </w:pPr>
      <w:r>
        <w:rPr>
          <w:rFonts w:hint="eastAsia" w:ascii="楷体" w:hAnsi="楷体" w:eastAsia="楷体" w:cs="楷体"/>
          <w:color w:val="auto"/>
          <w:highlight w:val="none"/>
        </w:rPr>
        <w:t>其他费用：</w:t>
      </w:r>
    </w:p>
    <w:p w14:paraId="6C5DD0C0">
      <w:pPr>
        <w:spacing w:before="156" w:beforeLines="50" w:line="360" w:lineRule="exact"/>
        <w:ind w:firstLine="420" w:firstLineChars="200"/>
        <w:jc w:val="both"/>
        <w:rPr>
          <w:rFonts w:hint="eastAsia" w:ascii="楷体" w:hAnsi="楷体" w:eastAsia="楷体" w:cs="楷体"/>
          <w:color w:val="auto"/>
          <w:highlight w:val="none"/>
        </w:rPr>
      </w:pPr>
      <w:r>
        <w:rPr>
          <w:rFonts w:hint="eastAsia" w:ascii="楷体" w:hAnsi="楷体" w:eastAsia="楷体" w:cs="楷体"/>
          <w:color w:val="auto"/>
          <w:highlight w:val="none"/>
        </w:rPr>
        <w:t>乙方为甲方提供法律服务过程中有关单位收取的鉴定费、公证费、评估费、翻译费、查档费或仲裁、诉讼、聘请专家论证等相关费用由甲方另行支付。</w:t>
      </w:r>
    </w:p>
    <w:p w14:paraId="57C8D287">
      <w:pPr>
        <w:spacing w:before="156" w:beforeLines="50" w:line="360" w:lineRule="exact"/>
        <w:ind w:firstLine="420" w:firstLineChars="200"/>
        <w:rPr>
          <w:rFonts w:ascii="Times" w:hAnsi="Times" w:eastAsia="楷体"/>
          <w:color w:val="auto"/>
          <w:highlight w:val="none"/>
          <w:u w:color="FFFFFF"/>
        </w:rPr>
      </w:pPr>
      <w:r>
        <w:rPr>
          <w:rFonts w:ascii="Times" w:hAnsi="Times" w:eastAsia="楷体"/>
          <w:color w:val="auto"/>
          <w:highlight w:val="none"/>
          <w:u w:color="FFFFFF"/>
        </w:rPr>
        <w:t>乙方收款账户：</w:t>
      </w:r>
    </w:p>
    <w:p w14:paraId="1BFD09FB">
      <w:pPr>
        <w:spacing w:before="156" w:beforeLines="50" w:line="360" w:lineRule="exact"/>
        <w:ind w:left="850" w:leftChars="405"/>
        <w:rPr>
          <w:rFonts w:ascii="Times" w:hAnsi="Times" w:eastAsia="楷体"/>
          <w:color w:val="auto"/>
          <w:highlight w:val="none"/>
          <w:u w:color="FFFFFF"/>
        </w:rPr>
      </w:pPr>
      <w:r>
        <w:rPr>
          <w:rFonts w:ascii="Times" w:hAnsi="Times" w:eastAsia="楷体"/>
          <w:color w:val="auto"/>
          <w:highlight w:val="none"/>
          <w:u w:color="FFFFFF"/>
        </w:rPr>
        <w:t>户    名：</w:t>
      </w:r>
      <w:r>
        <w:rPr>
          <w:rFonts w:ascii="Times" w:hAnsi="Times" w:eastAsia="楷体"/>
          <w:color w:val="auto"/>
          <w:highlight w:val="none"/>
          <w:u w:color="FFFFFF"/>
        </w:rPr>
        <w:br w:type="textWrapping"/>
      </w:r>
      <w:r>
        <w:rPr>
          <w:rFonts w:ascii="Times" w:hAnsi="Times" w:eastAsia="楷体"/>
          <w:color w:val="auto"/>
          <w:highlight w:val="none"/>
          <w:u w:color="FFFFFF"/>
        </w:rPr>
        <w:t>开户银行：</w:t>
      </w:r>
      <w:r>
        <w:rPr>
          <w:rFonts w:ascii="Times" w:hAnsi="Times" w:eastAsia="楷体"/>
          <w:color w:val="auto"/>
          <w:highlight w:val="none"/>
          <w:u w:color="FFFFFF"/>
        </w:rPr>
        <w:br w:type="textWrapping"/>
      </w:r>
      <w:r>
        <w:rPr>
          <w:rFonts w:ascii="Times" w:hAnsi="Times" w:eastAsia="楷体"/>
          <w:color w:val="auto"/>
          <w:highlight w:val="none"/>
          <w:u w:color="FFFFFF"/>
        </w:rPr>
        <w:t>账    号：</w:t>
      </w:r>
    </w:p>
    <w:p w14:paraId="7F93689D">
      <w:pPr>
        <w:spacing w:before="156" w:beforeLines="50" w:line="360" w:lineRule="exact"/>
        <w:ind w:firstLine="480"/>
        <w:rPr>
          <w:rFonts w:ascii="Times" w:hAnsi="Times" w:eastAsia="楷体"/>
          <w:color w:val="auto"/>
          <w:highlight w:val="none"/>
          <w:u w:color="FFFFFF"/>
        </w:rPr>
      </w:pPr>
      <w:r>
        <w:rPr>
          <w:rFonts w:ascii="Times" w:hAnsi="Times" w:eastAsia="楷体"/>
          <w:color w:val="auto"/>
          <w:highlight w:val="none"/>
          <w:u w:color="FFFFFF"/>
        </w:rPr>
        <w:t xml:space="preserve">乙方应按如下开票信息向甲方开具 </w:t>
      </w:r>
      <w:r>
        <w:rPr>
          <w:rFonts w:hint="eastAsia" w:eastAsia="仿宋"/>
          <w:color w:val="auto"/>
          <w:sz w:val="36"/>
          <w:szCs w:val="36"/>
          <w:highlight w:val="none"/>
          <w:lang w:eastAsia="zh-CN"/>
        </w:rPr>
        <w:t>☑</w:t>
      </w:r>
      <w:r>
        <w:rPr>
          <w:rFonts w:ascii="Times" w:hAnsi="Times" w:eastAsia="楷体"/>
          <w:color w:val="auto"/>
          <w:highlight w:val="none"/>
          <w:u w:color="FFFFFF"/>
        </w:rPr>
        <w:t xml:space="preserve">增值税专用发票 </w:t>
      </w:r>
      <w:r>
        <w:rPr>
          <w:rFonts w:eastAsia="仿宋"/>
          <w:color w:val="auto"/>
          <w:sz w:val="36"/>
          <w:szCs w:val="36"/>
          <w:highlight w:val="none"/>
        </w:rPr>
        <w:t>□</w:t>
      </w:r>
      <w:r>
        <w:rPr>
          <w:rFonts w:ascii="Times" w:hAnsi="Times" w:eastAsia="楷体"/>
          <w:color w:val="auto"/>
          <w:highlight w:val="none"/>
          <w:u w:color="FFFFFF"/>
        </w:rPr>
        <w:t>增值税普通发票：</w:t>
      </w:r>
    </w:p>
    <w:p w14:paraId="05F4F694">
      <w:pPr>
        <w:spacing w:before="156" w:beforeLines="50" w:line="360" w:lineRule="exact"/>
        <w:ind w:left="850" w:leftChars="405"/>
        <w:rPr>
          <w:rFonts w:ascii="Times" w:hAnsi="Times" w:eastAsia="楷体"/>
          <w:color w:val="auto"/>
          <w:highlight w:val="none"/>
          <w:u w:color="FFFFFF"/>
        </w:rPr>
      </w:pPr>
      <w:r>
        <w:rPr>
          <w:rFonts w:ascii="Times" w:hAnsi="Times" w:eastAsia="楷体"/>
          <w:color w:val="auto"/>
          <w:highlight w:val="none"/>
          <w:u w:color="FFFFFF"/>
        </w:rPr>
        <w:t>名        称：</w:t>
      </w:r>
      <w:r>
        <w:rPr>
          <w:rFonts w:ascii="Times" w:hAnsi="Times" w:eastAsia="楷体"/>
          <w:color w:val="auto"/>
          <w:highlight w:val="none"/>
          <w:u w:color="FFFFFF"/>
        </w:rPr>
        <w:br w:type="textWrapping"/>
      </w:r>
      <w:r>
        <w:rPr>
          <w:rFonts w:ascii="Times" w:hAnsi="Times" w:eastAsia="楷体"/>
          <w:color w:val="auto"/>
          <w:highlight w:val="none"/>
          <w:u w:color="FFFFFF"/>
        </w:rPr>
        <w:t>纳税人识别号：</w:t>
      </w:r>
      <w:r>
        <w:rPr>
          <w:rFonts w:ascii="Times" w:hAnsi="Times" w:eastAsia="楷体"/>
          <w:color w:val="auto"/>
          <w:highlight w:val="none"/>
          <w:u w:color="FFFFFF"/>
        </w:rPr>
        <w:br w:type="textWrapping"/>
      </w:r>
      <w:r>
        <w:rPr>
          <w:rFonts w:ascii="Times" w:hAnsi="Times" w:eastAsia="楷体"/>
          <w:color w:val="auto"/>
          <w:highlight w:val="none"/>
          <w:u w:color="FFFFFF"/>
        </w:rPr>
        <w:t>地 址、电 话：</w:t>
      </w:r>
      <w:r>
        <w:rPr>
          <w:rFonts w:ascii="Times" w:hAnsi="Times" w:eastAsia="楷体"/>
          <w:color w:val="auto"/>
          <w:highlight w:val="none"/>
          <w:u w:color="FFFFFF"/>
        </w:rPr>
        <w:br w:type="textWrapping"/>
      </w:r>
      <w:r>
        <w:rPr>
          <w:rFonts w:ascii="Times" w:hAnsi="Times" w:eastAsia="楷体"/>
          <w:color w:val="auto"/>
          <w:highlight w:val="none"/>
          <w:u w:color="FFFFFF"/>
        </w:rPr>
        <w:t>开户行及账号：</w:t>
      </w:r>
    </w:p>
    <w:p w14:paraId="5EA39A1E">
      <w:pPr>
        <w:spacing w:before="156" w:beforeLines="50" w:line="360" w:lineRule="exact"/>
        <w:ind w:left="480"/>
        <w:rPr>
          <w:rFonts w:ascii="Times" w:hAnsi="Times" w:eastAsia="楷体"/>
          <w:color w:val="auto"/>
          <w:highlight w:val="none"/>
        </w:rPr>
      </w:pPr>
      <w:r>
        <w:rPr>
          <w:rFonts w:hint="eastAsia" w:ascii="Times" w:hAnsi="Times" w:eastAsia="楷体"/>
          <w:b/>
          <w:color w:val="auto"/>
          <w:highlight w:val="none"/>
        </w:rPr>
        <w:t>第七条</w:t>
      </w:r>
      <w:r>
        <w:rPr>
          <w:rFonts w:hint="eastAsia" w:ascii="Times" w:hAnsi="Times" w:eastAsia="楷体"/>
          <w:color w:val="auto"/>
          <w:highlight w:val="none"/>
        </w:rPr>
        <w:t xml:space="preserve"> </w:t>
      </w:r>
      <w:r>
        <w:rPr>
          <w:rFonts w:ascii="Times" w:hAnsi="Times" w:eastAsia="楷体"/>
          <w:color w:val="auto"/>
          <w:highlight w:val="none"/>
        </w:rPr>
        <w:t>违约责任</w:t>
      </w:r>
    </w:p>
    <w:p w14:paraId="2DA04739">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本合同履行中，因乙方律师过错而解除本合同终止委托关系的，乙方应当退还预收的全部律师服务费。由此造成甲方经济损失的，乙方应当给予甲方赔偿。</w:t>
      </w:r>
    </w:p>
    <w:p w14:paraId="6D5E1BBC">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如乙方未经甲方同意终止履行合同，所收费用应在甲方要求退费后三日内全部退还甲方。如甲方未经乙方同意终止合同，所缴费用乙方不予退还，且有权收取甲方尚欠的律师服务费；如本合同约定收费方式为风险代理，则视为乙方已完成委托事项，乙方有权向甲方收取本合同所约定的全部律师服务费。</w:t>
      </w:r>
    </w:p>
    <w:p w14:paraId="1BA6EBE7">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甲方应当如实陈述案情，并保证其提供的证据材料的真实性和合法性，否则由此产生的法律后果由甲方承担。乙方有权终止代理，所收费用不予退还，甲方应缴费用在乙方终止代理关系后三日内仍应缴清；</w:t>
      </w:r>
    </w:p>
    <w:p w14:paraId="1BAF38F8">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除非本合同约定或乙方另有书面同意，否则如因甲方未能按时足额付清上述费用，导致乙方律师不能或未能及时承办本合同委托事项所产生的不良后果由甲方承担责任。</w:t>
      </w:r>
    </w:p>
    <w:p w14:paraId="6AC6F606">
      <w:pPr>
        <w:numPr>
          <w:ilvl w:val="0"/>
          <w:numId w:val="10"/>
        </w:numPr>
        <w:spacing w:before="156" w:beforeLines="50" w:line="360" w:lineRule="exact"/>
        <w:ind w:left="0" w:firstLine="480"/>
        <w:jc w:val="both"/>
        <w:rPr>
          <w:rFonts w:ascii="Times" w:hAnsi="Times" w:eastAsia="楷体"/>
          <w:color w:val="auto"/>
          <w:highlight w:val="none"/>
        </w:rPr>
      </w:pPr>
      <w:r>
        <w:rPr>
          <w:rFonts w:ascii="Times" w:hAnsi="Times" w:eastAsia="楷体"/>
          <w:color w:val="auto"/>
          <w:highlight w:val="none"/>
        </w:rPr>
        <w:t>双方协商解除本合同或者为避免客户利益冲突等而根据行业管理规定需解除本合同的，乙方应按已办理该项法律事务的工作时间、复杂程度、律师人数等实际情况，酌情退费。</w:t>
      </w:r>
    </w:p>
    <w:p w14:paraId="1537AED4">
      <w:pPr>
        <w:spacing w:before="156" w:beforeLines="50" w:line="360" w:lineRule="auto"/>
        <w:rPr>
          <w:rFonts w:ascii="楷体" w:hAnsi="楷体" w:eastAsia="楷体"/>
          <w:color w:val="auto"/>
          <w:highlight w:val="none"/>
        </w:rPr>
      </w:pPr>
      <w:r>
        <w:rPr>
          <w:rFonts w:hint="eastAsia" w:ascii="楷体" w:hAnsi="楷体" w:eastAsia="楷体"/>
          <w:color w:val="auto"/>
          <w:highlight w:val="none"/>
        </w:rPr>
        <w:t xml:space="preserve">    </w:t>
      </w:r>
      <w:r>
        <w:rPr>
          <w:rFonts w:hint="eastAsia" w:ascii="楷体" w:hAnsi="楷体" w:eastAsia="楷体"/>
          <w:b/>
          <w:color w:val="auto"/>
          <w:highlight w:val="none"/>
        </w:rPr>
        <w:t>第八条</w:t>
      </w:r>
      <w:r>
        <w:rPr>
          <w:rFonts w:hint="eastAsia" w:ascii="楷体" w:hAnsi="楷体" w:eastAsia="楷体"/>
          <w:color w:val="auto"/>
          <w:highlight w:val="none"/>
        </w:rPr>
        <w:t xml:space="preserve"> 【间接利冲豁免条款】</w:t>
      </w:r>
    </w:p>
    <w:p w14:paraId="166ECE39">
      <w:pPr>
        <w:spacing w:before="156" w:beforeLines="50" w:line="360" w:lineRule="auto"/>
        <w:ind w:firstLine="420" w:firstLineChars="200"/>
        <w:rPr>
          <w:rFonts w:eastAsia="楷体"/>
          <w:color w:val="auto"/>
          <w:highlight w:val="none"/>
        </w:rPr>
      </w:pPr>
      <w:r>
        <w:rPr>
          <w:rFonts w:hint="eastAsia" w:ascii="楷体" w:hAnsi="楷体" w:eastAsia="楷体"/>
          <w:color w:val="auto"/>
          <w:highlight w:val="none"/>
        </w:rPr>
        <w:t>甲方知晓并充分理解</w:t>
      </w:r>
      <w:r>
        <w:rPr>
          <w:rFonts w:hint="eastAsia" w:ascii="楷体" w:hAnsi="楷体" w:eastAsia="楷体"/>
          <w:color w:val="auto"/>
          <w:highlight w:val="none"/>
          <w:lang w:val="en-US" w:eastAsia="zh-CN"/>
        </w:rPr>
        <w:t>xx</w:t>
      </w:r>
      <w:r>
        <w:rPr>
          <w:rFonts w:hint="eastAsia" w:ascii="楷体" w:hAnsi="楷体" w:eastAsia="楷体"/>
          <w:color w:val="auto"/>
          <w:highlight w:val="none"/>
        </w:rPr>
        <w:t>律师事务所为已在多地设立分所的跨区域法律服务机构。为避免本合同项下委托事项给乙方及其它各地分所律师造成工作不便，甲方在此确认，除乙方外，</w:t>
      </w:r>
      <w:r>
        <w:rPr>
          <w:rFonts w:hint="eastAsia" w:ascii="楷体" w:hAnsi="楷体" w:eastAsia="楷体"/>
          <w:color w:val="auto"/>
          <w:highlight w:val="none"/>
          <w:lang w:val="en-US" w:eastAsia="zh-CN"/>
        </w:rPr>
        <w:t>xx</w:t>
      </w:r>
      <w:r>
        <w:rPr>
          <w:rFonts w:hint="eastAsia" w:ascii="楷体" w:hAnsi="楷体" w:eastAsia="楷体"/>
          <w:color w:val="auto"/>
          <w:highlight w:val="none"/>
        </w:rPr>
        <w:t>律师事务所其它各地分所的律师可以代理涉及甲方的，由对方当事人委托、与本合同委托事项无关、独立于本合同委托事项之外的诉讼、仲裁或非诉讼业务，并无需取得甲方另行同意或豁免；但依法律规定或律师行业规范与甲方有直接利益冲突情形的除外。本合同其他条款内容与本条款不一致的，以本条款为准。</w:t>
      </w:r>
    </w:p>
    <w:p w14:paraId="20E3B512">
      <w:pPr>
        <w:spacing w:before="156" w:beforeLines="50" w:line="360" w:lineRule="auto"/>
        <w:ind w:left="480"/>
        <w:rPr>
          <w:rFonts w:ascii="楷体" w:hAnsi="楷体" w:eastAsia="楷体"/>
          <w:color w:val="auto"/>
          <w:highlight w:val="none"/>
        </w:rPr>
      </w:pPr>
      <w:r>
        <w:rPr>
          <w:rFonts w:hint="eastAsia" w:ascii="楷体" w:hAnsi="楷体" w:eastAsia="楷体"/>
          <w:b/>
          <w:color w:val="auto"/>
          <w:highlight w:val="none"/>
        </w:rPr>
        <w:t>第九条</w:t>
      </w:r>
      <w:r>
        <w:rPr>
          <w:rFonts w:hint="eastAsia" w:ascii="楷体" w:hAnsi="楷体" w:eastAsia="楷体"/>
          <w:color w:val="auto"/>
          <w:highlight w:val="none"/>
        </w:rPr>
        <w:t xml:space="preserve"> 【风险告知条款】</w:t>
      </w:r>
    </w:p>
    <w:p w14:paraId="6DDCD483">
      <w:pPr>
        <w:spacing w:before="156" w:beforeLines="50" w:line="360" w:lineRule="auto"/>
        <w:ind w:firstLine="420" w:firstLineChars="200"/>
        <w:rPr>
          <w:rFonts w:ascii="楷体" w:hAnsi="楷体" w:eastAsia="楷体"/>
          <w:color w:val="auto"/>
          <w:highlight w:val="none"/>
        </w:rPr>
      </w:pPr>
      <w:r>
        <w:rPr>
          <w:rFonts w:hint="eastAsia" w:ascii="楷体" w:hAnsi="楷体" w:eastAsia="楷体"/>
          <w:color w:val="auto"/>
          <w:highlight w:val="none"/>
        </w:rPr>
        <w:t>法律为社会科学，具有不确定性，乙方无法穷尽所有风险。律师也无法对案件结果提前作出确定的预判。案件进程和案件结果可能受到各种客观因素的影响。聘请律师前甲方已确认具有承受此等法律风险之负担能力及合理预见。为维护甲方的合法权益，甲方确认在委托乙方办理案件前，乙方已遵循诚实信用原则，向甲方告知可能存在判决结果不确定的风险、诉讼</w:t>
      </w:r>
      <w:r>
        <w:rPr>
          <w:rFonts w:hint="eastAsia" w:eastAsia="楷体"/>
          <w:color w:val="auto"/>
          <w:highlight w:val="none"/>
        </w:rPr>
        <w:t>/</w:t>
      </w:r>
      <w:r>
        <w:rPr>
          <w:rFonts w:hint="eastAsia" w:ascii="楷体" w:hAnsi="楷体" w:eastAsia="楷体"/>
          <w:color w:val="auto"/>
          <w:highlight w:val="none"/>
        </w:rPr>
        <w:t>仲裁时间长短不确定性的风险、执行不能的风险、不如实陈述事实和提供证据可能承担相应不利后果或败诉的风险。</w:t>
      </w:r>
    </w:p>
    <w:p w14:paraId="3F238540">
      <w:pPr>
        <w:spacing w:before="156" w:beforeLines="50" w:line="360" w:lineRule="exact"/>
        <w:rPr>
          <w:rFonts w:ascii="Times" w:hAnsi="Times" w:eastAsia="楷体"/>
          <w:color w:val="auto"/>
          <w:highlight w:val="none"/>
        </w:rPr>
      </w:pPr>
      <w:r>
        <w:rPr>
          <w:rFonts w:hint="eastAsia" w:ascii="Times" w:hAnsi="Times" w:eastAsia="楷体"/>
          <w:b/>
          <w:color w:val="auto"/>
          <w:highlight w:val="none"/>
        </w:rPr>
        <w:t xml:space="preserve">    第十条 </w:t>
      </w:r>
      <w:r>
        <w:rPr>
          <w:rFonts w:ascii="Times" w:hAnsi="Times" w:eastAsia="楷体"/>
          <w:color w:val="auto"/>
          <w:highlight w:val="none"/>
        </w:rPr>
        <w:t>甲方承诺在乙方律师代理案件的任何一个阶段或乙方律师代理职责终止时，认真填制《律师服务质量征求意见表》并寄交乙方或递交给承办律师。</w:t>
      </w:r>
    </w:p>
    <w:p w14:paraId="06A8A34C">
      <w:pPr>
        <w:spacing w:before="156" w:beforeLines="50" w:line="360" w:lineRule="exact"/>
        <w:rPr>
          <w:rFonts w:ascii="Times" w:hAnsi="Times" w:eastAsia="楷体"/>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第十一条</w:t>
      </w:r>
      <w:r>
        <w:rPr>
          <w:rFonts w:hint="eastAsia" w:ascii="Times" w:hAnsi="Times" w:eastAsia="楷体"/>
          <w:color w:val="auto"/>
          <w:highlight w:val="none"/>
        </w:rPr>
        <w:t xml:space="preserve"> </w:t>
      </w:r>
      <w:r>
        <w:rPr>
          <w:rFonts w:ascii="Times" w:hAnsi="Times" w:eastAsia="楷体"/>
          <w:color w:val="auto"/>
          <w:highlight w:val="none"/>
        </w:rPr>
        <w:t>本合同履行中如发生纠纷，双方应尽量协商解决。协商不成，任何一方都可以向成都仲裁委员会申请仲裁。</w:t>
      </w:r>
    </w:p>
    <w:p w14:paraId="566A385A">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第十二条</w:t>
      </w:r>
      <w:r>
        <w:rPr>
          <w:rFonts w:hint="eastAsia" w:ascii="Times" w:hAnsi="Times" w:eastAsia="楷体"/>
          <w:color w:val="auto"/>
          <w:highlight w:val="none"/>
        </w:rPr>
        <w:t xml:space="preserve"> </w:t>
      </w:r>
      <w:r>
        <w:rPr>
          <w:rFonts w:ascii="Times" w:hAnsi="Times" w:eastAsia="楷体"/>
          <w:color w:val="auto"/>
          <w:highlight w:val="none"/>
        </w:rPr>
        <w:t>乙方的代理职责自本合同签订之日起至乙方代理的法律事务完成之日止。</w:t>
      </w:r>
    </w:p>
    <w:p w14:paraId="28A43E4E">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第十三条</w:t>
      </w:r>
      <w:r>
        <w:rPr>
          <w:rFonts w:hint="eastAsia" w:ascii="Times" w:hAnsi="Times" w:eastAsia="楷体"/>
          <w:color w:val="auto"/>
          <w:highlight w:val="none"/>
        </w:rPr>
        <w:t xml:space="preserve"> </w:t>
      </w:r>
      <w:r>
        <w:rPr>
          <w:rFonts w:ascii="Times" w:hAnsi="Times" w:eastAsia="楷体"/>
          <w:color w:val="auto"/>
          <w:highlight w:val="none"/>
        </w:rPr>
        <w:t>本合同履行中，如一方要求解除合同，需由双方另行协商，并签订书面协议。</w:t>
      </w:r>
    </w:p>
    <w:p w14:paraId="4F1DC303">
      <w:pPr>
        <w:spacing w:before="156" w:beforeLines="50" w:line="360" w:lineRule="exact"/>
        <w:rPr>
          <w:rFonts w:ascii="Times" w:hAnsi="Times" w:eastAsia="楷体"/>
          <w:b/>
          <w:color w:val="auto"/>
          <w:highlight w:val="none"/>
        </w:rPr>
      </w:pPr>
      <w:r>
        <w:rPr>
          <w:rFonts w:hint="eastAsia" w:ascii="Times" w:hAnsi="Times" w:eastAsia="楷体"/>
          <w:color w:val="auto"/>
          <w:highlight w:val="none"/>
        </w:rPr>
        <w:t xml:space="preserve">    </w:t>
      </w:r>
      <w:r>
        <w:rPr>
          <w:rFonts w:hint="eastAsia" w:ascii="Times" w:hAnsi="Times" w:eastAsia="楷体"/>
          <w:b/>
          <w:color w:val="auto"/>
          <w:highlight w:val="none"/>
        </w:rPr>
        <w:t>第十四条</w:t>
      </w:r>
      <w:r>
        <w:rPr>
          <w:rFonts w:hint="eastAsia" w:ascii="Times" w:hAnsi="Times" w:eastAsia="楷体"/>
          <w:color w:val="auto"/>
          <w:highlight w:val="none"/>
        </w:rPr>
        <w:t xml:space="preserve"> </w:t>
      </w:r>
      <w:r>
        <w:rPr>
          <w:rFonts w:ascii="Times" w:hAnsi="Times" w:eastAsia="楷体"/>
          <w:color w:val="auto"/>
          <w:highlight w:val="none"/>
        </w:rPr>
        <w:t>本合同壹式</w:t>
      </w:r>
      <w:r>
        <w:rPr>
          <w:rFonts w:hint="eastAsia" w:ascii="Times" w:hAnsi="Times" w:eastAsia="楷体"/>
          <w:color w:val="auto"/>
          <w:highlight w:val="none"/>
        </w:rPr>
        <w:t>肆</w:t>
      </w:r>
      <w:r>
        <w:rPr>
          <w:rFonts w:ascii="Times" w:hAnsi="Times" w:eastAsia="楷体"/>
          <w:color w:val="auto"/>
          <w:highlight w:val="none"/>
        </w:rPr>
        <w:t>份，甲方</w:t>
      </w:r>
      <w:r>
        <w:rPr>
          <w:rFonts w:hint="eastAsia" w:ascii="Times" w:hAnsi="Times" w:eastAsia="楷体"/>
          <w:color w:val="auto"/>
          <w:highlight w:val="none"/>
        </w:rPr>
        <w:t>贰</w:t>
      </w:r>
      <w:r>
        <w:rPr>
          <w:rFonts w:ascii="Times" w:hAnsi="Times" w:eastAsia="楷体"/>
          <w:color w:val="auto"/>
          <w:highlight w:val="none"/>
        </w:rPr>
        <w:t>份，乙方</w:t>
      </w:r>
      <w:r>
        <w:rPr>
          <w:rFonts w:hint="eastAsia" w:ascii="Times" w:hAnsi="Times" w:eastAsia="楷体"/>
          <w:color w:val="auto"/>
          <w:highlight w:val="none"/>
        </w:rPr>
        <w:t>贰</w:t>
      </w:r>
      <w:r>
        <w:rPr>
          <w:rFonts w:ascii="Times" w:hAnsi="Times" w:eastAsia="楷体"/>
          <w:color w:val="auto"/>
          <w:highlight w:val="none"/>
        </w:rPr>
        <w:t>份，自双方授权代表签字并加盖单位印章后生效。</w:t>
      </w:r>
    </w:p>
    <w:p w14:paraId="455A46EC">
      <w:pPr>
        <w:spacing w:line="460" w:lineRule="exact"/>
        <w:jc w:val="left"/>
        <w:rPr>
          <w:rFonts w:ascii="仿宋_GB2312" w:hAnsi="仿宋_GB2312" w:eastAsia="仿宋_GB2312" w:cs="仿宋_GB2312"/>
          <w:b/>
          <w:color w:val="auto"/>
          <w:sz w:val="24"/>
          <w:highlight w:val="none"/>
        </w:rPr>
      </w:pPr>
      <w:bookmarkStart w:id="429" w:name="_Toc474502608"/>
      <w:bookmarkStart w:id="430" w:name="_Toc18854"/>
      <w:bookmarkStart w:id="431" w:name="_Toc466391967"/>
      <w:bookmarkStart w:id="432" w:name="_Toc513469076"/>
      <w:bookmarkStart w:id="433" w:name="_Toc8347"/>
      <w:bookmarkStart w:id="434" w:name="_Toc474327066"/>
      <w:bookmarkStart w:id="435" w:name="_Toc29829"/>
      <w:bookmarkStart w:id="436" w:name="_Toc505261938"/>
      <w:bookmarkStart w:id="437" w:name="_Toc361325820"/>
      <w:r>
        <w:rPr>
          <w:rFonts w:hint="eastAsia" w:ascii="Times" w:hAnsi="Times" w:eastAsia="楷体"/>
          <w:b/>
          <w:color w:val="auto"/>
          <w:highlight w:val="none"/>
        </w:rPr>
        <w:t>第</w:t>
      </w:r>
      <w:r>
        <w:rPr>
          <w:rFonts w:hint="eastAsia" w:ascii="Times" w:hAnsi="Times" w:eastAsia="楷体"/>
          <w:b/>
          <w:color w:val="auto"/>
          <w:highlight w:val="none"/>
          <w:lang w:val="en-US" w:eastAsia="zh-CN"/>
        </w:rPr>
        <w:t>伍</w:t>
      </w:r>
      <w:r>
        <w:rPr>
          <w:rFonts w:hint="eastAsia" w:ascii="Times" w:hAnsi="Times" w:eastAsia="楷体"/>
          <w:b/>
          <w:color w:val="auto"/>
          <w:highlight w:val="none"/>
        </w:rPr>
        <w:t>条</w:t>
      </w:r>
      <w:r>
        <w:rPr>
          <w:rFonts w:hint="eastAsia" w:ascii="仿宋_GB2312" w:hAnsi="仿宋_GB2312" w:eastAsia="仿宋_GB2312" w:cs="仿宋_GB2312"/>
          <w:b/>
          <w:color w:val="auto"/>
          <w:sz w:val="24"/>
          <w:highlight w:val="none"/>
        </w:rPr>
        <w:t xml:space="preserve">  </w:t>
      </w:r>
      <w:r>
        <w:rPr>
          <w:rFonts w:hint="eastAsia" w:ascii="Times" w:hAnsi="Times" w:eastAsia="楷体"/>
          <w:color w:val="auto"/>
          <w:highlight w:val="none"/>
        </w:rPr>
        <w:t>附件</w:t>
      </w:r>
      <w:bookmarkEnd w:id="429"/>
      <w:bookmarkEnd w:id="430"/>
      <w:bookmarkEnd w:id="431"/>
      <w:bookmarkEnd w:id="432"/>
      <w:bookmarkEnd w:id="433"/>
      <w:bookmarkEnd w:id="434"/>
      <w:bookmarkEnd w:id="435"/>
      <w:bookmarkEnd w:id="436"/>
      <w:bookmarkEnd w:id="437"/>
    </w:p>
    <w:p w14:paraId="6A3B596D">
      <w:pPr>
        <w:spacing w:before="156" w:beforeLines="50" w:line="360" w:lineRule="auto"/>
        <w:ind w:firstLine="420" w:firstLineChars="200"/>
        <w:rPr>
          <w:rFonts w:hint="eastAsia" w:ascii="楷体" w:hAnsi="楷体" w:eastAsia="楷体"/>
          <w:color w:val="auto"/>
          <w:highlight w:val="none"/>
        </w:rPr>
      </w:pPr>
      <w:bookmarkStart w:id="438" w:name="_Toc7234"/>
      <w:r>
        <w:rPr>
          <w:rFonts w:hint="eastAsia" w:ascii="楷体" w:hAnsi="楷体" w:eastAsia="楷体"/>
          <w:color w:val="auto"/>
          <w:highlight w:val="none"/>
        </w:rPr>
        <w:t>1.项目比选文件</w:t>
      </w:r>
      <w:bookmarkEnd w:id="438"/>
    </w:p>
    <w:p w14:paraId="51C63451">
      <w:pPr>
        <w:spacing w:before="156" w:beforeLines="50" w:line="360" w:lineRule="auto"/>
        <w:ind w:firstLine="420" w:firstLineChars="200"/>
        <w:rPr>
          <w:rFonts w:hint="default" w:ascii="楷体" w:hAnsi="楷体" w:eastAsia="楷体"/>
          <w:color w:val="auto"/>
          <w:highlight w:val="none"/>
          <w:lang w:val="en-US" w:eastAsia="zh-CN"/>
        </w:rPr>
      </w:pPr>
      <w:bookmarkStart w:id="439" w:name="_Toc30140"/>
      <w:r>
        <w:rPr>
          <w:rFonts w:hint="eastAsia" w:ascii="楷体" w:hAnsi="楷体" w:eastAsia="楷体"/>
          <w:color w:val="auto"/>
          <w:highlight w:val="none"/>
        </w:rPr>
        <w:t>2.项目修改澄清文件</w:t>
      </w:r>
      <w:bookmarkEnd w:id="439"/>
      <w:r>
        <w:rPr>
          <w:rFonts w:hint="eastAsia" w:ascii="楷体" w:hAnsi="楷体" w:eastAsia="楷体"/>
          <w:color w:val="auto"/>
          <w:highlight w:val="none"/>
          <w:lang w:eastAsia="zh-CN"/>
        </w:rPr>
        <w:t>（</w:t>
      </w:r>
      <w:r>
        <w:rPr>
          <w:rFonts w:hint="eastAsia" w:ascii="楷体" w:hAnsi="楷体" w:eastAsia="楷体"/>
          <w:color w:val="auto"/>
          <w:highlight w:val="none"/>
          <w:lang w:val="en-US" w:eastAsia="zh-CN"/>
        </w:rPr>
        <w:t>如有）</w:t>
      </w:r>
    </w:p>
    <w:p w14:paraId="5A4CACDE">
      <w:pPr>
        <w:spacing w:before="156" w:beforeLines="50" w:line="360" w:lineRule="auto"/>
        <w:ind w:firstLine="420" w:firstLineChars="200"/>
        <w:rPr>
          <w:rFonts w:hint="eastAsia" w:ascii="楷体" w:hAnsi="楷体" w:eastAsia="楷体"/>
          <w:color w:val="auto"/>
          <w:highlight w:val="none"/>
        </w:rPr>
      </w:pPr>
      <w:bookmarkStart w:id="440" w:name="_Toc6003"/>
      <w:r>
        <w:rPr>
          <w:rFonts w:hint="eastAsia" w:ascii="楷体" w:hAnsi="楷体" w:eastAsia="楷体"/>
          <w:color w:val="auto"/>
          <w:highlight w:val="none"/>
        </w:rPr>
        <w:t>3.项目比选申请书</w:t>
      </w:r>
      <w:bookmarkEnd w:id="440"/>
    </w:p>
    <w:p w14:paraId="34686E2A">
      <w:pPr>
        <w:spacing w:before="156" w:beforeLines="50" w:line="360" w:lineRule="auto"/>
        <w:ind w:firstLine="420" w:firstLineChars="200"/>
        <w:rPr>
          <w:rFonts w:hint="eastAsia" w:ascii="楷体" w:hAnsi="楷体" w:eastAsia="楷体"/>
          <w:color w:val="auto"/>
          <w:highlight w:val="none"/>
        </w:rPr>
      </w:pPr>
      <w:bookmarkStart w:id="441" w:name="_Toc11660"/>
      <w:r>
        <w:rPr>
          <w:rFonts w:hint="eastAsia" w:ascii="楷体" w:hAnsi="楷体" w:eastAsia="楷体"/>
          <w:color w:val="auto"/>
          <w:highlight w:val="none"/>
        </w:rPr>
        <w:t>4.中选通知书</w:t>
      </w:r>
      <w:bookmarkEnd w:id="441"/>
    </w:p>
    <w:p w14:paraId="2200CDED">
      <w:pPr>
        <w:spacing w:before="156" w:beforeLines="50" w:line="360" w:lineRule="auto"/>
        <w:ind w:firstLine="420" w:firstLineChars="200"/>
        <w:rPr>
          <w:rFonts w:hint="eastAsia" w:ascii="楷体" w:hAnsi="楷体" w:eastAsia="楷体"/>
          <w:color w:val="auto"/>
          <w:highlight w:val="none"/>
        </w:rPr>
      </w:pPr>
      <w:bookmarkStart w:id="442" w:name="_Toc10357"/>
      <w:r>
        <w:rPr>
          <w:rFonts w:hint="eastAsia" w:ascii="楷体" w:hAnsi="楷体" w:eastAsia="楷体"/>
          <w:color w:val="auto"/>
          <w:highlight w:val="none"/>
        </w:rPr>
        <w:t>5.本合同的其他附件</w:t>
      </w:r>
      <w:bookmarkEnd w:id="442"/>
    </w:p>
    <w:p w14:paraId="7EDA2F7F">
      <w:pPr>
        <w:spacing w:before="156" w:beforeLines="50" w:line="360" w:lineRule="auto"/>
        <w:ind w:firstLine="420" w:firstLineChars="200"/>
        <w:rPr>
          <w:rFonts w:hint="eastAsia" w:ascii="楷体" w:hAnsi="楷体" w:eastAsia="楷体"/>
          <w:color w:val="auto"/>
          <w:highlight w:val="none"/>
        </w:rPr>
      </w:pPr>
    </w:p>
    <w:p w14:paraId="0BD23B53">
      <w:pPr>
        <w:spacing w:before="156" w:beforeLines="50" w:line="360" w:lineRule="auto"/>
        <w:ind w:firstLine="420" w:firstLineChars="200"/>
        <w:jc w:val="center"/>
        <w:rPr>
          <w:rFonts w:hint="eastAsia" w:ascii="楷体" w:hAnsi="楷体" w:eastAsia="楷体"/>
          <w:color w:val="auto"/>
          <w:highlight w:val="none"/>
        </w:rPr>
      </w:pPr>
      <w:r>
        <w:rPr>
          <w:rFonts w:hint="eastAsia" w:ascii="楷体" w:hAnsi="楷体" w:eastAsia="楷体"/>
          <w:color w:val="auto"/>
          <w:highlight w:val="none"/>
        </w:rPr>
        <w:t>——以下无正文——</w:t>
      </w:r>
      <w:bookmarkEnd w:id="426"/>
      <w:bookmarkEnd w:id="427"/>
      <w:bookmarkEnd w:id="428"/>
    </w:p>
    <w:p w14:paraId="74D405A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甲方：   （单位公章）   </w:t>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rPr>
        <w:t xml:space="preserve">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乙方：   （单位公章）</w:t>
      </w:r>
    </w:p>
    <w:p w14:paraId="1B7EBAA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法定代表人（授权代表）：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法定代表人（授权代表）：</w:t>
      </w:r>
    </w:p>
    <w:p w14:paraId="245E5A68">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地    址：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地    址：</w:t>
      </w:r>
    </w:p>
    <w:p w14:paraId="2D54C63E">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开户银行：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开户银行：</w:t>
      </w:r>
    </w:p>
    <w:p w14:paraId="4ABBD7BA">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账号：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账号：</w:t>
      </w:r>
    </w:p>
    <w:p w14:paraId="2E50ECC5">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电    话：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电    话：</w:t>
      </w:r>
    </w:p>
    <w:p w14:paraId="7AA3599C">
      <w:pPr>
        <w:spacing w:before="156" w:beforeLines="50" w:line="360" w:lineRule="auto"/>
        <w:ind w:firstLine="420" w:firstLineChars="200"/>
        <w:rPr>
          <w:rFonts w:hint="eastAsia" w:ascii="楷体" w:hAnsi="楷体" w:eastAsia="楷体"/>
          <w:color w:val="auto"/>
          <w:highlight w:val="none"/>
        </w:rPr>
      </w:pPr>
      <w:r>
        <w:rPr>
          <w:rFonts w:hint="eastAsia" w:ascii="楷体" w:hAnsi="楷体" w:eastAsia="楷体"/>
          <w:color w:val="auto"/>
          <w:highlight w:val="none"/>
        </w:rPr>
        <w:t xml:space="preserve">传    真：                    </w:t>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传    真：</w:t>
      </w:r>
    </w:p>
    <w:p w14:paraId="4D4AAAEA">
      <w:pPr>
        <w:spacing w:before="156" w:beforeLines="50" w:line="360" w:lineRule="auto"/>
        <w:ind w:firstLine="420" w:firstLineChars="200"/>
        <w:rPr>
          <w:rFonts w:hint="eastAsia" w:ascii="楷体" w:hAnsi="楷体" w:eastAsia="楷体"/>
          <w:color w:val="auto"/>
          <w:highlight w:val="none"/>
          <w:lang w:val="en-US" w:eastAsia="zh-CN"/>
        </w:rPr>
      </w:pPr>
      <w:r>
        <w:rPr>
          <w:rFonts w:hint="eastAsia" w:ascii="楷体" w:hAnsi="楷体" w:eastAsia="楷体"/>
          <w:color w:val="auto"/>
          <w:highlight w:val="none"/>
        </w:rPr>
        <w:t xml:space="preserve">签约日期：XX年XX月XX日 </w:t>
      </w:r>
      <w:r>
        <w:rPr>
          <w:rFonts w:hint="eastAsia" w:ascii="楷体" w:hAnsi="楷体" w:eastAsia="楷体"/>
          <w:color w:val="auto"/>
          <w:highlight w:val="none"/>
        </w:rPr>
        <w:tab/>
      </w:r>
      <w:r>
        <w:rPr>
          <w:rFonts w:hint="eastAsia" w:ascii="楷体" w:hAnsi="楷体" w:eastAsia="楷体"/>
          <w:color w:val="auto"/>
          <w:highlight w:val="none"/>
        </w:rPr>
        <w:tab/>
      </w:r>
      <w:r>
        <w:rPr>
          <w:rFonts w:hint="eastAsia" w:ascii="楷体" w:hAnsi="楷体" w:eastAsia="楷体"/>
          <w:color w:val="auto"/>
          <w:highlight w:val="none"/>
          <w:lang w:val="en-US" w:eastAsia="zh-CN"/>
        </w:rPr>
        <w:t xml:space="preserve">               </w:t>
      </w:r>
      <w:r>
        <w:rPr>
          <w:rFonts w:hint="eastAsia" w:ascii="楷体" w:hAnsi="楷体" w:eastAsia="楷体"/>
          <w:color w:val="auto"/>
          <w:highlight w:val="none"/>
        </w:rPr>
        <w:t xml:space="preserve"> 签约日期：XX年XX月XX</w:t>
      </w:r>
      <w:r>
        <w:rPr>
          <w:rFonts w:hint="eastAsia" w:ascii="楷体" w:hAnsi="楷体" w:eastAsia="楷体"/>
          <w:color w:val="auto"/>
          <w:highlight w:val="none"/>
          <w:lang w:val="en-US" w:eastAsia="zh-CN"/>
        </w:rPr>
        <w:t>日</w:t>
      </w:r>
    </w:p>
    <w:p w14:paraId="3B466907">
      <w:pPr>
        <w:pStyle w:val="2"/>
        <w:rPr>
          <w:rFonts w:hint="eastAsia" w:ascii="楷体" w:hAnsi="楷体" w:eastAsia="楷体"/>
          <w:color w:val="auto"/>
          <w:highlight w:val="none"/>
          <w:lang w:val="en-US" w:eastAsia="zh-CN"/>
        </w:rPr>
      </w:pPr>
    </w:p>
    <w:p w14:paraId="551ECAC1">
      <w:pPr>
        <w:rPr>
          <w:rFonts w:hint="eastAsia" w:ascii="楷体" w:hAnsi="楷体" w:eastAsia="楷体"/>
          <w:color w:val="auto"/>
          <w:highlight w:val="none"/>
          <w:lang w:val="en-US" w:eastAsia="zh-CN"/>
        </w:rPr>
      </w:pPr>
    </w:p>
    <w:p w14:paraId="2C6E04BE">
      <w:pPr>
        <w:pStyle w:val="2"/>
        <w:rPr>
          <w:rFonts w:hint="eastAsia" w:ascii="楷体" w:hAnsi="楷体" w:eastAsia="楷体"/>
          <w:color w:val="auto"/>
          <w:highlight w:val="none"/>
          <w:lang w:val="en-US" w:eastAsia="zh-CN"/>
        </w:rPr>
      </w:pPr>
    </w:p>
    <w:p w14:paraId="3C3FEADC">
      <w:pPr>
        <w:rPr>
          <w:rFonts w:hint="eastAsia" w:ascii="楷体" w:hAnsi="楷体" w:eastAsia="楷体"/>
          <w:color w:val="auto"/>
          <w:highlight w:val="none"/>
          <w:lang w:val="en-US" w:eastAsia="zh-CN"/>
        </w:rPr>
      </w:pPr>
    </w:p>
    <w:p w14:paraId="1B2212AA">
      <w:pPr>
        <w:pStyle w:val="2"/>
        <w:rPr>
          <w:rFonts w:hint="eastAsia" w:ascii="楷体" w:hAnsi="楷体" w:eastAsia="楷体"/>
          <w:color w:val="auto"/>
          <w:highlight w:val="none"/>
          <w:lang w:val="en-US" w:eastAsia="zh-CN"/>
        </w:rPr>
      </w:pPr>
    </w:p>
    <w:p w14:paraId="68CEE453">
      <w:pPr>
        <w:rPr>
          <w:rFonts w:hint="eastAsia" w:ascii="楷体" w:hAnsi="楷体" w:eastAsia="楷体"/>
          <w:color w:val="auto"/>
          <w:highlight w:val="none"/>
          <w:lang w:val="en-US" w:eastAsia="zh-CN"/>
        </w:rPr>
      </w:pPr>
    </w:p>
    <w:p w14:paraId="3DBB9A8F">
      <w:pPr>
        <w:pStyle w:val="2"/>
        <w:rPr>
          <w:rFonts w:hint="eastAsia"/>
          <w:color w:val="auto"/>
          <w:highlight w:val="none"/>
          <w:lang w:val="en-US" w:eastAsia="zh-CN"/>
        </w:rPr>
      </w:pPr>
    </w:p>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FA3C6960-37C4-4CF8-88A0-DFDED124E537}"/>
  </w:font>
  <w:font w:name="Calibri Light">
    <w:panose1 w:val="020F03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2" w:fontKey="{4301A3FD-C1D6-40E1-8E50-511EA1762CB0}"/>
  </w:font>
  <w:font w:name="方正小标宋简体">
    <w:panose1 w:val="03000509000000000000"/>
    <w:charset w:val="86"/>
    <w:family w:val="auto"/>
    <w:pitch w:val="default"/>
    <w:sig w:usb0="00000001" w:usb1="080E0000" w:usb2="00000000" w:usb3="00000000" w:csb0="00040000" w:csb1="00000000"/>
    <w:embedRegular r:id="rId3" w:fontKey="{C9667274-33E1-488E-8FE6-D345F5A476D5}"/>
  </w:font>
  <w:font w:name="仿宋">
    <w:panose1 w:val="02010609060101010101"/>
    <w:charset w:val="86"/>
    <w:family w:val="auto"/>
    <w:pitch w:val="default"/>
    <w:sig w:usb0="800002BF" w:usb1="38CF7CFA" w:usb2="00000016" w:usb3="00000000" w:csb0="00040001" w:csb1="00000000"/>
    <w:embedRegular r:id="rId4" w:fontKey="{1556C0D6-39D9-4DEA-A0F1-BE8450039E0F}"/>
  </w:font>
  <w:font w:name="仿宋_GB2312">
    <w:panose1 w:val="02010609030101010101"/>
    <w:charset w:val="86"/>
    <w:family w:val="auto"/>
    <w:pitch w:val="default"/>
    <w:sig w:usb0="00000001" w:usb1="080E0000" w:usb2="00000000" w:usb3="00000000" w:csb0="00040000" w:csb1="00000000"/>
    <w:embedRegular r:id="rId5" w:fontKey="{1D3BBBD3-5A21-46C8-A96C-85A114FDCFF9}"/>
  </w:font>
  <w:font w:name="华文仿宋">
    <w:altName w:val="仿宋"/>
    <w:panose1 w:val="02010600040101010101"/>
    <w:charset w:val="86"/>
    <w:family w:val="auto"/>
    <w:pitch w:val="default"/>
    <w:sig w:usb0="00000000" w:usb1="00000000" w:usb2="00000000" w:usb3="00000000" w:csb0="0004009F" w:csb1="DFD70000"/>
    <w:embedRegular r:id="rId6" w:fontKey="{6F0167B5-EFBB-4808-AE94-5BB69A0E6169}"/>
  </w:font>
  <w:font w:name="楷体">
    <w:panose1 w:val="02010609060101010101"/>
    <w:charset w:val="86"/>
    <w:family w:val="auto"/>
    <w:pitch w:val="default"/>
    <w:sig w:usb0="800002BF" w:usb1="38CF7CFA" w:usb2="00000016" w:usb3="00000000" w:csb0="00040001" w:csb1="00000000"/>
    <w:embedRegular r:id="rId7" w:fontKey="{5B404DF3-E736-4B84-B8A3-C0BC76CAFAE1}"/>
  </w:font>
  <w:font w:name="Times">
    <w:altName w:val="Times New Roman"/>
    <w:panose1 w:val="00000500000000020000"/>
    <w:charset w:val="00"/>
    <w:family w:val="auto"/>
    <w:pitch w:val="default"/>
    <w:sig w:usb0="00000000" w:usb1="00000000" w:usb2="00000000" w:usb3="00000000" w:csb0="2000019F" w:csb1="4F010000"/>
    <w:embedRegular r:id="rId8" w:fontKey="{15B32332-FAD7-4C2D-8F98-0C138212D2BB}"/>
  </w:font>
  <w:font w:name="Kaiti SC">
    <w:altName w:val="宋体"/>
    <w:panose1 w:val="02010600040101010101"/>
    <w:charset w:val="86"/>
    <w:family w:val="auto"/>
    <w:pitch w:val="default"/>
    <w:sig w:usb0="00000000" w:usb1="00000000" w:usb2="00000016" w:usb3="00000000" w:csb0="0004001F" w:csb1="00000000"/>
    <w:embedRegular r:id="rId9" w:fontKey="{8874B402-595D-4062-BCC7-14AD6BBD49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D81D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2AE39">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E8ABB">
    <w:pPr>
      <w:widowControl w:val="0"/>
      <w:tabs>
        <w:tab w:val="center" w:pos="4153"/>
        <w:tab w:val="right" w:pos="8306"/>
      </w:tabs>
      <w:snapToGrid w:val="0"/>
      <w:jc w:val="both"/>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8670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3360;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5328670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- 1 -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0452DD">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60452DD">
                    <w:pPr>
                      <w:pStyle w:val="4"/>
                      <w:rPr>
                        <w:sz w:val="28"/>
                        <w:szCs w:val="2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F371E">
    <w:pPr>
      <w:pStyle w:val="4"/>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96CB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438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mdTHYTgCAABrBAAADgAAAAAAAAABACAAAAAlAQAAZHJzL2Uy&#10;b0RvYy54bWxQSwUGAAAAAAYABgBZAQAAzwUAAAAA&#10;">
              <v:fill on="f" focussize="0,0"/>
              <v:stroke on="f" weight="0.5pt"/>
              <v:imagedata o:title=""/>
              <o:lock v:ext="edit" aspectratio="f"/>
              <v:textbox inset="16pt,0mm,16pt,0mm" style="mso-fit-shape-to-text:t;">
                <w:txbxContent>
                  <w:p w14:paraId="10696CBA">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- 3 -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sz w:val="18"/>
      </w:rPr>
      <mc:AlternateContent>
        <mc:Choice Requires="wps">
          <w:drawing>
            <wp:anchor distT="0" distB="0" distL="114300" distR="114300" simplePos="0" relativeHeight="251662336" behindDoc="0" locked="0" layoutInCell="1" allowOverlap="1">
              <wp:simplePos x="0" y="0"/>
              <wp:positionH relativeFrom="margin">
                <wp:posOffset>2955290</wp:posOffset>
              </wp:positionH>
              <wp:positionV relativeFrom="paragraph">
                <wp:posOffset>-75565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C3C40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32.7pt;margin-top:-5.95pt;height:144pt;width:144pt;mso-position-horizontal-relative:margin;mso-wrap-style:none;z-index:251662336;mso-width-relative:page;mso-height-relative:page;" filled="f" stroked="f" coordsize="21600,21600" o:gfxdata="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Vpeje2QAAAAsBAAAPAAAAAAAAAAEAIAAAACIAAABkcnMvZG93bnJldi54&#10;bWxQSwECFAAUAAAACACHTuJAApUg9DICAABhBAAADgAAAAAAAAABACAAAAAoAQAAZHJzL2Uyb0Rv&#10;Yy54bWxQSwUGAAAAAAYABgBZAQAAzAUAAAAA&#10;">
              <v:fill on="f" focussize="0,0"/>
              <v:stroke on="f" weight="0.5pt"/>
              <v:imagedata o:title=""/>
              <o:lock v:ext="edit" aspectratio="f"/>
              <v:textbox inset="0mm,0mm,0mm,0mm" style="mso-fit-shape-to-text:t;">
                <w:txbxContent>
                  <w:p w14:paraId="20C3C40B">
                    <w:pPr>
                      <w:pStyle w:val="4"/>
                    </w:pP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5EA6F">
                          <w:pPr>
                            <w:pStyle w:val="4"/>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45EA6F">
                    <w:pPr>
                      <w:pStyle w:val="4"/>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C67D2">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1395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Cd/6VLNwIAAG0EAAAOAAAAAAAAAAEAIAAAACUBAABkcnMvZTJv&#10;RG9jLnhtbFBLBQYAAAAABgAGAFkBAADOBQAAAAA=&#10;">
              <v:fill on="f" focussize="0,0"/>
              <v:stroke on="f" weight="0.5pt"/>
              <v:imagedata o:title=""/>
              <o:lock v:ext="edit" aspectratio="f"/>
              <v:textbox inset="16pt,0mm,16pt,0mm" style="mso-fit-shape-to-text:t;">
                <w:txbxContent>
                  <w:p w14:paraId="29A13953">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85BBCB">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B85BBCB">
                    <w:pPr>
                      <w:pStyle w:val="4"/>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4C7C">
    <w:pPr>
      <w:widowControl w:val="0"/>
      <w:tabs>
        <w:tab w:val="center" w:pos="4153"/>
        <w:tab w:val="right" w:pos="8306"/>
      </w:tabs>
      <w:snapToGrid w:val="0"/>
      <w:jc w:val="center"/>
      <w:rPr>
        <w:rFonts w:hint="default"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540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zJ8uDTgCAABrBAAADgAAAAAAAAABACAAAAAlAQAAZHJzL2Uy&#10;b0RvYy54bWxQSwUGAAAAAAYABgBZAQAAzwUAAAAA&#10;">
              <v:fill on="f" focussize="0,0"/>
              <v:stroke on="f" weight="0.5pt"/>
              <v:imagedata o:title=""/>
              <o:lock v:ext="edit" aspectratio="f"/>
              <v:textbox inset="16pt,0mm,16pt,0mm" style="mso-fit-shape-to-text:t;">
                <w:txbxContent>
                  <w:p w14:paraId="605B09A5">
                    <w:pPr>
                      <w:pStyle w:val="4"/>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- 9 -</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CD531">
                          <w:pPr>
                            <w:pStyle w:val="4"/>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9FCD531">
                    <w:pPr>
                      <w:pStyle w:val="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EC1BC">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3CF4E">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62499"/>
    <w:multiLevelType w:val="multilevel"/>
    <w:tmpl w:val="0C862499"/>
    <w:lvl w:ilvl="0" w:tentative="0">
      <w:start w:val="1"/>
      <w:numFmt w:val="decimal"/>
      <w:lvlText w:val="%1."/>
      <w:lvlJc w:val="left"/>
      <w:pPr>
        <w:ind w:left="900" w:hanging="420"/>
      </w:pPr>
    </w:lvl>
    <w:lvl w:ilvl="1" w:tentative="0">
      <w:start w:val="1"/>
      <w:numFmt w:val="japaneseCounting"/>
      <w:lvlText w:val="第%2条"/>
      <w:lvlJc w:val="left"/>
      <w:pPr>
        <w:ind w:left="1740" w:hanging="84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5C180F"/>
    <w:multiLevelType w:val="multilevel"/>
    <w:tmpl w:val="285C180F"/>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2E135ADC"/>
    <w:multiLevelType w:val="multilevel"/>
    <w:tmpl w:val="2E135ADC"/>
    <w:lvl w:ilvl="0" w:tentative="0">
      <w:start w:val="1"/>
      <w:numFmt w:val="decimal"/>
      <w:lvlText w:val="%1."/>
      <w:lvlJc w:val="left"/>
      <w:pPr>
        <w:ind w:left="900" w:hanging="420"/>
      </w:pPr>
    </w:lvl>
    <w:lvl w:ilvl="1" w:tentative="0">
      <w:start w:val="1"/>
      <w:numFmt w:val="decimal"/>
      <w:isLgl/>
      <w:lvlText w:val="%1.%2."/>
      <w:lvlJc w:val="left"/>
      <w:pPr>
        <w:ind w:left="840" w:hanging="360"/>
      </w:pPr>
      <w:rPr>
        <w:rFonts w:hint="default"/>
      </w:rPr>
    </w:lvl>
    <w:lvl w:ilvl="2" w:tentative="0">
      <w:start w:val="1"/>
      <w:numFmt w:val="decimal"/>
      <w:isLgl/>
      <w:lvlText w:val="%1.%2.%3."/>
      <w:lvlJc w:val="left"/>
      <w:pPr>
        <w:ind w:left="1200" w:hanging="720"/>
      </w:pPr>
      <w:rPr>
        <w:rFonts w:hint="default"/>
      </w:rPr>
    </w:lvl>
    <w:lvl w:ilvl="3" w:tentative="0">
      <w:start w:val="1"/>
      <w:numFmt w:val="decimal"/>
      <w:isLgl/>
      <w:lvlText w:val="%1.%2.%3.%4."/>
      <w:lvlJc w:val="left"/>
      <w:pPr>
        <w:ind w:left="1200" w:hanging="720"/>
      </w:pPr>
      <w:rPr>
        <w:rFonts w:hint="default"/>
      </w:rPr>
    </w:lvl>
    <w:lvl w:ilvl="4" w:tentative="0">
      <w:start w:val="1"/>
      <w:numFmt w:val="decimal"/>
      <w:isLgl/>
      <w:lvlText w:val="%1.%2.%3.%4.%5."/>
      <w:lvlJc w:val="left"/>
      <w:pPr>
        <w:ind w:left="1560" w:hanging="1080"/>
      </w:pPr>
      <w:rPr>
        <w:rFonts w:hint="default"/>
      </w:rPr>
    </w:lvl>
    <w:lvl w:ilvl="5" w:tentative="0">
      <w:start w:val="1"/>
      <w:numFmt w:val="decimal"/>
      <w:isLgl/>
      <w:lvlText w:val="%1.%2.%3.%4.%5.%6."/>
      <w:lvlJc w:val="left"/>
      <w:pPr>
        <w:ind w:left="1560" w:hanging="1080"/>
      </w:pPr>
      <w:rPr>
        <w:rFonts w:hint="default"/>
      </w:rPr>
    </w:lvl>
    <w:lvl w:ilvl="6" w:tentative="0">
      <w:start w:val="1"/>
      <w:numFmt w:val="decimal"/>
      <w:isLgl/>
      <w:lvlText w:val="%1.%2.%3.%4.%5.%6.%7."/>
      <w:lvlJc w:val="left"/>
      <w:pPr>
        <w:ind w:left="1920" w:hanging="1440"/>
      </w:pPr>
      <w:rPr>
        <w:rFonts w:hint="default"/>
      </w:rPr>
    </w:lvl>
    <w:lvl w:ilvl="7" w:tentative="0">
      <w:start w:val="1"/>
      <w:numFmt w:val="decimal"/>
      <w:isLgl/>
      <w:lvlText w:val="%1.%2.%3.%4.%5.%6.%7.%8."/>
      <w:lvlJc w:val="left"/>
      <w:pPr>
        <w:ind w:left="1920" w:hanging="1440"/>
      </w:pPr>
      <w:rPr>
        <w:rFonts w:hint="default"/>
      </w:rPr>
    </w:lvl>
    <w:lvl w:ilvl="8" w:tentative="0">
      <w:start w:val="1"/>
      <w:numFmt w:val="decimal"/>
      <w:isLgl/>
      <w:lvlText w:val="%1.%2.%3.%4.%5.%6.%7.%8.%9."/>
      <w:lvlJc w:val="left"/>
      <w:pPr>
        <w:ind w:left="2280" w:hanging="1800"/>
      </w:pPr>
      <w:rPr>
        <w:rFonts w:hint="default"/>
      </w:rPr>
    </w:lvl>
  </w:abstractNum>
  <w:abstractNum w:abstractNumId="3">
    <w:nsid w:val="3B171B96"/>
    <w:multiLevelType w:val="singleLevel"/>
    <w:tmpl w:val="3B171B96"/>
    <w:lvl w:ilvl="0" w:tentative="0">
      <w:start w:val="1"/>
      <w:numFmt w:val="chineseCounting"/>
      <w:suff w:val="space"/>
      <w:lvlText w:val="第%1章"/>
      <w:lvlJc w:val="left"/>
      <w:rPr>
        <w:rFonts w:hint="eastAsia"/>
      </w:rPr>
    </w:lvl>
  </w:abstractNum>
  <w:abstractNum w:abstractNumId="4">
    <w:nsid w:val="4C522F5E"/>
    <w:multiLevelType w:val="multilevel"/>
    <w:tmpl w:val="4C522F5E"/>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60544084"/>
    <w:multiLevelType w:val="multilevel"/>
    <w:tmpl w:val="60544084"/>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6A0664E0"/>
    <w:multiLevelType w:val="singleLevel"/>
    <w:tmpl w:val="6A0664E0"/>
    <w:lvl w:ilvl="0" w:tentative="0">
      <w:start w:val="8"/>
      <w:numFmt w:val="chineseCounting"/>
      <w:suff w:val="nothing"/>
      <w:lvlText w:val="%1、"/>
      <w:lvlJc w:val="left"/>
      <w:rPr>
        <w:rFonts w:hint="eastAsia"/>
      </w:rPr>
    </w:lvl>
  </w:abstractNum>
  <w:abstractNum w:abstractNumId="7">
    <w:nsid w:val="76766B2A"/>
    <w:multiLevelType w:val="multilevel"/>
    <w:tmpl w:val="76766B2A"/>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7F0E108D"/>
    <w:multiLevelType w:val="multilevel"/>
    <w:tmpl w:val="7F0E108D"/>
    <w:lvl w:ilvl="0" w:tentative="0">
      <w:start w:val="1"/>
      <w:numFmt w:val="ideographDigital"/>
      <w:suff w:val="space"/>
      <w:lvlText w:val="第%1条"/>
      <w:lvlJc w:val="left"/>
      <w:pPr>
        <w:ind w:left="900" w:hanging="420"/>
      </w:pPr>
      <w:rPr>
        <w:rFonts w:hint="eastAsia"/>
        <w:b/>
      </w:rPr>
    </w:lvl>
    <w:lvl w:ilvl="1" w:tentative="0">
      <w:start w:val="10"/>
      <w:numFmt w:val="japaneseCounting"/>
      <w:suff w:val="space"/>
      <w:lvlText w:val="第%2条"/>
      <w:lvlJc w:val="left"/>
      <w:pPr>
        <w:ind w:left="3774" w:hanging="108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0"/>
  </w:num>
  <w:num w:numId="4">
    <w:abstractNumId w:val="8"/>
  </w:num>
  <w:num w:numId="5">
    <w:abstractNumId w:val="1"/>
  </w:num>
  <w:num w:numId="6">
    <w:abstractNumId w:val="7"/>
  </w:num>
  <w:num w:numId="7">
    <w:abstractNumId w:val="4"/>
  </w:num>
  <w:num w:numId="8">
    <w:abstractNumId w:val="2"/>
  </w:num>
  <w:num w:numId="9">
    <w:abstractNumId w:val="2"/>
    <w:lvlOverride w:ilvl="0">
      <w:lvl w:ilvl="0" w:tentative="1">
        <w:start w:val="1"/>
        <w:numFmt w:val="decimal"/>
        <w:lvlText w:val="%1."/>
        <w:lvlJc w:val="left"/>
        <w:pPr>
          <w:ind w:left="900" w:hanging="420"/>
        </w:pPr>
        <w:rPr>
          <w:rFonts w:hint="eastAsia"/>
        </w:rPr>
      </w:lvl>
    </w:lvlOverride>
    <w:lvlOverride w:ilvl="1">
      <w:lvl w:ilvl="1" w:tentative="1">
        <w:start w:val="1"/>
        <w:numFmt w:val="decimal"/>
        <w:isLgl/>
        <w:suff w:val="space"/>
        <w:lvlText w:val="%1.%2."/>
        <w:lvlJc w:val="left"/>
        <w:pPr>
          <w:ind w:left="840" w:hanging="360"/>
        </w:pPr>
        <w:rPr>
          <w:rFonts w:hint="default"/>
        </w:rPr>
      </w:lvl>
    </w:lvlOverride>
    <w:lvlOverride w:ilvl="2">
      <w:lvl w:ilvl="2" w:tentative="1">
        <w:start w:val="1"/>
        <w:numFmt w:val="decimal"/>
        <w:isLgl/>
        <w:lvlText w:val="%1.%2.%3."/>
        <w:lvlJc w:val="left"/>
        <w:pPr>
          <w:ind w:left="1200" w:hanging="720"/>
        </w:pPr>
        <w:rPr>
          <w:rFonts w:hint="default"/>
        </w:rPr>
      </w:lvl>
    </w:lvlOverride>
    <w:lvlOverride w:ilvl="3">
      <w:lvl w:ilvl="3" w:tentative="1">
        <w:start w:val="1"/>
        <w:numFmt w:val="decimal"/>
        <w:isLgl/>
        <w:lvlText w:val="%1.%2.%3.%4."/>
        <w:lvlJc w:val="left"/>
        <w:pPr>
          <w:ind w:left="1200" w:hanging="720"/>
        </w:pPr>
        <w:rPr>
          <w:rFonts w:hint="default"/>
        </w:rPr>
      </w:lvl>
    </w:lvlOverride>
    <w:lvlOverride w:ilvl="4">
      <w:lvl w:ilvl="4" w:tentative="1">
        <w:start w:val="1"/>
        <w:numFmt w:val="decimal"/>
        <w:isLgl/>
        <w:lvlText w:val="%1.%2.%3.%4.%5."/>
        <w:lvlJc w:val="left"/>
        <w:pPr>
          <w:ind w:left="1560" w:hanging="1080"/>
        </w:pPr>
        <w:rPr>
          <w:rFonts w:hint="default"/>
        </w:rPr>
      </w:lvl>
    </w:lvlOverride>
    <w:lvlOverride w:ilvl="5">
      <w:lvl w:ilvl="5" w:tentative="1">
        <w:start w:val="1"/>
        <w:numFmt w:val="decimal"/>
        <w:isLgl/>
        <w:lvlText w:val="%1.%2.%3.%4.%5.%6."/>
        <w:lvlJc w:val="left"/>
        <w:pPr>
          <w:ind w:left="1560" w:hanging="1080"/>
        </w:pPr>
        <w:rPr>
          <w:rFonts w:hint="default"/>
        </w:rPr>
      </w:lvl>
    </w:lvlOverride>
    <w:lvlOverride w:ilvl="6">
      <w:lvl w:ilvl="6" w:tentative="1">
        <w:start w:val="1"/>
        <w:numFmt w:val="decimal"/>
        <w:isLgl/>
        <w:lvlText w:val="%1.%2.%3.%4.%5.%6.%7."/>
        <w:lvlJc w:val="left"/>
        <w:pPr>
          <w:ind w:left="1920" w:hanging="1440"/>
        </w:pPr>
        <w:rPr>
          <w:rFonts w:hint="default"/>
        </w:rPr>
      </w:lvl>
    </w:lvlOverride>
    <w:lvlOverride w:ilvl="7">
      <w:lvl w:ilvl="7" w:tentative="1">
        <w:start w:val="1"/>
        <w:numFmt w:val="decimal"/>
        <w:isLgl/>
        <w:lvlText w:val="%1.%2.%3.%4.%5.%6.%7.%8."/>
        <w:lvlJc w:val="left"/>
        <w:pPr>
          <w:ind w:left="1920" w:hanging="1440"/>
        </w:pPr>
        <w:rPr>
          <w:rFonts w:hint="default"/>
        </w:rPr>
      </w:lvl>
    </w:lvlOverride>
    <w:lvlOverride w:ilvl="8">
      <w:lvl w:ilvl="8" w:tentative="1">
        <w:start w:val="1"/>
        <w:numFmt w:val="decimal"/>
        <w:isLgl/>
        <w:lvlText w:val="%1.%2.%3.%4.%5.%6.%7.%8.%9."/>
        <w:lvlJc w:val="left"/>
        <w:pPr>
          <w:ind w:left="2280" w:hanging="1800"/>
        </w:pPr>
        <w:rPr>
          <w:rFonts w:hint="default"/>
        </w:rPr>
      </w:lvl>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4MjBkNjI0YzU3MTYwZWZlODdhMzBiNjdmZjkzMzUifQ=="/>
  </w:docVars>
  <w:rsids>
    <w:rsidRoot w:val="06024BFC"/>
    <w:rsid w:val="01195218"/>
    <w:rsid w:val="01453484"/>
    <w:rsid w:val="03676BDB"/>
    <w:rsid w:val="03C341DC"/>
    <w:rsid w:val="03FC42A4"/>
    <w:rsid w:val="0456002C"/>
    <w:rsid w:val="049D5915"/>
    <w:rsid w:val="06024BFC"/>
    <w:rsid w:val="065110AA"/>
    <w:rsid w:val="068218BB"/>
    <w:rsid w:val="07276ACE"/>
    <w:rsid w:val="075524D7"/>
    <w:rsid w:val="07870B30"/>
    <w:rsid w:val="0D200F3F"/>
    <w:rsid w:val="0EDE1004"/>
    <w:rsid w:val="118C18B9"/>
    <w:rsid w:val="133D3072"/>
    <w:rsid w:val="135D2B0C"/>
    <w:rsid w:val="14A7065D"/>
    <w:rsid w:val="16E113E5"/>
    <w:rsid w:val="179F5363"/>
    <w:rsid w:val="193C6928"/>
    <w:rsid w:val="1A0A55F4"/>
    <w:rsid w:val="1C9553F8"/>
    <w:rsid w:val="1D085BCA"/>
    <w:rsid w:val="1E1E3077"/>
    <w:rsid w:val="1EAA0208"/>
    <w:rsid w:val="20427E9A"/>
    <w:rsid w:val="22AA7723"/>
    <w:rsid w:val="239D1AFC"/>
    <w:rsid w:val="26376D35"/>
    <w:rsid w:val="2676612A"/>
    <w:rsid w:val="2A4D7312"/>
    <w:rsid w:val="2A952A67"/>
    <w:rsid w:val="2B5335E7"/>
    <w:rsid w:val="2E150147"/>
    <w:rsid w:val="30556337"/>
    <w:rsid w:val="317452BC"/>
    <w:rsid w:val="33BC18BA"/>
    <w:rsid w:val="34594345"/>
    <w:rsid w:val="34634EE0"/>
    <w:rsid w:val="35696FCA"/>
    <w:rsid w:val="37462400"/>
    <w:rsid w:val="3A194DF3"/>
    <w:rsid w:val="3A50745A"/>
    <w:rsid w:val="3B0F1F28"/>
    <w:rsid w:val="3B2F036E"/>
    <w:rsid w:val="3DF75AAA"/>
    <w:rsid w:val="3F495D63"/>
    <w:rsid w:val="3FEA043A"/>
    <w:rsid w:val="420248A2"/>
    <w:rsid w:val="46C25B9D"/>
    <w:rsid w:val="47763048"/>
    <w:rsid w:val="49CA40B9"/>
    <w:rsid w:val="4B4000A2"/>
    <w:rsid w:val="4DC8252A"/>
    <w:rsid w:val="4E671CA0"/>
    <w:rsid w:val="51F660CD"/>
    <w:rsid w:val="53910557"/>
    <w:rsid w:val="539620A7"/>
    <w:rsid w:val="548D4619"/>
    <w:rsid w:val="56DC71A4"/>
    <w:rsid w:val="58BA314C"/>
    <w:rsid w:val="594E3CA4"/>
    <w:rsid w:val="59D6437F"/>
    <w:rsid w:val="5CAA2060"/>
    <w:rsid w:val="5CBE5452"/>
    <w:rsid w:val="5DCC1F1C"/>
    <w:rsid w:val="5E0D2339"/>
    <w:rsid w:val="5F6D7B45"/>
    <w:rsid w:val="5FBB4071"/>
    <w:rsid w:val="63177FF2"/>
    <w:rsid w:val="633839B4"/>
    <w:rsid w:val="647E189B"/>
    <w:rsid w:val="64B93AF6"/>
    <w:rsid w:val="65804045"/>
    <w:rsid w:val="67BC7BE0"/>
    <w:rsid w:val="67C27211"/>
    <w:rsid w:val="6AAA5ADF"/>
    <w:rsid w:val="6C0B1393"/>
    <w:rsid w:val="6C2D44BC"/>
    <w:rsid w:val="6D453B1E"/>
    <w:rsid w:val="6E820728"/>
    <w:rsid w:val="6F0A08FB"/>
    <w:rsid w:val="70E341B7"/>
    <w:rsid w:val="71B72890"/>
    <w:rsid w:val="73F43927"/>
    <w:rsid w:val="784F55D0"/>
    <w:rsid w:val="7B8B4B71"/>
    <w:rsid w:val="7DE14F1D"/>
    <w:rsid w:val="7E36681D"/>
    <w:rsid w:val="7F0013D2"/>
    <w:rsid w:val="7F47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libri Light" w:hAnsi="Calibri Light" w:eastAsia="宋体" w:cs="宋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1"/>
    <w:qFormat/>
    <w:uiPriority w:val="0"/>
    <w:pPr>
      <w:spacing w:after="120"/>
      <w:ind w:left="420" w:leftChars="200" w:firstLine="420" w:firstLineChars="200"/>
    </w:pPr>
    <w:rPr>
      <w:sz w:val="21"/>
      <w:szCs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437</Words>
  <Characters>466</Characters>
  <Lines>0</Lines>
  <Paragraphs>0</Paragraphs>
  <TotalTime>102</TotalTime>
  <ScaleCrop>false</ScaleCrop>
  <LinksUpToDate>false</LinksUpToDate>
  <CharactersWithSpaces>484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2023-10-25T09:12:00Z</dcterms:created>
  <dc:creator>倾拥</dc:creator>
  <cp:lastModifiedBy>袁梦</cp:lastModifiedBy>
  <cp:lastPrinted>2026-03-30T06:41:00Z</cp:lastPrinted>
  <dcterms:modified xsi:type="dcterms:W3CDTF">2026-04-21T01:42:35Z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7CCDC0C5914D4520B25DB601A2272237_13</vt:lpwstr>
  </property>
  <property fmtid="{D5CDD505-2E9C-101B-9397-08002B2CF9AE}" pid="4" name="KSOTemplateDocerSaveRecord">
    <vt:lpwstr>eyJoZGlkIjoiZDIzZGNhNDY4OTNjYWQ2M2EyNDlhMDBhNmVhNGRmYWUiLCJ1c2VySWQiOiIxNjMzMTQwNTc4In0=</vt:lpwstr>
  </property>
</Properties>
</file>