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01A76">
      <w:pPr>
        <w:jc w:val="center"/>
        <w:rPr>
          <w:rFonts w:eastAsia="黑体"/>
          <w:bCs/>
          <w:sz w:val="44"/>
          <w:szCs w:val="44"/>
        </w:rPr>
      </w:pPr>
    </w:p>
    <w:p w14:paraId="13B3E847">
      <w:pPr>
        <w:jc w:val="center"/>
        <w:rPr>
          <w:rFonts w:eastAsia="黑体"/>
          <w:bCs/>
          <w:sz w:val="44"/>
          <w:szCs w:val="44"/>
        </w:rPr>
      </w:pPr>
    </w:p>
    <w:p w14:paraId="77E2A33D">
      <w:pPr>
        <w:jc w:val="center"/>
        <w:rPr>
          <w:rFonts w:eastAsia="黑体"/>
          <w:bCs/>
          <w:sz w:val="44"/>
          <w:szCs w:val="44"/>
        </w:rPr>
      </w:pPr>
      <w:r>
        <w:rPr>
          <w:rFonts w:eastAsia="黑体"/>
          <w:bCs/>
          <w:sz w:val="44"/>
          <w:szCs w:val="44"/>
        </w:rPr>
        <w:t>四川蜀物广润物流有限公司</w:t>
      </w:r>
    </w:p>
    <w:p w14:paraId="4C9D44E2">
      <w:pPr>
        <w:spacing w:line="560" w:lineRule="exact"/>
        <w:jc w:val="center"/>
        <w:rPr>
          <w:kern w:val="1"/>
          <w:sz w:val="52"/>
          <w:szCs w:val="52"/>
        </w:rPr>
      </w:pPr>
      <w:r>
        <w:rPr>
          <w:rFonts w:eastAsia="黑体"/>
          <w:bCs/>
          <w:sz w:val="44"/>
          <w:szCs w:val="44"/>
        </w:rPr>
        <w:t>选聘</w:t>
      </w:r>
      <w:r>
        <w:rPr>
          <w:rFonts w:hint="eastAsia" w:eastAsia="黑体"/>
          <w:bCs/>
          <w:sz w:val="44"/>
          <w:szCs w:val="44"/>
        </w:rPr>
        <w:t>某项目</w:t>
      </w:r>
      <w:r>
        <w:rPr>
          <w:rFonts w:eastAsia="黑体"/>
          <w:bCs/>
          <w:sz w:val="44"/>
          <w:szCs w:val="44"/>
        </w:rPr>
        <w:t>专项法律服务中介机构</w:t>
      </w:r>
    </w:p>
    <w:p w14:paraId="48687754">
      <w:pPr>
        <w:spacing w:line="560" w:lineRule="exact"/>
        <w:jc w:val="center"/>
        <w:rPr>
          <w:b/>
          <w:kern w:val="1"/>
          <w:sz w:val="52"/>
          <w:szCs w:val="52"/>
        </w:rPr>
      </w:pPr>
    </w:p>
    <w:p w14:paraId="6AB6BA90">
      <w:pPr>
        <w:spacing w:line="560" w:lineRule="exact"/>
        <w:jc w:val="center"/>
        <w:rPr>
          <w:rFonts w:eastAsia="方正小标宋_GBK"/>
          <w:sz w:val="44"/>
          <w:szCs w:val="44"/>
        </w:rPr>
      </w:pPr>
    </w:p>
    <w:p w14:paraId="7F201979">
      <w:pPr>
        <w:spacing w:line="560" w:lineRule="exact"/>
        <w:jc w:val="center"/>
        <w:rPr>
          <w:rFonts w:eastAsia="方正小标宋_GBK"/>
          <w:sz w:val="44"/>
          <w:szCs w:val="44"/>
        </w:rPr>
      </w:pPr>
    </w:p>
    <w:p w14:paraId="0D7E3E22">
      <w:pPr>
        <w:spacing w:line="560" w:lineRule="exact"/>
        <w:jc w:val="center"/>
        <w:rPr>
          <w:rFonts w:eastAsia="方正小标宋_GBK"/>
          <w:sz w:val="44"/>
          <w:szCs w:val="44"/>
        </w:rPr>
      </w:pPr>
    </w:p>
    <w:p w14:paraId="3F22458A">
      <w:pPr>
        <w:spacing w:line="560" w:lineRule="exact"/>
        <w:jc w:val="center"/>
        <w:rPr>
          <w:rFonts w:eastAsia="方正小标宋_GBK"/>
          <w:sz w:val="44"/>
          <w:szCs w:val="44"/>
        </w:rPr>
      </w:pPr>
    </w:p>
    <w:p w14:paraId="20D298E6">
      <w:pPr>
        <w:spacing w:line="560" w:lineRule="exact"/>
        <w:jc w:val="center"/>
        <w:rPr>
          <w:rFonts w:eastAsia="方正小标宋_GBK"/>
          <w:sz w:val="44"/>
          <w:szCs w:val="44"/>
        </w:rPr>
      </w:pPr>
    </w:p>
    <w:p w14:paraId="4A407A42">
      <w:pPr>
        <w:widowControl/>
        <w:spacing w:line="228" w:lineRule="auto"/>
        <w:jc w:val="center"/>
        <w:rPr>
          <w:rFonts w:eastAsia="黑体"/>
          <w:bCs/>
          <w:sz w:val="44"/>
          <w:szCs w:val="44"/>
        </w:rPr>
      </w:pPr>
      <w:r>
        <w:rPr>
          <w:rFonts w:eastAsia="黑体"/>
          <w:bCs/>
          <w:sz w:val="44"/>
          <w:szCs w:val="44"/>
        </w:rPr>
        <w:t>公开比选文件</w:t>
      </w:r>
    </w:p>
    <w:p w14:paraId="269F137D">
      <w:pPr>
        <w:spacing w:line="560" w:lineRule="exact"/>
        <w:jc w:val="center"/>
        <w:rPr>
          <w:rFonts w:eastAsia="方正小标宋_GBK"/>
          <w:sz w:val="44"/>
          <w:szCs w:val="44"/>
        </w:rPr>
      </w:pPr>
    </w:p>
    <w:p w14:paraId="3FBB7043">
      <w:pPr>
        <w:spacing w:line="560" w:lineRule="exact"/>
        <w:ind w:firstLine="480"/>
        <w:rPr>
          <w:kern w:val="1"/>
          <w:sz w:val="24"/>
        </w:rPr>
      </w:pPr>
    </w:p>
    <w:p w14:paraId="14CE899E">
      <w:pPr>
        <w:spacing w:line="560" w:lineRule="exact"/>
        <w:ind w:firstLine="480"/>
        <w:rPr>
          <w:kern w:val="1"/>
          <w:sz w:val="24"/>
        </w:rPr>
      </w:pPr>
    </w:p>
    <w:p w14:paraId="52822C9E">
      <w:pPr>
        <w:spacing w:line="560" w:lineRule="exact"/>
        <w:ind w:firstLine="480"/>
        <w:rPr>
          <w:kern w:val="1"/>
          <w:sz w:val="24"/>
        </w:rPr>
      </w:pPr>
    </w:p>
    <w:p w14:paraId="66F68868">
      <w:pPr>
        <w:spacing w:line="560" w:lineRule="exact"/>
        <w:rPr>
          <w:kern w:val="1"/>
          <w:sz w:val="24"/>
        </w:rPr>
      </w:pPr>
    </w:p>
    <w:p w14:paraId="1ADBE3E9">
      <w:pPr>
        <w:spacing w:line="560" w:lineRule="exact"/>
        <w:ind w:firstLine="480"/>
        <w:rPr>
          <w:kern w:val="1"/>
          <w:sz w:val="24"/>
        </w:rPr>
      </w:pPr>
    </w:p>
    <w:p w14:paraId="00C32B3A">
      <w:pPr>
        <w:spacing w:line="560" w:lineRule="exact"/>
        <w:rPr>
          <w:kern w:val="1"/>
          <w:sz w:val="24"/>
        </w:rPr>
      </w:pPr>
    </w:p>
    <w:p w14:paraId="5A5E11C8">
      <w:pPr>
        <w:spacing w:line="360" w:lineRule="auto"/>
        <w:ind w:firstLine="624"/>
        <w:jc w:val="center"/>
        <w:rPr>
          <w:rFonts w:eastAsia="黑体"/>
          <w:b/>
          <w:sz w:val="28"/>
          <w:szCs w:val="28"/>
        </w:rPr>
      </w:pPr>
    </w:p>
    <w:p w14:paraId="65DD0AF5">
      <w:pPr>
        <w:widowControl/>
        <w:spacing w:line="360" w:lineRule="auto"/>
        <w:jc w:val="center"/>
        <w:rPr>
          <w:rFonts w:eastAsia="黑体"/>
          <w:kern w:val="0"/>
          <w:sz w:val="28"/>
          <w:szCs w:val="28"/>
        </w:rPr>
      </w:pPr>
      <w:r>
        <w:rPr>
          <w:rFonts w:eastAsia="黑体"/>
          <w:kern w:val="0"/>
          <w:sz w:val="28"/>
          <w:szCs w:val="28"/>
        </w:rPr>
        <w:t>比选人：四川蜀物广润物流有限公司</w:t>
      </w:r>
    </w:p>
    <w:p w14:paraId="6BFA547C">
      <w:pPr>
        <w:spacing w:line="360" w:lineRule="auto"/>
        <w:jc w:val="center"/>
        <w:rPr>
          <w:rFonts w:hint="eastAsia" w:eastAsia="黑体"/>
          <w:sz w:val="28"/>
          <w:szCs w:val="28"/>
          <w:lang w:eastAsia="zh-CN"/>
        </w:rPr>
      </w:pPr>
      <w:r>
        <w:rPr>
          <w:rFonts w:eastAsia="黑体"/>
          <w:sz w:val="28"/>
          <w:szCs w:val="28"/>
        </w:rPr>
        <w:t>二〇</w:t>
      </w:r>
      <w:r>
        <w:rPr>
          <w:rFonts w:hint="eastAsia" w:eastAsia="黑体"/>
          <w:sz w:val="28"/>
          <w:szCs w:val="28"/>
          <w:lang w:eastAsia="zh-CN"/>
        </w:rPr>
        <w:t>二六年四月</w:t>
      </w:r>
    </w:p>
    <w:p w14:paraId="7D880012">
      <w:pPr>
        <w:pStyle w:val="4"/>
        <w:rPr>
          <w:rFonts w:ascii="Times New Roman" w:hAnsi="Times New Roman" w:cs="Times New Roman"/>
        </w:rPr>
        <w:sectPr>
          <w:pgSz w:w="11906" w:h="16838"/>
          <w:pgMar w:top="2098" w:right="1474" w:bottom="1984" w:left="1588" w:header="851" w:footer="992" w:gutter="0"/>
          <w:pgNumType w:fmt="decimal"/>
          <w:cols w:space="425" w:num="1"/>
          <w:docGrid w:type="lines" w:linePitch="312" w:charSpace="0"/>
        </w:sectPr>
      </w:pPr>
    </w:p>
    <w:p w14:paraId="6577A973">
      <w:pPr>
        <w:pStyle w:val="4"/>
        <w:rPr>
          <w:rFonts w:ascii="Times New Roman" w:hAnsi="Times New Roman" w:cs="Times New Roman"/>
        </w:rPr>
      </w:pPr>
    </w:p>
    <w:p w14:paraId="3AAC84CF">
      <w:pPr>
        <w:jc w:val="center"/>
        <w:rPr>
          <w:b/>
          <w:sz w:val="36"/>
        </w:rPr>
      </w:pPr>
      <w:r>
        <w:rPr>
          <w:b/>
          <w:sz w:val="36"/>
        </w:rPr>
        <w:t>目    录</w:t>
      </w:r>
    </w:p>
    <w:p w14:paraId="076FBF7C">
      <w:pPr>
        <w:spacing w:line="520" w:lineRule="exact"/>
        <w:jc w:val="center"/>
        <w:rPr>
          <w:b/>
          <w:sz w:val="36"/>
        </w:rPr>
      </w:pPr>
    </w:p>
    <w:p w14:paraId="6511BA0F">
      <w:pPr>
        <w:spacing w:line="520" w:lineRule="exact"/>
        <w:jc w:val="center"/>
        <w:rPr>
          <w:b/>
          <w:sz w:val="36"/>
        </w:rPr>
      </w:pPr>
    </w:p>
    <w:p w14:paraId="741BAC42">
      <w:pPr>
        <w:widowControl/>
        <w:jc w:val="center"/>
        <w:rPr>
          <w:sz w:val="32"/>
          <w:szCs w:val="32"/>
        </w:rPr>
      </w:pPr>
      <w:r>
        <w:rPr>
          <w:b/>
          <w:sz w:val="30"/>
          <w:szCs w:val="30"/>
        </w:rPr>
        <w:fldChar w:fldCharType="begin"/>
      </w:r>
      <w:r>
        <w:rPr>
          <w:b/>
          <w:sz w:val="30"/>
          <w:szCs w:val="30"/>
          <w:u w:val="single"/>
        </w:rPr>
        <w:instrText xml:space="preserve">TOC \o "1-3" \h  \u </w:instrText>
      </w:r>
      <w:r>
        <w:rPr>
          <w:b/>
          <w:sz w:val="30"/>
          <w:szCs w:val="30"/>
        </w:rPr>
        <w:fldChar w:fldCharType="separate"/>
      </w:r>
      <w:r>
        <w:rPr>
          <w:b/>
          <w:sz w:val="32"/>
          <w:szCs w:val="32"/>
        </w:rPr>
        <w:fldChar w:fldCharType="begin"/>
      </w:r>
      <w:r>
        <w:rPr>
          <w:b/>
          <w:sz w:val="32"/>
          <w:szCs w:val="32"/>
        </w:rPr>
        <w:instrText xml:space="preserve"> TOC \o "1-2" \h \z \u </w:instrText>
      </w:r>
      <w:r>
        <w:rPr>
          <w:b/>
          <w:sz w:val="32"/>
          <w:szCs w:val="32"/>
        </w:rPr>
        <w:fldChar w:fldCharType="separate"/>
      </w:r>
      <w:r>
        <w:fldChar w:fldCharType="begin"/>
      </w:r>
      <w:r>
        <w:instrText xml:space="preserve"> HYPERLINK \l "_Toc28807" </w:instrText>
      </w:r>
      <w:r>
        <w:fldChar w:fldCharType="separate"/>
      </w:r>
      <w:r>
        <w:rPr>
          <w:sz w:val="32"/>
          <w:szCs w:val="32"/>
        </w:rPr>
        <w:t>第一章  比选公告</w:t>
      </w:r>
      <w:r>
        <w:rPr>
          <w:rFonts w:eastAsia="仿宋_GB2312"/>
          <w:sz w:val="32"/>
          <w:szCs w:val="32"/>
        </w:rPr>
        <w:t>·</w:t>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1</w:t>
      </w:r>
      <w:r>
        <w:rPr>
          <w:sz w:val="32"/>
          <w:szCs w:val="32"/>
        </w:rPr>
        <w:t>）</w:t>
      </w:r>
    </w:p>
    <w:p w14:paraId="64AC65DF">
      <w:pPr>
        <w:widowControl/>
        <w:jc w:val="center"/>
        <w:rPr>
          <w:sz w:val="32"/>
          <w:szCs w:val="32"/>
        </w:rPr>
      </w:pPr>
      <w:r>
        <w:fldChar w:fldCharType="begin"/>
      </w:r>
      <w:r>
        <w:instrText xml:space="preserve"> HYPERLINK \l "_Toc26734" </w:instrText>
      </w:r>
      <w:r>
        <w:fldChar w:fldCharType="separate"/>
      </w:r>
      <w:r>
        <w:rPr>
          <w:sz w:val="32"/>
          <w:szCs w:val="32"/>
        </w:rPr>
        <w:t>第二章  比选申请人须知</w:t>
      </w:r>
      <w:r>
        <w:rPr>
          <w:rFonts w:eastAsia="仿宋_GB2312"/>
          <w:sz w:val="32"/>
          <w:szCs w:val="32"/>
        </w:rPr>
        <w:t>···</w:t>
      </w:r>
      <w:r>
        <w:rPr>
          <w:rFonts w:eastAsia="仿宋_GB2312"/>
          <w:sz w:val="32"/>
          <w:szCs w:val="32"/>
        </w:rPr>
        <w:fldChar w:fldCharType="end"/>
      </w:r>
      <w:r>
        <w:rPr>
          <w:rFonts w:eastAsia="仿宋_GB2312"/>
          <w:sz w:val="32"/>
          <w:szCs w:val="32"/>
        </w:rPr>
        <w:t>····························</w:t>
      </w:r>
      <w:r>
        <w:rPr>
          <w:sz w:val="32"/>
          <w:szCs w:val="32"/>
        </w:rPr>
        <w:t>（</w:t>
      </w:r>
      <w:r>
        <w:rPr>
          <w:rFonts w:hint="eastAsia"/>
          <w:sz w:val="32"/>
          <w:szCs w:val="32"/>
          <w:lang w:val="en-US" w:eastAsia="zh-CN"/>
        </w:rPr>
        <w:t>7</w:t>
      </w:r>
      <w:r>
        <w:rPr>
          <w:sz w:val="32"/>
          <w:szCs w:val="32"/>
        </w:rPr>
        <w:t>）</w:t>
      </w:r>
    </w:p>
    <w:p w14:paraId="44CD0CA1">
      <w:pPr>
        <w:widowControl/>
        <w:jc w:val="center"/>
        <w:rPr>
          <w:sz w:val="32"/>
          <w:szCs w:val="32"/>
        </w:rPr>
      </w:pPr>
      <w:r>
        <w:fldChar w:fldCharType="begin"/>
      </w:r>
      <w:r>
        <w:instrText xml:space="preserve"> HYPERLINK \l "_Toc10212" </w:instrText>
      </w:r>
      <w:r>
        <w:fldChar w:fldCharType="separate"/>
      </w:r>
      <w:r>
        <w:rPr>
          <w:kern w:val="44"/>
          <w:sz w:val="32"/>
          <w:szCs w:val="32"/>
        </w:rPr>
        <w:t>第三章  评审办法</w:t>
      </w:r>
      <w:r>
        <w:rPr>
          <w:rFonts w:hint="eastAsia"/>
          <w:kern w:val="44"/>
          <w:sz w:val="32"/>
          <w:szCs w:val="32"/>
          <w:lang w:val="en-US" w:eastAsia="zh-CN"/>
        </w:rPr>
        <w:t xml:space="preserve"> </w:t>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9</w:t>
      </w:r>
      <w:r>
        <w:rPr>
          <w:sz w:val="32"/>
          <w:szCs w:val="32"/>
        </w:rPr>
        <w:t>）</w:t>
      </w:r>
    </w:p>
    <w:p w14:paraId="096A568E">
      <w:pPr>
        <w:widowControl/>
        <w:jc w:val="center"/>
        <w:rPr>
          <w:sz w:val="32"/>
          <w:szCs w:val="32"/>
        </w:rPr>
      </w:pPr>
      <w:r>
        <w:fldChar w:fldCharType="begin"/>
      </w:r>
      <w:r>
        <w:instrText xml:space="preserve"> HYPERLINK \l "_Toc10212" </w:instrText>
      </w:r>
      <w:r>
        <w:fldChar w:fldCharType="separate"/>
      </w:r>
      <w:r>
        <w:rPr>
          <w:kern w:val="44"/>
          <w:sz w:val="32"/>
          <w:szCs w:val="32"/>
        </w:rPr>
        <w:t xml:space="preserve">第四章  </w:t>
      </w:r>
      <w:r>
        <w:rPr>
          <w:kern w:val="44"/>
          <w:sz w:val="32"/>
          <w:szCs w:val="32"/>
        </w:rPr>
        <w:fldChar w:fldCharType="end"/>
      </w:r>
      <w:r>
        <w:fldChar w:fldCharType="begin"/>
      </w:r>
      <w:r>
        <w:instrText xml:space="preserve"> HYPERLINK \l "_Toc23920" </w:instrText>
      </w:r>
      <w:r>
        <w:fldChar w:fldCharType="separate"/>
      </w:r>
      <w:r>
        <w:rPr>
          <w:sz w:val="32"/>
          <w:szCs w:val="32"/>
        </w:rPr>
        <w:t>合同主要条款</w:t>
      </w:r>
      <w:r>
        <w:rPr>
          <w:rFonts w:hint="eastAsia"/>
          <w:sz w:val="32"/>
          <w:szCs w:val="32"/>
          <w:lang w:val="en-US" w:eastAsia="zh-CN"/>
        </w:rPr>
        <w:t xml:space="preserve"> </w:t>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14</w:t>
      </w:r>
      <w:r>
        <w:rPr>
          <w:sz w:val="32"/>
          <w:szCs w:val="32"/>
        </w:rPr>
        <w:t>）</w:t>
      </w:r>
    </w:p>
    <w:p w14:paraId="4F8745CD">
      <w:pPr>
        <w:widowControl/>
        <w:jc w:val="center"/>
        <w:rPr>
          <w:sz w:val="32"/>
          <w:szCs w:val="32"/>
        </w:rPr>
      </w:pPr>
      <w:r>
        <w:fldChar w:fldCharType="begin"/>
      </w:r>
      <w:r>
        <w:instrText xml:space="preserve"> HYPERLINK \l "_Toc25781" </w:instrText>
      </w:r>
      <w:r>
        <w:fldChar w:fldCharType="separate"/>
      </w:r>
      <w:r>
        <w:rPr>
          <w:sz w:val="32"/>
          <w:szCs w:val="32"/>
        </w:rPr>
        <w:t>第五章  比选申请书格式</w:t>
      </w:r>
      <w:r>
        <w:rPr>
          <w:rFonts w:hint="eastAsia"/>
          <w:sz w:val="32"/>
          <w:szCs w:val="32"/>
          <w:lang w:val="en-US" w:eastAsia="zh-CN"/>
        </w:rPr>
        <w:t xml:space="preserve"> </w:t>
      </w:r>
      <w:r>
        <w:rPr>
          <w:sz w:val="32"/>
          <w:szCs w:val="32"/>
        </w:rPr>
        <w:fldChar w:fldCharType="end"/>
      </w:r>
      <w:r>
        <w:rPr>
          <w:rFonts w:hint="eastAsia"/>
          <w:sz w:val="32"/>
          <w:szCs w:val="32"/>
          <w:lang w:val="en-US" w:eastAsia="zh-CN"/>
        </w:rPr>
        <w:t xml:space="preserve"> </w:t>
      </w:r>
      <w:r>
        <w:rPr>
          <w:rFonts w:eastAsia="仿宋_GB2312"/>
          <w:sz w:val="32"/>
          <w:szCs w:val="32"/>
        </w:rPr>
        <w:t>··························</w:t>
      </w:r>
      <w:r>
        <w:rPr>
          <w:sz w:val="32"/>
          <w:szCs w:val="32"/>
        </w:rPr>
        <w:t>（</w:t>
      </w:r>
      <w:r>
        <w:rPr>
          <w:rFonts w:hint="eastAsia"/>
          <w:sz w:val="32"/>
          <w:szCs w:val="32"/>
          <w:lang w:val="en-US" w:eastAsia="zh-CN"/>
        </w:rPr>
        <w:t>20</w:t>
      </w:r>
      <w:r>
        <w:rPr>
          <w:sz w:val="32"/>
          <w:szCs w:val="32"/>
        </w:rPr>
        <w:t>）</w:t>
      </w:r>
    </w:p>
    <w:p w14:paraId="138D9681">
      <w:pPr>
        <w:widowControl/>
        <w:jc w:val="center"/>
        <w:rPr>
          <w:sz w:val="32"/>
          <w:szCs w:val="32"/>
        </w:rPr>
      </w:pPr>
      <w:r>
        <w:rPr>
          <w:sz w:val="32"/>
          <w:szCs w:val="32"/>
        </w:rPr>
        <w:fldChar w:fldCharType="end"/>
      </w:r>
    </w:p>
    <w:p w14:paraId="39D37BDA">
      <w:pPr>
        <w:widowControl/>
        <w:jc w:val="center"/>
        <w:rPr>
          <w:rFonts w:eastAsia="方正小标宋_GBK"/>
          <w:kern w:val="1"/>
          <w:sz w:val="44"/>
          <w:szCs w:val="44"/>
        </w:rPr>
      </w:pPr>
      <w:r>
        <w:rPr>
          <w:sz w:val="32"/>
          <w:szCs w:val="32"/>
        </w:rPr>
        <w:br w:type="page"/>
      </w:r>
      <w:r>
        <w:rPr>
          <w:b/>
          <w:sz w:val="30"/>
          <w:szCs w:val="30"/>
        </w:rPr>
        <w:fldChar w:fldCharType="end"/>
      </w:r>
    </w:p>
    <w:p w14:paraId="1B7493A0">
      <w:pPr>
        <w:pStyle w:val="2"/>
        <w:jc w:val="center"/>
        <w:rPr>
          <w:rFonts w:ascii="Times New Roman" w:hAnsi="Times New Roman" w:cs="Times New Roman"/>
        </w:rPr>
        <w:sectPr>
          <w:footerReference r:id="rId3" w:type="default"/>
          <w:footerReference r:id="rId4" w:type="even"/>
          <w:pgSz w:w="11906" w:h="16838"/>
          <w:pgMar w:top="2098" w:right="1474" w:bottom="1984" w:left="1588" w:header="851" w:footer="992" w:gutter="0"/>
          <w:pgNumType w:fmt="decimal"/>
          <w:cols w:space="425" w:num="1"/>
          <w:docGrid w:type="lines" w:linePitch="312" w:charSpace="0"/>
        </w:sectPr>
      </w:pPr>
    </w:p>
    <w:p w14:paraId="0AA63802">
      <w:pPr>
        <w:pStyle w:val="2"/>
        <w:jc w:val="center"/>
        <w:rPr>
          <w:rFonts w:ascii="Times New Roman" w:hAnsi="Times New Roman" w:eastAsia="宋体" w:cs="Times New Roman"/>
          <w:b/>
          <w:kern w:val="44"/>
          <w:sz w:val="44"/>
          <w:szCs w:val="20"/>
        </w:rPr>
      </w:pPr>
      <w:r>
        <w:rPr>
          <w:rFonts w:ascii="Times New Roman" w:hAnsi="Times New Roman" w:cs="Times New Roman"/>
        </w:rPr>
        <w:t>第一章</w:t>
      </w:r>
      <w:r>
        <w:rPr>
          <w:rFonts w:ascii="Times New Roman" w:hAnsi="Times New Roman" w:cs="Times New Roman"/>
          <w:lang w:val="en-US"/>
        </w:rPr>
        <w:t xml:space="preserve"> 比选</w:t>
      </w:r>
      <w:r>
        <w:rPr>
          <w:rFonts w:ascii="Times New Roman" w:hAnsi="Times New Roman" w:cs="Times New Roman"/>
        </w:rPr>
        <w:t>公告</w:t>
      </w:r>
    </w:p>
    <w:p w14:paraId="25BF6338">
      <w:pPr>
        <w:autoSpaceDE w:val="0"/>
        <w:autoSpaceDN w:val="0"/>
        <w:adjustRightInd w:val="0"/>
        <w:spacing w:line="360" w:lineRule="auto"/>
        <w:ind w:firstLine="480" w:firstLineChars="200"/>
        <w:rPr>
          <w:bCs/>
          <w:sz w:val="24"/>
        </w:rPr>
      </w:pPr>
    </w:p>
    <w:p w14:paraId="3A4E218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根据四川省政府国有资产监督管理委员会办公室《关于印发〈四川省国资委及出资企业中介机构选聘管理试行办法〉的通知》（国资委办〔2024〕9号）等文件规定，四川蜀物广润物流有限公司（以下简称比选人、我公司）拟公开比选某项目专项法律服务中介机构，请有意参加本次比选的单位按要求递交比选文件。</w:t>
      </w:r>
    </w:p>
    <w:p w14:paraId="6269FFA1">
      <w:pPr>
        <w:spacing w:line="560" w:lineRule="exact"/>
        <w:ind w:firstLine="640" w:firstLineChars="200"/>
        <w:jc w:val="left"/>
        <w:rPr>
          <w:rFonts w:eastAsia="黑体"/>
          <w:sz w:val="32"/>
          <w:szCs w:val="32"/>
        </w:rPr>
      </w:pPr>
      <w:r>
        <w:rPr>
          <w:rFonts w:eastAsia="黑体"/>
          <w:sz w:val="32"/>
          <w:szCs w:val="32"/>
        </w:rPr>
        <w:t>一、项目概况</w:t>
      </w:r>
    </w:p>
    <w:p w14:paraId="0BB4211E">
      <w:pPr>
        <w:widowControl/>
        <w:autoSpaceDE w:val="0"/>
        <w:autoSpaceDN w:val="0"/>
        <w:adjustRightInd w:val="0"/>
        <w:spacing w:line="540" w:lineRule="exact"/>
        <w:ind w:firstLine="640" w:firstLineChars="200"/>
        <w:contextualSpacing/>
        <w:outlineLvl w:val="0"/>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比选</w:t>
      </w:r>
      <w:r>
        <w:rPr>
          <w:rFonts w:hint="eastAsia" w:ascii="Times New Roman" w:hAnsi="Times New Roman" w:eastAsia="仿宋_GB2312" w:cs="Times New Roman"/>
          <w:bCs/>
          <w:sz w:val="32"/>
          <w:szCs w:val="32"/>
          <w:lang w:val="en-US" w:eastAsia="zh-CN"/>
        </w:rPr>
        <w:t>人与四川某国有企业开展贸易业务项目合作。截至目前，</w:t>
      </w:r>
      <w:r>
        <w:rPr>
          <w:rFonts w:hint="eastAsia" w:eastAsia="仿宋_GB2312" w:cs="Times New Roman"/>
          <w:bCs/>
          <w:sz w:val="32"/>
          <w:szCs w:val="32"/>
          <w:lang w:val="en-US" w:eastAsia="zh-CN"/>
        </w:rPr>
        <w:t>比选</w:t>
      </w:r>
      <w:r>
        <w:rPr>
          <w:rFonts w:hint="eastAsia" w:ascii="Times New Roman" w:hAnsi="Times New Roman" w:eastAsia="仿宋_GB2312" w:cs="Times New Roman"/>
          <w:bCs/>
          <w:sz w:val="32"/>
          <w:szCs w:val="32"/>
          <w:lang w:val="en-US" w:eastAsia="zh-CN"/>
        </w:rPr>
        <w:t>人未收回货款</w:t>
      </w:r>
      <w:r>
        <w:rPr>
          <w:rFonts w:hint="eastAsia" w:eastAsia="仿宋_GB2312" w:cs="Times New Roman"/>
          <w:bCs/>
          <w:sz w:val="32"/>
          <w:szCs w:val="32"/>
          <w:lang w:val="en-US" w:eastAsia="zh-CN"/>
        </w:rPr>
        <w:t>约</w:t>
      </w:r>
      <w:r>
        <w:rPr>
          <w:rFonts w:hint="eastAsia" w:ascii="Times New Roman" w:hAnsi="Times New Roman" w:eastAsia="仿宋_GB2312" w:cs="Times New Roman"/>
          <w:bCs/>
          <w:sz w:val="32"/>
          <w:szCs w:val="32"/>
          <w:lang w:val="en-US" w:eastAsia="zh-CN"/>
        </w:rPr>
        <w:t>3700万元。现对该项目进行公开比选。</w:t>
      </w:r>
    </w:p>
    <w:p w14:paraId="3CE3E865">
      <w:pPr>
        <w:spacing w:line="560" w:lineRule="exact"/>
        <w:ind w:firstLine="640" w:firstLineChars="200"/>
        <w:jc w:val="left"/>
        <w:rPr>
          <w:rFonts w:eastAsia="黑体"/>
          <w:sz w:val="32"/>
          <w:szCs w:val="32"/>
        </w:rPr>
      </w:pPr>
      <w:r>
        <w:rPr>
          <w:rFonts w:eastAsia="黑体"/>
          <w:sz w:val="32"/>
          <w:szCs w:val="32"/>
        </w:rPr>
        <w:t>二、比选申请人资质</w:t>
      </w:r>
    </w:p>
    <w:p w14:paraId="4C66283C">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（一）依照《中华人民共和国律师法》设立的律师事务所，成立3年及以上，执业律师10人及以上。（提供律师事务所执业许可证正、副本复印件</w:t>
      </w:r>
      <w:r>
        <w:rPr>
          <w:rFonts w:hint="eastAsia" w:eastAsia="仿宋_GB2312"/>
          <w:bCs/>
          <w:sz w:val="32"/>
          <w:szCs w:val="32"/>
          <w:lang w:val="en-US" w:eastAsia="zh-CN"/>
        </w:rPr>
        <w:t>，</w:t>
      </w:r>
      <w:r>
        <w:rPr>
          <w:rFonts w:hint="default" w:eastAsia="仿宋_GB2312"/>
          <w:bCs/>
          <w:sz w:val="32"/>
          <w:szCs w:val="32"/>
          <w:lang w:val="en-US" w:eastAsia="zh-CN"/>
        </w:rPr>
        <w:t>提供</w:t>
      </w:r>
      <w:r>
        <w:rPr>
          <w:rFonts w:hint="eastAsia" w:eastAsia="仿宋_GB2312"/>
          <w:bCs/>
          <w:sz w:val="32"/>
          <w:szCs w:val="32"/>
          <w:lang w:val="en-US" w:eastAsia="zh-CN"/>
        </w:rPr>
        <w:t>司法部门律所注册执业律师人数证明</w:t>
      </w:r>
      <w:r>
        <w:rPr>
          <w:rFonts w:hint="default" w:eastAsia="仿宋_GB2312"/>
          <w:bCs/>
          <w:sz w:val="32"/>
          <w:szCs w:val="32"/>
          <w:lang w:val="en-US" w:eastAsia="zh-CN"/>
        </w:rPr>
        <w:t>）</w:t>
      </w:r>
      <w:r>
        <w:rPr>
          <w:rFonts w:hint="eastAsia" w:eastAsia="仿宋_GB2312"/>
          <w:bCs/>
          <w:sz w:val="32"/>
          <w:szCs w:val="32"/>
          <w:lang w:val="en-US" w:eastAsia="zh-CN"/>
        </w:rPr>
        <w:t>。</w:t>
      </w:r>
    </w:p>
    <w:p w14:paraId="637769C4">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（二）</w:t>
      </w:r>
      <w:r>
        <w:rPr>
          <w:rFonts w:hint="eastAsia" w:eastAsia="仿宋_GB2312"/>
          <w:bCs/>
          <w:sz w:val="32"/>
          <w:szCs w:val="32"/>
          <w:lang w:val="en-US" w:eastAsia="zh-CN"/>
        </w:rPr>
        <w:t>律所及团队成员</w:t>
      </w:r>
      <w:r>
        <w:rPr>
          <w:rFonts w:hint="default" w:eastAsia="仿宋_GB2312"/>
          <w:bCs/>
          <w:sz w:val="32"/>
          <w:szCs w:val="32"/>
          <w:lang w:val="en-US" w:eastAsia="zh-CN"/>
        </w:rPr>
        <w:t>无刑事犯罪记录，</w:t>
      </w:r>
      <w:r>
        <w:rPr>
          <w:rFonts w:hint="eastAsia" w:eastAsia="仿宋_GB2312"/>
          <w:bCs/>
          <w:sz w:val="32"/>
          <w:szCs w:val="32"/>
          <w:lang w:val="en-US" w:eastAsia="zh-CN"/>
        </w:rPr>
        <w:t>近</w:t>
      </w:r>
      <w:r>
        <w:rPr>
          <w:rFonts w:hint="default" w:eastAsia="仿宋_GB2312"/>
          <w:bCs/>
          <w:sz w:val="32"/>
          <w:szCs w:val="32"/>
          <w:lang w:val="en-US" w:eastAsia="zh-CN"/>
        </w:rPr>
        <w:t>3年内未受过纪律处分、行政处罚或行业处分</w:t>
      </w:r>
      <w:r>
        <w:rPr>
          <w:rFonts w:hint="eastAsia" w:eastAsia="仿宋_GB2312"/>
          <w:bCs/>
          <w:sz w:val="32"/>
          <w:szCs w:val="32"/>
          <w:lang w:val="en-US" w:eastAsia="zh-CN"/>
        </w:rPr>
        <w:t>。（提供承诺函）。</w:t>
      </w:r>
    </w:p>
    <w:p w14:paraId="43DEBE3E">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（三）律师事务所必须委派人数不低于3人的律师团队提供法律服务</w:t>
      </w:r>
      <w:r>
        <w:rPr>
          <w:rFonts w:hint="eastAsia" w:eastAsia="仿宋_GB2312"/>
          <w:bCs/>
          <w:sz w:val="32"/>
          <w:szCs w:val="32"/>
          <w:lang w:val="en-US" w:eastAsia="zh-CN"/>
        </w:rPr>
        <w:t>（提供本次服务团队成员情况表）</w:t>
      </w:r>
      <w:r>
        <w:rPr>
          <w:rFonts w:hint="default" w:eastAsia="仿宋_GB2312"/>
          <w:bCs/>
          <w:sz w:val="32"/>
          <w:szCs w:val="32"/>
          <w:lang w:val="en-US" w:eastAsia="zh-CN"/>
        </w:rPr>
        <w:t>。该团队及其成员应当具备以下条件：</w:t>
      </w:r>
    </w:p>
    <w:p w14:paraId="2A4B922F">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1.其中1名为律师团队负责人，必须是执业10年以上的执业律师，负责团队统筹、协调等工作</w:t>
      </w:r>
      <w:r>
        <w:rPr>
          <w:rFonts w:hint="eastAsia" w:eastAsia="仿宋_GB2312"/>
          <w:bCs/>
          <w:sz w:val="32"/>
          <w:szCs w:val="32"/>
          <w:lang w:val="en-US" w:eastAsia="zh-CN"/>
        </w:rPr>
        <w:t>（提供团队负责人执业证书）。</w:t>
      </w:r>
    </w:p>
    <w:p w14:paraId="64518B70">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2.遵守宪法和法律、法规，具备较高的政治素质和良好的职业道德操守</w:t>
      </w:r>
      <w:r>
        <w:rPr>
          <w:rFonts w:hint="eastAsia" w:eastAsia="仿宋_GB2312"/>
          <w:bCs/>
          <w:sz w:val="32"/>
          <w:szCs w:val="32"/>
          <w:lang w:val="en-US" w:eastAsia="zh-CN"/>
        </w:rPr>
        <w:t>（签署承诺函）。</w:t>
      </w:r>
    </w:p>
    <w:p w14:paraId="678ABAB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hint="default" w:eastAsia="仿宋_GB2312"/>
          <w:bCs/>
          <w:sz w:val="32"/>
          <w:szCs w:val="32"/>
          <w:lang w:val="en-US" w:eastAsia="zh-CN"/>
        </w:rPr>
        <w:t>（四）不接受联合体投标。</w:t>
      </w:r>
    </w:p>
    <w:p w14:paraId="01535706">
      <w:pPr>
        <w:spacing w:line="560" w:lineRule="exact"/>
        <w:ind w:firstLine="640" w:firstLineChars="200"/>
        <w:jc w:val="left"/>
        <w:rPr>
          <w:rFonts w:eastAsia="黑体"/>
          <w:sz w:val="32"/>
          <w:szCs w:val="32"/>
        </w:rPr>
      </w:pPr>
      <w:r>
        <w:rPr>
          <w:rFonts w:eastAsia="黑体"/>
          <w:sz w:val="32"/>
          <w:szCs w:val="32"/>
        </w:rPr>
        <w:t>三、服务期限</w:t>
      </w:r>
    </w:p>
    <w:p w14:paraId="753E32B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本次招标服务期限自合同签订后</w:t>
      </w:r>
      <w:r>
        <w:rPr>
          <w:rFonts w:hint="eastAsia" w:eastAsia="仿宋_GB2312"/>
          <w:bCs/>
          <w:sz w:val="32"/>
          <w:szCs w:val="32"/>
        </w:rPr>
        <w:t>比选人出具授权委托书之日起至比选人收到本案全部回款时止</w:t>
      </w:r>
      <w:r>
        <w:rPr>
          <w:rFonts w:eastAsia="仿宋_GB2312"/>
          <w:bCs/>
          <w:sz w:val="32"/>
          <w:szCs w:val="32"/>
        </w:rPr>
        <w:t>。</w:t>
      </w:r>
    </w:p>
    <w:p w14:paraId="6E2C2610">
      <w:pPr>
        <w:spacing w:line="560" w:lineRule="exact"/>
        <w:ind w:firstLine="640" w:firstLineChars="200"/>
        <w:jc w:val="left"/>
        <w:rPr>
          <w:rFonts w:eastAsia="黑体"/>
          <w:sz w:val="32"/>
          <w:szCs w:val="32"/>
        </w:rPr>
      </w:pPr>
      <w:r>
        <w:rPr>
          <w:rFonts w:eastAsia="黑体"/>
          <w:sz w:val="32"/>
          <w:szCs w:val="32"/>
        </w:rPr>
        <w:t>四、项目限价</w:t>
      </w:r>
    </w:p>
    <w:p w14:paraId="2EBD372A">
      <w:pPr>
        <w:widowControl/>
        <w:autoSpaceDE w:val="0"/>
        <w:autoSpaceDN w:val="0"/>
        <w:adjustRightInd w:val="0"/>
        <w:spacing w:line="540" w:lineRule="exact"/>
        <w:ind w:firstLine="640" w:firstLineChars="200"/>
        <w:contextualSpacing/>
        <w:outlineLvl w:val="0"/>
        <w:rPr>
          <w:rFonts w:hint="eastAsia" w:eastAsia="仿宋_GB2312"/>
          <w:bCs/>
          <w:sz w:val="32"/>
          <w:szCs w:val="32"/>
          <w:highlight w:val="none"/>
          <w:lang w:val="en-US" w:eastAsia="zh-CN"/>
        </w:rPr>
      </w:pPr>
      <w:r>
        <w:rPr>
          <w:rFonts w:hint="eastAsia" w:eastAsia="仿宋_GB2312"/>
          <w:bCs/>
          <w:sz w:val="32"/>
          <w:szCs w:val="32"/>
          <w:highlight w:val="none"/>
          <w:lang w:val="en-US" w:eastAsia="zh-CN"/>
        </w:rPr>
        <w:t>总费用不超过40万元。其中基础代理费不超过8万元，在代理合同签订后10日内支付不超过6万元，若以其他案由再次起诉并经法院受理后，另行支付2万元，未发生再次起诉的，该部分费用不予支付。前述两部分基础代理费均在对应支付条件达成后先行支付60%，待合同约定事项全部履行完毕后，再支付剩余40%；风险代理费不超过32万元，在选聘对象协助我公司取得本案胜诉生效法律文书后，按照不超过实际收到对方回款金额的0.86%向选聘对象支付。</w:t>
      </w:r>
    </w:p>
    <w:p w14:paraId="2BFA09C5">
      <w:pPr>
        <w:spacing w:line="560" w:lineRule="exact"/>
        <w:ind w:firstLine="640" w:firstLineChars="200"/>
        <w:jc w:val="left"/>
        <w:rPr>
          <w:rFonts w:eastAsia="黑体"/>
          <w:sz w:val="32"/>
          <w:szCs w:val="32"/>
        </w:rPr>
      </w:pPr>
      <w:r>
        <w:rPr>
          <w:rFonts w:eastAsia="黑体"/>
          <w:sz w:val="32"/>
          <w:szCs w:val="32"/>
        </w:rPr>
        <w:t>五、项目需求</w:t>
      </w:r>
    </w:p>
    <w:p w14:paraId="3255974B">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为维护比选人合法权益，现拟聘请相关服务经验且信誉良好的法律服务中介机构，代理比选人上述项目的</w:t>
      </w:r>
      <w:r>
        <w:rPr>
          <w:rFonts w:hint="eastAsia" w:eastAsia="仿宋_GB2312"/>
          <w:bCs/>
          <w:sz w:val="32"/>
          <w:szCs w:val="32"/>
        </w:rPr>
        <w:t>仲裁（如有）、</w:t>
      </w:r>
      <w:r>
        <w:rPr>
          <w:rFonts w:eastAsia="仿宋_GB2312"/>
          <w:bCs/>
          <w:sz w:val="32"/>
          <w:szCs w:val="32"/>
        </w:rPr>
        <w:t>诉讼一审、二审（如有）、反诉（如有）、再审（如有）、</w:t>
      </w:r>
      <w:r>
        <w:rPr>
          <w:rFonts w:hint="eastAsia" w:eastAsia="仿宋_GB2312"/>
          <w:bCs/>
          <w:sz w:val="32"/>
          <w:szCs w:val="32"/>
          <w:lang w:val="en-US" w:eastAsia="zh-CN"/>
        </w:rPr>
        <w:t>另行起诉（如有）、</w:t>
      </w:r>
      <w:r>
        <w:rPr>
          <w:rFonts w:eastAsia="仿宋_GB2312"/>
          <w:bCs/>
          <w:sz w:val="32"/>
          <w:szCs w:val="32"/>
        </w:rPr>
        <w:t>执行（如有）、破产（如有）、执行异议（如有）等本案所有司法程序，包括但不限于买卖合同法律纠纷，直至</w:t>
      </w:r>
      <w:r>
        <w:rPr>
          <w:rFonts w:hint="eastAsia" w:eastAsia="仿宋_GB2312"/>
          <w:bCs/>
          <w:sz w:val="32"/>
          <w:szCs w:val="32"/>
        </w:rPr>
        <w:t>比选人</w:t>
      </w:r>
      <w:r>
        <w:rPr>
          <w:rFonts w:eastAsia="仿宋_GB2312"/>
          <w:bCs/>
          <w:sz w:val="32"/>
          <w:szCs w:val="32"/>
        </w:rPr>
        <w:t>收到本案全部回款时止。具体服务内容包括但不限于以下内容：</w:t>
      </w:r>
    </w:p>
    <w:p w14:paraId="1899F216">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（一）向比选人解答与本案有关的法律问题，并应比选人要求出具明确书面意见；</w:t>
      </w:r>
    </w:p>
    <w:p w14:paraId="64E907A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（二）指导比选人向法院（仲裁）机构提交证据；</w:t>
      </w:r>
    </w:p>
    <w:p w14:paraId="5AD7DE25">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（三）根据比选人提供的证据线索调查收集证据；</w:t>
      </w:r>
    </w:p>
    <w:p w14:paraId="2672260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（四）根据比选人提供的财产线索调查对方当事人的财产状况；</w:t>
      </w:r>
    </w:p>
    <w:p w14:paraId="0429CCAA">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（五）代为办理诉讼或者仲裁立案手续；</w:t>
      </w:r>
    </w:p>
    <w:p w14:paraId="529D3B5F">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（六）代为签收应诉通知书或者答辩通知书；</w:t>
      </w:r>
    </w:p>
    <w:p w14:paraId="74FB8C6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（七）代为申请财产保全；</w:t>
      </w:r>
    </w:p>
    <w:p w14:paraId="7145D335">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（八）代为申请证据保全；</w:t>
      </w:r>
    </w:p>
    <w:p w14:paraId="1EC4944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（九）代为申请管辖异议、回避、诉讼（仲裁）中止和终结；</w:t>
      </w:r>
    </w:p>
    <w:p w14:paraId="7678997D">
      <w:pPr>
        <w:widowControl/>
        <w:autoSpaceDE w:val="0"/>
        <w:autoSpaceDN w:val="0"/>
        <w:adjustRightInd w:val="0"/>
        <w:spacing w:line="540" w:lineRule="exact"/>
        <w:ind w:firstLine="640" w:firstLineChars="200"/>
        <w:contextualSpacing/>
        <w:outlineLvl w:val="0"/>
        <w:rPr>
          <w:rFonts w:eastAsia="仿宋_GB2312"/>
          <w:bCs/>
          <w:sz w:val="24"/>
        </w:rPr>
      </w:pPr>
      <w:r>
        <w:rPr>
          <w:rFonts w:eastAsia="仿宋_GB2312"/>
          <w:bCs/>
          <w:sz w:val="32"/>
          <w:szCs w:val="32"/>
        </w:rPr>
        <w:t>（十）代为参加仲裁庭审、一审、二审（如有）、再审（如有）诉讼出庭</w:t>
      </w:r>
      <w:r>
        <w:rPr>
          <w:rFonts w:eastAsia="仿宋_GB2312"/>
          <w:bCs/>
          <w:sz w:val="24"/>
        </w:rPr>
        <w:t>；</w:t>
      </w:r>
    </w:p>
    <w:p w14:paraId="0BA557BC">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（十一）代为签收仲裁或者诉讼文书；</w:t>
      </w:r>
    </w:p>
    <w:p w14:paraId="61237C92">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（十二）代为起草上诉状或者上诉答辩状；</w:t>
      </w:r>
    </w:p>
    <w:p w14:paraId="296ECC8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（十三）根据法庭或者仲裁庭要求提交代理意见；</w:t>
      </w:r>
    </w:p>
    <w:p w14:paraId="1AA80DB7">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（十四）代为提起或处理反诉、执行程序、执行异议之诉（如有）、撤销仲裁裁决（如有）、不予执行仲裁裁决（如有）、破产程序（如有）</w:t>
      </w:r>
      <w:r>
        <w:rPr>
          <w:rFonts w:hint="eastAsia" w:eastAsia="仿宋_GB2312"/>
          <w:bCs/>
          <w:sz w:val="32"/>
          <w:szCs w:val="32"/>
          <w:lang w:eastAsia="zh-CN"/>
        </w:rPr>
        <w:t>、</w:t>
      </w:r>
      <w:r>
        <w:rPr>
          <w:rFonts w:hint="eastAsia" w:eastAsia="仿宋_GB2312"/>
          <w:bCs/>
          <w:sz w:val="32"/>
          <w:szCs w:val="32"/>
          <w:lang w:val="en-US" w:eastAsia="zh-CN"/>
        </w:rPr>
        <w:t>另行起诉（如有）</w:t>
      </w:r>
      <w:r>
        <w:rPr>
          <w:rFonts w:eastAsia="仿宋_GB2312"/>
          <w:bCs/>
          <w:sz w:val="32"/>
          <w:szCs w:val="32"/>
        </w:rPr>
        <w:t>等</w:t>
      </w:r>
      <w:r>
        <w:rPr>
          <w:rFonts w:hint="eastAsia" w:eastAsia="仿宋_GB2312"/>
          <w:bCs/>
          <w:sz w:val="32"/>
          <w:szCs w:val="32"/>
        </w:rPr>
        <w:t>本案及</w:t>
      </w:r>
      <w:r>
        <w:rPr>
          <w:rFonts w:eastAsia="仿宋_GB2312"/>
          <w:bCs/>
          <w:sz w:val="32"/>
          <w:szCs w:val="32"/>
        </w:rPr>
        <w:t>因本案而衍生的</w:t>
      </w:r>
      <w:r>
        <w:rPr>
          <w:rFonts w:hint="eastAsia" w:eastAsia="仿宋_GB2312"/>
          <w:bCs/>
          <w:sz w:val="32"/>
          <w:szCs w:val="32"/>
        </w:rPr>
        <w:t>案件的</w:t>
      </w:r>
      <w:r>
        <w:rPr>
          <w:rFonts w:eastAsia="仿宋_GB2312"/>
          <w:bCs/>
          <w:sz w:val="32"/>
          <w:szCs w:val="32"/>
        </w:rPr>
        <w:t>全部法律程序；</w:t>
      </w:r>
    </w:p>
    <w:p w14:paraId="3C22D656">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（十五）就案件财产保全查控的全部财产，在查封、扣押、冻结期限届满前合理期限内及时通知比选人采取续封措施；</w:t>
      </w:r>
    </w:p>
    <w:p w14:paraId="1F85653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（十六）其他需要由选聘对象完成的相关代理事项。</w:t>
      </w:r>
    </w:p>
    <w:p w14:paraId="5B884C10">
      <w:pPr>
        <w:widowControl/>
        <w:spacing w:line="560" w:lineRule="exact"/>
        <w:ind w:firstLine="640" w:firstLineChars="200"/>
        <w:jc w:val="left"/>
        <w:rPr>
          <w:rFonts w:eastAsia="黑体"/>
          <w:sz w:val="32"/>
          <w:szCs w:val="32"/>
        </w:rPr>
      </w:pPr>
      <w:r>
        <w:rPr>
          <w:rFonts w:eastAsia="黑体"/>
          <w:sz w:val="32"/>
          <w:szCs w:val="32"/>
        </w:rPr>
        <w:t>六、项目要求</w:t>
      </w:r>
    </w:p>
    <w:p w14:paraId="16DAE94B">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（一）比选申请人应指定专业律师团队成员作为上述案件报价事宜的委托代理人（同一个事务所的多家分支机构不可同时递交报价文件）</w:t>
      </w:r>
      <w:r>
        <w:rPr>
          <w:rFonts w:hint="eastAsia" w:eastAsia="仿宋_GB2312"/>
          <w:bCs/>
          <w:sz w:val="32"/>
          <w:szCs w:val="32"/>
        </w:rPr>
        <w:t>；</w:t>
      </w:r>
    </w:p>
    <w:p w14:paraId="67348FC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（二）比选申请人应当充分运用自己的专业知识和技能，尽心尽职地根据法律、法规的规定完成我公司约定的被委托事项，最大限度地维护我公司的合法权益；</w:t>
      </w:r>
    </w:p>
    <w:p w14:paraId="667D961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（三）比选申请人应当遵循诚实守信的原则，依据法律、法规的规定做出专业判断，客观地告知我公司所委托事项可能出现的法律风险；</w:t>
      </w:r>
    </w:p>
    <w:p w14:paraId="7AF402C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（四）比选申请人应当根据法律规定的时限、时效以及审理机关的要求，及时提交证据，按时出庭，及时办理受委托的事务；</w:t>
      </w:r>
    </w:p>
    <w:p w14:paraId="7E1AF03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（五）比选申请人应当及时告知我公司有关代理工作的情况，对我公司了解委托事项情况的正当要求，应当尽快给予答复；</w:t>
      </w:r>
    </w:p>
    <w:p w14:paraId="6A7D83A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（六）比选申请人在代理我公司案件期间，针对其他第三方机构向我公司出具的与我公司案件相关文书，比选申请人应结合案件情况从法律角度出具审查意见；</w:t>
      </w:r>
    </w:p>
    <w:p w14:paraId="6C30A79C">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（七）比选申请人在代理我公司案件期间，在涉及我公司的对抗性案件中，未经我公司事先书面同意，不得委派律师同时担任与我公司具有利益冲突的另一方的委托代理人；</w:t>
      </w:r>
    </w:p>
    <w:p w14:paraId="219AF4E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（八）比选申请人律师对其获知的我公司的商业秘密/或者我公司的个人隐私负有保密责任，非经法律规定或者我公司同意，不得向任何第三方披露；</w:t>
      </w:r>
    </w:p>
    <w:p w14:paraId="50B0E9C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（九）比选申请人对我公司业务应当单独建档，对涉及我公司的原始证据、法律文件和财物应当妥善保管，设立交接记录。档案保存时间根据律师业务档案管理规定执行；</w:t>
      </w:r>
    </w:p>
    <w:p w14:paraId="2E04435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（十）应我公司要求，参加或列席有关会议，出具关于代理案件的法律意见书</w:t>
      </w:r>
      <w:r>
        <w:rPr>
          <w:rFonts w:hint="eastAsia" w:eastAsia="仿宋_GB2312"/>
          <w:bCs/>
          <w:sz w:val="32"/>
          <w:szCs w:val="32"/>
        </w:rPr>
        <w:t>；</w:t>
      </w:r>
    </w:p>
    <w:p w14:paraId="749748B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一）如本案经再审或第三人撤销之诉等导致生效裁判文书被法院撤销或变更，或收回款项后发生执行回转或其他情形导致我公司退回全部或部分已收回款项的，我公司不支付该部分款项对应的风险代理费，比选申请人应当在收到我公司退款通知之日起5日内退还我公司已支付的该部分款项对应的风险代理费，双方另有约定的除外。</w:t>
      </w:r>
    </w:p>
    <w:p w14:paraId="6ACDDA4A">
      <w:pPr>
        <w:spacing w:line="560" w:lineRule="exact"/>
        <w:ind w:firstLine="640" w:firstLineChars="200"/>
        <w:jc w:val="left"/>
        <w:rPr>
          <w:rFonts w:eastAsia="黑体"/>
          <w:sz w:val="32"/>
          <w:szCs w:val="32"/>
        </w:rPr>
      </w:pPr>
      <w:r>
        <w:rPr>
          <w:rFonts w:eastAsia="黑体"/>
          <w:sz w:val="32"/>
          <w:szCs w:val="32"/>
        </w:rPr>
        <w:t>七、比选文件获取时间及方式</w:t>
      </w:r>
    </w:p>
    <w:p w14:paraId="763C3719">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（一）比选文件获取时间：自</w:t>
      </w:r>
      <w:r>
        <w:rPr>
          <w:rFonts w:hint="eastAsia" w:eastAsia="仿宋_GB2312"/>
          <w:bCs/>
          <w:sz w:val="32"/>
          <w:szCs w:val="32"/>
          <w:lang w:eastAsia="zh-CN"/>
        </w:rPr>
        <w:t>2026</w:t>
      </w:r>
      <w:r>
        <w:rPr>
          <w:rFonts w:eastAsia="仿宋_GB2312"/>
          <w:bCs/>
          <w:sz w:val="32"/>
          <w:szCs w:val="32"/>
        </w:rPr>
        <w:t>年</w:t>
      </w:r>
      <w:r>
        <w:rPr>
          <w:rFonts w:hint="eastAsia" w:eastAsia="仿宋_GB2312"/>
          <w:bCs/>
          <w:sz w:val="32"/>
          <w:szCs w:val="32"/>
          <w:lang w:val="en-US" w:eastAsia="zh-CN"/>
        </w:rPr>
        <w:t>4</w:t>
      </w:r>
      <w:r>
        <w:rPr>
          <w:rFonts w:eastAsia="仿宋_GB2312"/>
          <w:bCs/>
          <w:sz w:val="32"/>
          <w:szCs w:val="32"/>
        </w:rPr>
        <w:t>月</w:t>
      </w:r>
      <w:r>
        <w:rPr>
          <w:rFonts w:hint="eastAsia" w:eastAsia="仿宋_GB2312"/>
          <w:bCs/>
          <w:sz w:val="32"/>
          <w:szCs w:val="32"/>
          <w:lang w:val="en-US" w:eastAsia="zh-CN"/>
        </w:rPr>
        <w:t>29</w:t>
      </w:r>
      <w:r>
        <w:rPr>
          <w:rFonts w:eastAsia="仿宋_GB2312"/>
          <w:bCs/>
          <w:sz w:val="32"/>
          <w:szCs w:val="32"/>
        </w:rPr>
        <w:t>日至</w:t>
      </w:r>
      <w:r>
        <w:rPr>
          <w:rFonts w:hint="eastAsia" w:eastAsia="仿宋_GB2312"/>
          <w:bCs/>
          <w:sz w:val="32"/>
          <w:szCs w:val="32"/>
          <w:lang w:eastAsia="zh-CN"/>
        </w:rPr>
        <w:t>2026</w:t>
      </w:r>
      <w:r>
        <w:rPr>
          <w:rFonts w:eastAsia="仿宋_GB2312"/>
          <w:bCs/>
          <w:sz w:val="32"/>
          <w:szCs w:val="32"/>
        </w:rPr>
        <w:t>年</w:t>
      </w:r>
      <w:r>
        <w:rPr>
          <w:rFonts w:hint="eastAsia" w:eastAsia="仿宋_GB2312"/>
          <w:bCs/>
          <w:sz w:val="32"/>
          <w:szCs w:val="32"/>
          <w:lang w:val="en-US" w:eastAsia="zh-CN"/>
        </w:rPr>
        <w:t>5</w:t>
      </w:r>
      <w:r>
        <w:rPr>
          <w:rFonts w:eastAsia="仿宋_GB2312"/>
          <w:bCs/>
          <w:sz w:val="32"/>
          <w:szCs w:val="32"/>
        </w:rPr>
        <w:t>月</w:t>
      </w:r>
      <w:r>
        <w:rPr>
          <w:rFonts w:hint="eastAsia" w:eastAsia="仿宋_GB2312"/>
          <w:bCs/>
          <w:sz w:val="32"/>
          <w:szCs w:val="32"/>
          <w:lang w:val="en-US" w:eastAsia="zh-CN"/>
        </w:rPr>
        <w:t>9</w:t>
      </w:r>
      <w:r>
        <w:rPr>
          <w:rFonts w:eastAsia="仿宋_GB2312"/>
          <w:bCs/>
          <w:sz w:val="32"/>
          <w:szCs w:val="32"/>
        </w:rPr>
        <w:t>日</w:t>
      </w:r>
      <w:r>
        <w:rPr>
          <w:rFonts w:hint="eastAsia" w:eastAsia="仿宋_GB2312"/>
          <w:bCs/>
          <w:sz w:val="32"/>
          <w:szCs w:val="32"/>
          <w:lang w:val="en-US" w:eastAsia="zh-CN"/>
        </w:rPr>
        <w:t>10</w:t>
      </w:r>
      <w:r>
        <w:rPr>
          <w:rFonts w:eastAsia="仿宋_GB2312"/>
          <w:bCs/>
          <w:sz w:val="32"/>
          <w:szCs w:val="32"/>
        </w:rPr>
        <w:t>:00前。</w:t>
      </w:r>
    </w:p>
    <w:p w14:paraId="7F1AC1C6">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（二）比选文件获取方式：本次比选公告在四川蜀道物流集团有限公司网站（https://www.shudaowl.com/xwzx/jtyw/index.shtml）发布。比选申请人通过指定网站自行下载。</w:t>
      </w:r>
    </w:p>
    <w:p w14:paraId="4088C756">
      <w:pPr>
        <w:spacing w:line="560" w:lineRule="exact"/>
        <w:ind w:firstLine="640" w:firstLineChars="200"/>
        <w:jc w:val="left"/>
        <w:rPr>
          <w:rFonts w:eastAsia="黑体"/>
          <w:sz w:val="32"/>
          <w:szCs w:val="32"/>
        </w:rPr>
      </w:pPr>
      <w:r>
        <w:rPr>
          <w:rFonts w:eastAsia="黑体"/>
          <w:sz w:val="32"/>
          <w:szCs w:val="32"/>
        </w:rPr>
        <w:t>八、比选申请书递交</w:t>
      </w:r>
    </w:p>
    <w:p w14:paraId="5A53F23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w:t>
      </w:r>
      <w:r>
        <w:rPr>
          <w:rFonts w:hint="eastAsia" w:eastAsia="仿宋_GB2312"/>
          <w:bCs/>
          <w:sz w:val="32"/>
          <w:szCs w:val="32"/>
          <w:lang w:eastAsia="zh-CN"/>
        </w:rPr>
        <w:t>）</w:t>
      </w:r>
      <w:r>
        <w:rPr>
          <w:rFonts w:eastAsia="仿宋_GB2312"/>
          <w:bCs/>
          <w:sz w:val="32"/>
          <w:szCs w:val="32"/>
        </w:rPr>
        <w:t>递交时间：</w:t>
      </w:r>
      <w:r>
        <w:rPr>
          <w:rFonts w:hint="eastAsia" w:eastAsia="仿宋_GB2312"/>
          <w:bCs/>
          <w:sz w:val="32"/>
          <w:szCs w:val="32"/>
          <w:lang w:eastAsia="zh-CN"/>
        </w:rPr>
        <w:t>2026</w:t>
      </w:r>
      <w:r>
        <w:rPr>
          <w:rFonts w:eastAsia="仿宋_GB2312"/>
          <w:bCs/>
          <w:sz w:val="32"/>
          <w:szCs w:val="32"/>
        </w:rPr>
        <w:t>年</w:t>
      </w:r>
      <w:r>
        <w:rPr>
          <w:rFonts w:hint="eastAsia" w:eastAsia="仿宋_GB2312"/>
          <w:bCs/>
          <w:sz w:val="32"/>
          <w:szCs w:val="32"/>
          <w:lang w:val="en-US" w:eastAsia="zh-CN"/>
        </w:rPr>
        <w:t>5</w:t>
      </w:r>
      <w:r>
        <w:rPr>
          <w:rFonts w:eastAsia="仿宋_GB2312"/>
          <w:bCs/>
          <w:sz w:val="32"/>
          <w:szCs w:val="32"/>
        </w:rPr>
        <w:t>月</w:t>
      </w:r>
      <w:r>
        <w:rPr>
          <w:rFonts w:hint="eastAsia" w:eastAsia="仿宋_GB2312"/>
          <w:bCs/>
          <w:sz w:val="32"/>
          <w:szCs w:val="32"/>
          <w:lang w:val="en-US" w:eastAsia="zh-CN"/>
        </w:rPr>
        <w:t>9</w:t>
      </w:r>
      <w:r>
        <w:rPr>
          <w:rFonts w:eastAsia="仿宋_GB2312"/>
          <w:bCs/>
          <w:sz w:val="32"/>
          <w:szCs w:val="32"/>
        </w:rPr>
        <w:t>日</w:t>
      </w:r>
      <w:r>
        <w:rPr>
          <w:rFonts w:hint="eastAsia" w:eastAsia="仿宋_GB2312"/>
          <w:bCs/>
          <w:sz w:val="32"/>
          <w:szCs w:val="32"/>
          <w:lang w:val="en-US" w:eastAsia="zh-CN"/>
        </w:rPr>
        <w:t>10</w:t>
      </w:r>
      <w:r>
        <w:rPr>
          <w:rFonts w:hint="eastAsia" w:eastAsia="仿宋_GB2312"/>
          <w:bCs/>
          <w:sz w:val="32"/>
          <w:szCs w:val="32"/>
        </w:rPr>
        <w:t>:00</w:t>
      </w:r>
      <w:r>
        <w:rPr>
          <w:rFonts w:eastAsia="仿宋_GB2312"/>
          <w:bCs/>
          <w:sz w:val="32"/>
          <w:szCs w:val="32"/>
        </w:rPr>
        <w:t>（北京时间）。</w:t>
      </w:r>
    </w:p>
    <w:p w14:paraId="6F6EF1A1">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eastAsia" w:eastAsia="仿宋_GB2312"/>
          <w:bCs/>
          <w:sz w:val="32"/>
          <w:szCs w:val="32"/>
          <w:lang w:val="en-US" w:eastAsia="zh-CN"/>
        </w:rPr>
        <w:t>（二）递交方式：现场递交。</w:t>
      </w:r>
    </w:p>
    <w:p w14:paraId="38B1E441">
      <w:pPr>
        <w:widowControl/>
        <w:autoSpaceDE w:val="0"/>
        <w:autoSpaceDN w:val="0"/>
        <w:adjustRightInd w:val="0"/>
        <w:spacing w:line="540" w:lineRule="exact"/>
        <w:ind w:firstLine="640" w:firstLineChars="200"/>
        <w:contextualSpacing/>
        <w:outlineLvl w:val="0"/>
        <w:rPr>
          <w:rFonts w:hint="default" w:eastAsia="仿宋_GB2312"/>
          <w:bCs/>
          <w:sz w:val="32"/>
          <w:szCs w:val="32"/>
        </w:rPr>
      </w:pPr>
      <w:r>
        <w:rPr>
          <w:rFonts w:hint="default" w:eastAsia="仿宋_GB2312"/>
          <w:bCs/>
          <w:sz w:val="32"/>
          <w:szCs w:val="32"/>
          <w:lang w:eastAsia="zh-CN"/>
        </w:rPr>
        <w:t>（</w:t>
      </w:r>
      <w:r>
        <w:rPr>
          <w:rFonts w:hint="eastAsia" w:eastAsia="仿宋_GB2312"/>
          <w:bCs/>
          <w:sz w:val="32"/>
          <w:szCs w:val="32"/>
          <w:lang w:val="en-US" w:eastAsia="zh-CN"/>
        </w:rPr>
        <w:t>三</w:t>
      </w:r>
      <w:r>
        <w:rPr>
          <w:rFonts w:hint="default" w:eastAsia="仿宋_GB2312"/>
          <w:bCs/>
          <w:sz w:val="32"/>
          <w:szCs w:val="32"/>
          <w:lang w:eastAsia="zh-CN"/>
        </w:rPr>
        <w:t>）</w:t>
      </w:r>
      <w:r>
        <w:rPr>
          <w:rFonts w:hint="default" w:eastAsia="仿宋_GB2312"/>
          <w:bCs/>
          <w:sz w:val="32"/>
          <w:szCs w:val="32"/>
        </w:rPr>
        <w:t>递交地点：四川省成都市青羊区光华北五路266号青羊总部经济基地2号楼A座</w:t>
      </w:r>
      <w:r>
        <w:rPr>
          <w:rFonts w:hint="default" w:eastAsia="仿宋_GB2312"/>
          <w:bCs/>
          <w:sz w:val="32"/>
          <w:szCs w:val="32"/>
          <w:lang w:val="en-US" w:eastAsia="zh-CN"/>
        </w:rPr>
        <w:t>13</w:t>
      </w:r>
      <w:r>
        <w:rPr>
          <w:rFonts w:hint="default" w:eastAsia="仿宋_GB2312"/>
          <w:bCs/>
          <w:sz w:val="32"/>
          <w:szCs w:val="32"/>
        </w:rPr>
        <w:t>楼。</w:t>
      </w:r>
    </w:p>
    <w:p w14:paraId="685A6A1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hint="default" w:eastAsia="仿宋_GB2312"/>
          <w:bCs/>
          <w:sz w:val="32"/>
          <w:szCs w:val="32"/>
          <w:lang w:eastAsia="zh-CN"/>
        </w:rPr>
        <w:t>（</w:t>
      </w:r>
      <w:r>
        <w:rPr>
          <w:rFonts w:hint="eastAsia" w:eastAsia="仿宋_GB2312"/>
          <w:bCs/>
          <w:sz w:val="32"/>
          <w:szCs w:val="32"/>
          <w:lang w:val="en-US" w:eastAsia="zh-CN"/>
        </w:rPr>
        <w:t>四</w:t>
      </w:r>
      <w:r>
        <w:rPr>
          <w:rFonts w:hint="default" w:eastAsia="仿宋_GB2312"/>
          <w:bCs/>
          <w:sz w:val="32"/>
          <w:szCs w:val="32"/>
          <w:lang w:eastAsia="zh-CN"/>
        </w:rPr>
        <w:t>）</w:t>
      </w:r>
      <w:r>
        <w:rPr>
          <w:rFonts w:hint="default" w:eastAsia="仿宋_GB2312"/>
          <w:bCs/>
          <w:sz w:val="32"/>
          <w:szCs w:val="32"/>
        </w:rPr>
        <w:t>逾期</w:t>
      </w:r>
      <w:r>
        <w:rPr>
          <w:rFonts w:hint="eastAsia" w:eastAsia="仿宋_GB2312"/>
          <w:bCs/>
          <w:sz w:val="32"/>
          <w:szCs w:val="32"/>
          <w:lang w:val="en-US" w:eastAsia="zh-CN"/>
        </w:rPr>
        <w:t>递交</w:t>
      </w:r>
      <w:r>
        <w:rPr>
          <w:rFonts w:hint="default" w:eastAsia="仿宋_GB2312"/>
          <w:bCs/>
          <w:sz w:val="32"/>
          <w:szCs w:val="32"/>
        </w:rPr>
        <w:t>或者未</w:t>
      </w:r>
      <w:r>
        <w:rPr>
          <w:rFonts w:hint="eastAsia" w:eastAsia="仿宋_GB2312"/>
          <w:bCs/>
          <w:sz w:val="32"/>
          <w:szCs w:val="32"/>
          <w:lang w:val="en-US" w:eastAsia="zh-CN"/>
        </w:rPr>
        <w:t>递交至</w:t>
      </w:r>
      <w:r>
        <w:rPr>
          <w:rFonts w:hint="default" w:eastAsia="仿宋_GB2312"/>
          <w:bCs/>
          <w:sz w:val="32"/>
          <w:szCs w:val="32"/>
        </w:rPr>
        <w:t>指定地点的比选申请书，比选人将不予接收。</w:t>
      </w:r>
    </w:p>
    <w:p w14:paraId="226550CE">
      <w:pPr>
        <w:spacing w:line="560" w:lineRule="exact"/>
        <w:ind w:firstLine="640" w:firstLineChars="200"/>
        <w:jc w:val="left"/>
        <w:rPr>
          <w:rFonts w:eastAsia="黑体"/>
          <w:sz w:val="32"/>
          <w:szCs w:val="32"/>
        </w:rPr>
      </w:pPr>
      <w:r>
        <w:rPr>
          <w:rFonts w:eastAsia="黑体"/>
          <w:sz w:val="32"/>
          <w:szCs w:val="32"/>
        </w:rPr>
        <w:t>九、比选结果公示</w:t>
      </w:r>
    </w:p>
    <w:p w14:paraId="23D9B319">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比选人在收到评审报告之日起3日内，将比选结果在四川蜀道物流集团有限公司网站（https://www.shudaowl.com/xwzx/jtyw/index.shtml）上公示3日，以接受社会公开监督。比选申请人或者其他利害关系人对评审结果有异议的，应当在公示期间提出。</w:t>
      </w:r>
    </w:p>
    <w:p w14:paraId="71B88BC3">
      <w:pPr>
        <w:spacing w:line="560" w:lineRule="exact"/>
        <w:ind w:firstLine="640" w:firstLineChars="200"/>
        <w:jc w:val="left"/>
        <w:rPr>
          <w:rFonts w:eastAsia="黑体"/>
          <w:sz w:val="32"/>
          <w:szCs w:val="32"/>
        </w:rPr>
      </w:pPr>
      <w:r>
        <w:rPr>
          <w:rFonts w:eastAsia="黑体"/>
          <w:sz w:val="32"/>
          <w:szCs w:val="32"/>
        </w:rPr>
        <w:t>十、联系方式</w:t>
      </w:r>
    </w:p>
    <w:p w14:paraId="4FD6B532">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比选人：四川蜀物广润物流有限公司</w:t>
      </w:r>
    </w:p>
    <w:p w14:paraId="7AF214A7">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地址：四川省成都市青羊区光华北五路266号青羊总部经济基地2号楼A座13楼</w:t>
      </w:r>
    </w:p>
    <w:p w14:paraId="340F548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联系人：</w:t>
      </w:r>
      <w:r>
        <w:rPr>
          <w:rFonts w:hint="eastAsia" w:eastAsia="仿宋_GB2312"/>
          <w:bCs/>
          <w:sz w:val="32"/>
          <w:szCs w:val="32"/>
          <w:lang w:eastAsia="zh-CN"/>
        </w:rPr>
        <w:t>陈</w:t>
      </w:r>
      <w:r>
        <w:rPr>
          <w:rFonts w:eastAsia="仿宋_GB2312"/>
          <w:bCs/>
          <w:sz w:val="32"/>
          <w:szCs w:val="32"/>
        </w:rPr>
        <w:t>老师</w:t>
      </w:r>
    </w:p>
    <w:p w14:paraId="4B2AEE00">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eastAsia="仿宋_GB2312"/>
          <w:bCs/>
          <w:sz w:val="32"/>
          <w:szCs w:val="32"/>
        </w:rPr>
        <w:t>联系电话：1</w:t>
      </w:r>
      <w:r>
        <w:rPr>
          <w:rFonts w:hint="eastAsia" w:eastAsia="仿宋_GB2312"/>
          <w:bCs/>
          <w:sz w:val="32"/>
          <w:szCs w:val="32"/>
          <w:lang w:val="en-US" w:eastAsia="zh-CN"/>
        </w:rPr>
        <w:t>3550363077</w:t>
      </w:r>
    </w:p>
    <w:p w14:paraId="48F954DC">
      <w:pPr>
        <w:numPr>
          <w:ilvl w:val="255"/>
          <w:numId w:val="0"/>
        </w:numPr>
        <w:spacing w:line="560" w:lineRule="exact"/>
        <w:ind w:firstLine="640" w:firstLineChars="200"/>
        <w:jc w:val="left"/>
        <w:rPr>
          <w:rFonts w:eastAsia="黑体"/>
          <w:sz w:val="32"/>
          <w:szCs w:val="32"/>
        </w:rPr>
      </w:pPr>
      <w:r>
        <w:rPr>
          <w:rFonts w:eastAsia="黑体"/>
          <w:sz w:val="32"/>
          <w:szCs w:val="32"/>
        </w:rPr>
        <w:t>十一、所属附件</w:t>
      </w:r>
    </w:p>
    <w:p w14:paraId="2039541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附件：四川蜀物广润物流有限公司选聘</w:t>
      </w:r>
      <w:r>
        <w:rPr>
          <w:rFonts w:hint="eastAsia" w:eastAsia="仿宋_GB2312"/>
          <w:bCs/>
          <w:sz w:val="32"/>
          <w:szCs w:val="32"/>
        </w:rPr>
        <w:t>某项目</w:t>
      </w:r>
      <w:r>
        <w:rPr>
          <w:rFonts w:eastAsia="仿宋_GB2312"/>
          <w:bCs/>
          <w:sz w:val="32"/>
          <w:szCs w:val="32"/>
        </w:rPr>
        <w:t>专项法律服务中介机构比选文件</w:t>
      </w:r>
    </w:p>
    <w:p w14:paraId="525CAE5B">
      <w:pPr>
        <w:widowControl/>
        <w:autoSpaceDE w:val="0"/>
        <w:autoSpaceDN w:val="0"/>
        <w:adjustRightInd w:val="0"/>
        <w:spacing w:line="540" w:lineRule="exact"/>
        <w:ind w:firstLine="640" w:firstLineChars="200"/>
        <w:contextualSpacing/>
        <w:outlineLvl w:val="0"/>
        <w:rPr>
          <w:rFonts w:eastAsia="仿宋_GB2312"/>
          <w:bCs/>
          <w:sz w:val="32"/>
          <w:szCs w:val="32"/>
        </w:rPr>
      </w:pPr>
    </w:p>
    <w:p w14:paraId="4899C062">
      <w:pPr>
        <w:pStyle w:val="4"/>
        <w:ind w:firstLine="480"/>
        <w:rPr>
          <w:rFonts w:ascii="Times New Roman" w:hAnsi="Times New Roman" w:cs="Times New Roman"/>
          <w:sz w:val="24"/>
          <w:szCs w:val="24"/>
          <w:lang w:val="en-US"/>
        </w:rPr>
      </w:pPr>
    </w:p>
    <w:p w14:paraId="4D765BF3">
      <w:pPr>
        <w:widowControl/>
        <w:autoSpaceDE w:val="0"/>
        <w:autoSpaceDN w:val="0"/>
        <w:adjustRightInd w:val="0"/>
        <w:spacing w:line="540" w:lineRule="exact"/>
        <w:ind w:firstLine="640" w:firstLineChars="200"/>
        <w:contextualSpacing/>
        <w:jc w:val="right"/>
        <w:outlineLvl w:val="0"/>
        <w:rPr>
          <w:rFonts w:eastAsia="仿宋_GB2312"/>
          <w:bCs/>
          <w:sz w:val="32"/>
          <w:szCs w:val="32"/>
        </w:rPr>
      </w:pPr>
      <w:r>
        <w:rPr>
          <w:rFonts w:eastAsia="仿宋_GB2312"/>
          <w:bCs/>
          <w:sz w:val="32"/>
          <w:szCs w:val="32"/>
        </w:rPr>
        <w:t>比选人：四川蜀物广润物流有限公司</w:t>
      </w:r>
    </w:p>
    <w:p w14:paraId="622BCE97">
      <w:pPr>
        <w:widowControl/>
        <w:autoSpaceDE w:val="0"/>
        <w:autoSpaceDN w:val="0"/>
        <w:adjustRightInd w:val="0"/>
        <w:spacing w:line="540" w:lineRule="exact"/>
        <w:ind w:firstLine="640" w:firstLineChars="200"/>
        <w:contextualSpacing/>
        <w:jc w:val="center"/>
        <w:outlineLvl w:val="0"/>
        <w:rPr>
          <w:rFonts w:eastAsia="仿宋_GB2312"/>
          <w:bCs/>
          <w:sz w:val="32"/>
          <w:szCs w:val="32"/>
        </w:rPr>
      </w:pPr>
      <w:r>
        <w:rPr>
          <w:rFonts w:eastAsia="仿宋_GB2312"/>
          <w:bCs/>
          <w:sz w:val="32"/>
          <w:szCs w:val="32"/>
        </w:rPr>
        <w:t xml:space="preserve">                </w:t>
      </w:r>
      <w:r>
        <w:rPr>
          <w:rFonts w:hint="eastAsia" w:eastAsia="仿宋_GB2312"/>
          <w:bCs/>
          <w:sz w:val="32"/>
          <w:szCs w:val="32"/>
          <w:lang w:val="en-US" w:eastAsia="zh-CN"/>
        </w:rPr>
        <w:t xml:space="preserve">          </w:t>
      </w:r>
      <w:r>
        <w:rPr>
          <w:rFonts w:eastAsia="仿宋_GB2312"/>
          <w:bCs/>
          <w:sz w:val="32"/>
          <w:szCs w:val="32"/>
        </w:rPr>
        <w:t xml:space="preserve"> </w:t>
      </w:r>
      <w:r>
        <w:rPr>
          <w:rFonts w:hint="eastAsia" w:eastAsia="仿宋_GB2312"/>
          <w:bCs/>
          <w:sz w:val="32"/>
          <w:szCs w:val="32"/>
          <w:lang w:eastAsia="zh-CN"/>
        </w:rPr>
        <w:t>2026</w:t>
      </w:r>
      <w:r>
        <w:rPr>
          <w:rFonts w:hint="eastAsia" w:eastAsia="仿宋_GB2312"/>
          <w:bCs/>
          <w:sz w:val="32"/>
          <w:szCs w:val="32"/>
        </w:rPr>
        <w:t>年</w:t>
      </w:r>
      <w:r>
        <w:rPr>
          <w:rFonts w:hint="eastAsia" w:eastAsia="仿宋_GB2312"/>
          <w:bCs/>
          <w:sz w:val="32"/>
          <w:szCs w:val="32"/>
          <w:lang w:val="en-US" w:eastAsia="zh-CN"/>
        </w:rPr>
        <w:t>4</w:t>
      </w:r>
      <w:r>
        <w:rPr>
          <w:rFonts w:hint="eastAsia" w:eastAsia="仿宋_GB2312"/>
          <w:bCs/>
          <w:sz w:val="32"/>
          <w:szCs w:val="32"/>
        </w:rPr>
        <w:t>月</w:t>
      </w:r>
      <w:r>
        <w:rPr>
          <w:rFonts w:hint="eastAsia" w:eastAsia="仿宋_GB2312"/>
          <w:bCs/>
          <w:sz w:val="32"/>
          <w:szCs w:val="32"/>
          <w:lang w:val="en-US" w:eastAsia="zh-CN"/>
        </w:rPr>
        <w:t>29</w:t>
      </w:r>
      <w:r>
        <w:rPr>
          <w:rFonts w:hint="eastAsia" w:eastAsia="仿宋_GB2312"/>
          <w:bCs/>
          <w:sz w:val="32"/>
          <w:szCs w:val="32"/>
        </w:rPr>
        <w:t>日</w:t>
      </w:r>
    </w:p>
    <w:p w14:paraId="45A154E4">
      <w:pPr>
        <w:autoSpaceDE w:val="0"/>
        <w:autoSpaceDN w:val="0"/>
        <w:adjustRightInd w:val="0"/>
        <w:spacing w:line="540" w:lineRule="exact"/>
        <w:ind w:firstLine="640" w:firstLineChars="200"/>
        <w:contextualSpacing/>
        <w:jc w:val="right"/>
        <w:outlineLvl w:val="0"/>
        <w:rPr>
          <w:rFonts w:eastAsia="仿宋_GB2312"/>
          <w:bCs/>
          <w:sz w:val="32"/>
          <w:szCs w:val="32"/>
        </w:rPr>
      </w:pPr>
      <w:r>
        <w:rPr>
          <w:rFonts w:eastAsia="仿宋_GB2312"/>
          <w:bCs/>
          <w:sz w:val="32"/>
          <w:szCs w:val="32"/>
        </w:rPr>
        <w:br w:type="page"/>
      </w:r>
    </w:p>
    <w:p w14:paraId="59428718">
      <w:pPr>
        <w:pStyle w:val="2"/>
        <w:jc w:val="center"/>
        <w:rPr>
          <w:rFonts w:ascii="Times New Roman" w:hAnsi="Times New Roman" w:cs="Times New Roman"/>
        </w:rPr>
      </w:pPr>
      <w:r>
        <w:rPr>
          <w:rFonts w:ascii="Times New Roman" w:hAnsi="Times New Roman" w:cs="Times New Roman"/>
        </w:rPr>
        <w:t xml:space="preserve">第二章  </w:t>
      </w:r>
      <w:r>
        <w:rPr>
          <w:rFonts w:ascii="Times New Roman" w:hAnsi="Times New Roman" w:cs="Times New Roman"/>
          <w:lang w:val="en-US"/>
        </w:rPr>
        <w:t>比选申请人</w:t>
      </w:r>
      <w:r>
        <w:rPr>
          <w:rFonts w:ascii="Times New Roman" w:hAnsi="Times New Roman" w:cs="Times New Roman"/>
        </w:rPr>
        <w:t>须知</w:t>
      </w:r>
    </w:p>
    <w:tbl>
      <w:tblPr>
        <w:tblStyle w:val="7"/>
        <w:tblpPr w:leftFromText="180" w:rightFromText="180" w:vertAnchor="text" w:horzAnchor="page" w:tblpX="1746" w:tblpY="309"/>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236"/>
        <w:gridCol w:w="5947"/>
      </w:tblGrid>
      <w:tr w14:paraId="2C51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77" w:type="dxa"/>
            <w:tcBorders>
              <w:top w:val="single" w:color="auto" w:sz="4" w:space="0"/>
              <w:left w:val="single" w:color="auto" w:sz="4" w:space="0"/>
              <w:bottom w:val="single" w:color="auto" w:sz="4" w:space="0"/>
              <w:right w:val="single" w:color="auto" w:sz="4" w:space="0"/>
            </w:tcBorders>
            <w:vAlign w:val="center"/>
          </w:tcPr>
          <w:p w14:paraId="68457C82">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sz w:val="24"/>
              </w:rPr>
              <w:t>序号</w:t>
            </w:r>
          </w:p>
        </w:tc>
        <w:tc>
          <w:tcPr>
            <w:tcW w:w="2236" w:type="dxa"/>
            <w:tcBorders>
              <w:top w:val="single" w:color="auto" w:sz="4" w:space="0"/>
              <w:left w:val="single" w:color="auto" w:sz="4" w:space="0"/>
              <w:bottom w:val="single" w:color="auto" w:sz="4" w:space="0"/>
              <w:right w:val="single" w:color="auto" w:sz="4" w:space="0"/>
            </w:tcBorders>
            <w:vAlign w:val="center"/>
          </w:tcPr>
          <w:p w14:paraId="4CC66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内容</w:t>
            </w:r>
          </w:p>
        </w:tc>
        <w:tc>
          <w:tcPr>
            <w:tcW w:w="5947" w:type="dxa"/>
            <w:tcBorders>
              <w:top w:val="single" w:color="auto" w:sz="4" w:space="0"/>
              <w:left w:val="single" w:color="auto" w:sz="4" w:space="0"/>
              <w:bottom w:val="single" w:color="auto" w:sz="4" w:space="0"/>
              <w:right w:val="single" w:color="auto" w:sz="4" w:space="0"/>
            </w:tcBorders>
            <w:vAlign w:val="center"/>
          </w:tcPr>
          <w:p w14:paraId="72EDE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说明和要求</w:t>
            </w:r>
          </w:p>
        </w:tc>
      </w:tr>
      <w:tr w14:paraId="2E98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77" w:type="dxa"/>
            <w:tcBorders>
              <w:top w:val="single" w:color="auto" w:sz="4" w:space="0"/>
              <w:left w:val="single" w:color="auto" w:sz="4" w:space="0"/>
              <w:bottom w:val="single" w:color="auto" w:sz="4" w:space="0"/>
              <w:right w:val="single" w:color="auto" w:sz="4" w:space="0"/>
            </w:tcBorders>
            <w:vAlign w:val="center"/>
          </w:tcPr>
          <w:p w14:paraId="3B289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w:t>
            </w:r>
          </w:p>
        </w:tc>
        <w:tc>
          <w:tcPr>
            <w:tcW w:w="2236" w:type="dxa"/>
            <w:tcBorders>
              <w:top w:val="single" w:color="auto" w:sz="4" w:space="0"/>
              <w:left w:val="single" w:color="auto" w:sz="4" w:space="0"/>
              <w:bottom w:val="single" w:color="auto" w:sz="4" w:space="0"/>
              <w:right w:val="single" w:color="auto" w:sz="4" w:space="0"/>
            </w:tcBorders>
            <w:vAlign w:val="center"/>
          </w:tcPr>
          <w:p w14:paraId="1E864D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比选人</w:t>
            </w:r>
          </w:p>
        </w:tc>
        <w:tc>
          <w:tcPr>
            <w:tcW w:w="5947" w:type="dxa"/>
            <w:tcBorders>
              <w:top w:val="single" w:color="auto" w:sz="4" w:space="0"/>
              <w:left w:val="single" w:color="auto" w:sz="4" w:space="0"/>
              <w:bottom w:val="single" w:color="auto" w:sz="4" w:space="0"/>
              <w:right w:val="single" w:color="auto" w:sz="4" w:space="0"/>
            </w:tcBorders>
            <w:vAlign w:val="center"/>
          </w:tcPr>
          <w:p w14:paraId="2155CCD5">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比选人：四川蜀物广润物流有限公司</w:t>
            </w:r>
          </w:p>
          <w:p w14:paraId="739FC69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地址：四川省成都市青羊区光华北五路266号青羊总部经济基地2号楼A座13楼</w:t>
            </w:r>
          </w:p>
          <w:p w14:paraId="539380E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sz w:val="24"/>
                <w:szCs w:val="24"/>
                <w:lang w:val="en-US" w:bidi="ar-SA"/>
              </w:rPr>
            </w:pPr>
            <w:r>
              <w:rPr>
                <w:rFonts w:ascii="Times New Roman" w:hAnsi="Times New Roman" w:cs="Times New Roman"/>
                <w:sz w:val="24"/>
                <w:szCs w:val="24"/>
                <w:lang w:val="en-US" w:bidi="ar-SA"/>
              </w:rPr>
              <w:t>联系人：</w:t>
            </w:r>
            <w:r>
              <w:rPr>
                <w:rFonts w:hint="eastAsia" w:ascii="Times New Roman" w:hAnsi="Times New Roman" w:cs="Times New Roman"/>
                <w:sz w:val="24"/>
                <w:szCs w:val="24"/>
                <w:lang w:val="en-US" w:eastAsia="zh-CN" w:bidi="ar-SA"/>
              </w:rPr>
              <w:t>陈</w:t>
            </w:r>
            <w:r>
              <w:rPr>
                <w:rFonts w:hint="eastAsia" w:ascii="Times New Roman" w:hAnsi="Times New Roman" w:cs="Times New Roman"/>
                <w:sz w:val="24"/>
                <w:szCs w:val="24"/>
                <w:lang w:val="en-US" w:bidi="ar-SA"/>
              </w:rPr>
              <w:t>老师</w:t>
            </w:r>
          </w:p>
          <w:p w14:paraId="5CC5E2BB">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ascii="Times New Roman" w:hAnsi="Times New Roman" w:cs="Times New Roman"/>
                <w:sz w:val="24"/>
                <w:szCs w:val="24"/>
                <w:lang w:val="en-US" w:bidi="ar-SA"/>
              </w:rPr>
              <w:t>联系电话：</w:t>
            </w:r>
            <w:r>
              <w:rPr>
                <w:rFonts w:hint="eastAsia" w:ascii="Times New Roman" w:hAnsi="Times New Roman" w:cs="Times New Roman"/>
                <w:sz w:val="24"/>
                <w:szCs w:val="24"/>
                <w:lang w:val="en-US" w:bidi="ar-SA"/>
              </w:rPr>
              <w:t>1</w:t>
            </w:r>
            <w:r>
              <w:rPr>
                <w:rFonts w:hint="eastAsia" w:ascii="Times New Roman" w:hAnsi="Times New Roman" w:cs="Times New Roman"/>
                <w:sz w:val="24"/>
                <w:szCs w:val="24"/>
                <w:lang w:val="en-US" w:eastAsia="zh-CN" w:bidi="ar-SA"/>
              </w:rPr>
              <w:t>3550363077</w:t>
            </w:r>
          </w:p>
        </w:tc>
      </w:tr>
      <w:tr w14:paraId="723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19B47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2</w:t>
            </w:r>
          </w:p>
        </w:tc>
        <w:tc>
          <w:tcPr>
            <w:tcW w:w="2236" w:type="dxa"/>
            <w:tcBorders>
              <w:top w:val="single" w:color="auto" w:sz="4" w:space="0"/>
              <w:left w:val="single" w:color="auto" w:sz="4" w:space="0"/>
              <w:bottom w:val="single" w:color="auto" w:sz="4" w:space="0"/>
              <w:right w:val="single" w:color="auto" w:sz="4" w:space="0"/>
            </w:tcBorders>
            <w:vAlign w:val="center"/>
          </w:tcPr>
          <w:p w14:paraId="3B521E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14:paraId="585FE740">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四川蜀物广润物流有限公司选聘</w:t>
            </w:r>
            <w:r>
              <w:rPr>
                <w:rFonts w:hint="eastAsia" w:eastAsia="仿宋_GB2312"/>
                <w:sz w:val="24"/>
              </w:rPr>
              <w:t>某项目</w:t>
            </w:r>
            <w:r>
              <w:rPr>
                <w:rFonts w:eastAsia="仿宋_GB2312"/>
                <w:sz w:val="24"/>
              </w:rPr>
              <w:t>专项法律服务中介机构</w:t>
            </w:r>
          </w:p>
        </w:tc>
      </w:tr>
      <w:tr w14:paraId="490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77" w:type="dxa"/>
            <w:tcBorders>
              <w:top w:val="single" w:color="auto" w:sz="4" w:space="0"/>
              <w:left w:val="single" w:color="auto" w:sz="4" w:space="0"/>
              <w:bottom w:val="single" w:color="auto" w:sz="4" w:space="0"/>
              <w:right w:val="single" w:color="auto" w:sz="4" w:space="0"/>
            </w:tcBorders>
            <w:vAlign w:val="center"/>
          </w:tcPr>
          <w:p w14:paraId="5258BE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3</w:t>
            </w:r>
          </w:p>
        </w:tc>
        <w:tc>
          <w:tcPr>
            <w:tcW w:w="2236" w:type="dxa"/>
            <w:tcBorders>
              <w:top w:val="single" w:color="auto" w:sz="4" w:space="0"/>
              <w:left w:val="single" w:color="auto" w:sz="4" w:space="0"/>
              <w:bottom w:val="single" w:color="auto" w:sz="4" w:space="0"/>
              <w:right w:val="single" w:color="auto" w:sz="4" w:space="0"/>
            </w:tcBorders>
            <w:vAlign w:val="center"/>
          </w:tcPr>
          <w:p w14:paraId="3193A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案件情况</w:t>
            </w:r>
          </w:p>
        </w:tc>
        <w:tc>
          <w:tcPr>
            <w:tcW w:w="5947" w:type="dxa"/>
            <w:tcBorders>
              <w:top w:val="single" w:color="auto" w:sz="4" w:space="0"/>
              <w:left w:val="single" w:color="auto" w:sz="4" w:space="0"/>
              <w:bottom w:val="single" w:color="auto" w:sz="4" w:space="0"/>
              <w:right w:val="single" w:color="auto" w:sz="4" w:space="0"/>
            </w:tcBorders>
            <w:vAlign w:val="center"/>
          </w:tcPr>
          <w:p w14:paraId="2FA020E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鉴于本案性质</w:t>
            </w:r>
            <w:r>
              <w:rPr>
                <w:rFonts w:hint="eastAsia" w:eastAsia="仿宋_GB2312"/>
                <w:sz w:val="24"/>
                <w:lang w:val="en-US" w:eastAsia="zh-CN"/>
              </w:rPr>
              <w:t>为买卖合同纠纷，且</w:t>
            </w:r>
            <w:r>
              <w:rPr>
                <w:rFonts w:eastAsia="仿宋_GB2312"/>
                <w:sz w:val="24"/>
              </w:rPr>
              <w:t>涉案金额较大，情况复杂，请在</w:t>
            </w:r>
            <w:r>
              <w:rPr>
                <w:rFonts w:hint="eastAsia" w:eastAsia="仿宋_GB2312"/>
                <w:sz w:val="24"/>
                <w:lang w:eastAsia="zh-CN"/>
              </w:rPr>
              <w:t>2026</w:t>
            </w:r>
            <w:r>
              <w:rPr>
                <w:rFonts w:eastAsia="仿宋_GB2312"/>
                <w:sz w:val="24"/>
              </w:rPr>
              <w:t>年</w:t>
            </w:r>
            <w:r>
              <w:rPr>
                <w:rFonts w:hint="eastAsia" w:eastAsia="仿宋_GB2312"/>
                <w:sz w:val="24"/>
                <w:lang w:val="en-US" w:eastAsia="zh-CN"/>
              </w:rPr>
              <w:t>5</w:t>
            </w:r>
            <w:r>
              <w:rPr>
                <w:rFonts w:eastAsia="仿宋_GB2312"/>
                <w:sz w:val="24"/>
              </w:rPr>
              <w:t>月</w:t>
            </w:r>
            <w:r>
              <w:rPr>
                <w:rFonts w:hint="eastAsia" w:eastAsia="仿宋_GB2312"/>
                <w:sz w:val="24"/>
                <w:lang w:val="en-US" w:eastAsia="zh-CN"/>
              </w:rPr>
              <w:t>8</w:t>
            </w:r>
            <w:r>
              <w:rPr>
                <w:rFonts w:eastAsia="仿宋_GB2312"/>
                <w:sz w:val="24"/>
              </w:rPr>
              <w:t>日</w:t>
            </w:r>
            <w:r>
              <w:rPr>
                <w:rFonts w:hint="eastAsia" w:eastAsia="仿宋_GB2312"/>
                <w:sz w:val="24"/>
                <w:lang w:val="en-US" w:eastAsia="zh-CN"/>
              </w:rPr>
              <w:t>10</w:t>
            </w:r>
            <w:r>
              <w:rPr>
                <w:rFonts w:hint="eastAsia" w:eastAsia="仿宋_GB2312"/>
                <w:sz w:val="24"/>
              </w:rPr>
              <w:t>:00</w:t>
            </w:r>
            <w:r>
              <w:rPr>
                <w:rFonts w:eastAsia="仿宋_GB2312"/>
                <w:sz w:val="24"/>
              </w:rPr>
              <w:t>前，将第五章中“比选申请函”扫描件发送至邮箱</w:t>
            </w:r>
            <w:r>
              <w:rPr>
                <w:rFonts w:ascii="Arial" w:hAnsi="Arial" w:cs="Arial"/>
                <w:color w:val="2C4A77"/>
                <w:sz w:val="18"/>
                <w:szCs w:val="18"/>
                <w:shd w:val="clear" w:color="auto" w:fill="FFFFFF"/>
              </w:rPr>
              <w:t xml:space="preserve"> </w:t>
            </w:r>
            <w:r>
              <w:rPr>
                <w:rFonts w:eastAsia="仿宋_GB2312"/>
                <w:sz w:val="24"/>
              </w:rPr>
              <w:t>grwlfw@scgrwl.com后可与比选人联系，安排相关律师前往比选人公司现场查阅案件材料。</w:t>
            </w:r>
          </w:p>
          <w:p w14:paraId="096A2B4C">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（申请查阅案件材料的比选申请函中不填写报价）</w:t>
            </w:r>
          </w:p>
        </w:tc>
      </w:tr>
      <w:tr w14:paraId="19A0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777" w:type="dxa"/>
            <w:tcBorders>
              <w:top w:val="single" w:color="auto" w:sz="4" w:space="0"/>
              <w:left w:val="single" w:color="auto" w:sz="4" w:space="0"/>
              <w:bottom w:val="single" w:color="auto" w:sz="4" w:space="0"/>
              <w:right w:val="single" w:color="auto" w:sz="4" w:space="0"/>
            </w:tcBorders>
            <w:vAlign w:val="center"/>
          </w:tcPr>
          <w:p w14:paraId="6218B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4</w:t>
            </w:r>
          </w:p>
        </w:tc>
        <w:tc>
          <w:tcPr>
            <w:tcW w:w="2236" w:type="dxa"/>
            <w:tcBorders>
              <w:top w:val="single" w:color="auto" w:sz="4" w:space="0"/>
              <w:left w:val="single" w:color="auto" w:sz="4" w:space="0"/>
              <w:bottom w:val="single" w:color="auto" w:sz="4" w:space="0"/>
              <w:right w:val="single" w:color="auto" w:sz="4" w:space="0"/>
            </w:tcBorders>
            <w:vAlign w:val="center"/>
          </w:tcPr>
          <w:p w14:paraId="6892E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最高限价</w:t>
            </w:r>
          </w:p>
        </w:tc>
        <w:tc>
          <w:tcPr>
            <w:tcW w:w="5947" w:type="dxa"/>
            <w:tcBorders>
              <w:top w:val="single" w:color="auto" w:sz="4" w:space="0"/>
              <w:left w:val="single" w:color="auto" w:sz="4" w:space="0"/>
              <w:bottom w:val="single" w:color="auto" w:sz="4" w:space="0"/>
              <w:right w:val="single" w:color="auto" w:sz="4" w:space="0"/>
            </w:tcBorders>
            <w:vAlign w:val="center"/>
          </w:tcPr>
          <w:p w14:paraId="0FC221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sz w:val="24"/>
                <w:lang w:eastAsia="zh-CN"/>
              </w:rPr>
            </w:pPr>
            <w:r>
              <w:rPr>
                <w:rFonts w:hint="eastAsia" w:eastAsia="仿宋_GB2312"/>
                <w:sz w:val="24"/>
                <w:lang w:val="en-US" w:eastAsia="zh-CN"/>
              </w:rPr>
              <w:t>总费用不超过40万元。其中基础代理费不超过8万元，在代理合同签订后10日内支付不超过</w:t>
            </w:r>
            <w:bookmarkStart w:id="0" w:name="_GoBack"/>
            <w:bookmarkEnd w:id="0"/>
            <w:r>
              <w:rPr>
                <w:rFonts w:hint="eastAsia" w:eastAsia="仿宋_GB2312"/>
                <w:sz w:val="24"/>
                <w:lang w:val="en-US" w:eastAsia="zh-CN"/>
              </w:rPr>
              <w:t>6万元，若以其他案由再次起诉并经法院受理后，另行支付2万元，未发生再次起诉的，该部分费用不予支付。前述两部分基础代理费均在对应支付条件达成后先行支付60%，待合同约定事项全部履行完毕后，再支付剩余40%；风险代理费不超过32万元，在选聘对象协助我公司取得本案胜诉生效法律文书后，按照不超过实际收到对方回款金额的0.86%向选聘对象支付。</w:t>
            </w:r>
          </w:p>
        </w:tc>
      </w:tr>
      <w:tr w14:paraId="29BB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2B097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5</w:t>
            </w:r>
          </w:p>
        </w:tc>
        <w:tc>
          <w:tcPr>
            <w:tcW w:w="2236" w:type="dxa"/>
            <w:tcBorders>
              <w:top w:val="single" w:color="auto" w:sz="4" w:space="0"/>
              <w:left w:val="single" w:color="auto" w:sz="4" w:space="0"/>
              <w:bottom w:val="single" w:color="auto" w:sz="4" w:space="0"/>
              <w:right w:val="single" w:color="auto" w:sz="4" w:space="0"/>
            </w:tcBorders>
            <w:vAlign w:val="center"/>
          </w:tcPr>
          <w:p w14:paraId="24DAB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比选申请书的</w:t>
            </w:r>
          </w:p>
          <w:p w14:paraId="7640D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印制和签署</w:t>
            </w:r>
          </w:p>
          <w:p w14:paraId="305DE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5947" w:type="dxa"/>
            <w:tcBorders>
              <w:top w:val="single" w:color="auto" w:sz="4" w:space="0"/>
              <w:left w:val="single" w:color="auto" w:sz="4" w:space="0"/>
              <w:bottom w:val="single" w:color="auto" w:sz="4" w:space="0"/>
              <w:right w:val="single" w:color="auto" w:sz="4" w:space="0"/>
            </w:tcBorders>
            <w:vAlign w:val="center"/>
          </w:tcPr>
          <w:p w14:paraId="1CC79DD3">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b/>
                <w:sz w:val="24"/>
              </w:rPr>
              <w:t>比选申请书数量：</w:t>
            </w:r>
            <w:r>
              <w:rPr>
                <w:rFonts w:hint="default" w:ascii="Times New Roman" w:hAnsi="Times New Roman" w:eastAsia="仿宋_GB2312" w:cs="Times New Roman"/>
                <w:color w:val="auto"/>
                <w:sz w:val="24"/>
                <w:highlight w:val="none"/>
              </w:rPr>
              <w:t>正本壹份，副本</w:t>
            </w:r>
            <w:r>
              <w:rPr>
                <w:rFonts w:hint="eastAsia" w:eastAsia="仿宋_GB2312" w:cs="Times New Roman"/>
                <w:color w:val="auto"/>
                <w:sz w:val="24"/>
                <w:highlight w:val="none"/>
                <w:lang w:val="en-US" w:eastAsia="zh-CN"/>
              </w:rPr>
              <w:t>肆</w:t>
            </w:r>
            <w:r>
              <w:rPr>
                <w:rFonts w:hint="default" w:ascii="Times New Roman" w:hAnsi="Times New Roman" w:eastAsia="仿宋_GB2312" w:cs="Times New Roman"/>
                <w:color w:val="auto"/>
                <w:sz w:val="24"/>
                <w:highlight w:val="none"/>
              </w:rPr>
              <w:t>份</w:t>
            </w:r>
          </w:p>
          <w:p w14:paraId="30FE6026">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b/>
                <w:sz w:val="24"/>
              </w:rPr>
              <w:t>制作要求：</w:t>
            </w:r>
            <w:r>
              <w:rPr>
                <w:rFonts w:eastAsia="仿宋_GB2312"/>
                <w:sz w:val="24"/>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47F4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77" w:type="dxa"/>
            <w:tcBorders>
              <w:top w:val="single" w:color="auto" w:sz="4" w:space="0"/>
              <w:left w:val="single" w:color="auto" w:sz="4" w:space="0"/>
              <w:bottom w:val="single" w:color="auto" w:sz="4" w:space="0"/>
              <w:right w:val="single" w:color="auto" w:sz="4" w:space="0"/>
            </w:tcBorders>
            <w:vAlign w:val="center"/>
          </w:tcPr>
          <w:p w14:paraId="15DE2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6</w:t>
            </w:r>
          </w:p>
        </w:tc>
        <w:tc>
          <w:tcPr>
            <w:tcW w:w="2236" w:type="dxa"/>
            <w:tcBorders>
              <w:top w:val="single" w:color="auto" w:sz="4" w:space="0"/>
              <w:left w:val="single" w:color="auto" w:sz="4" w:space="0"/>
              <w:bottom w:val="single" w:color="auto" w:sz="4" w:space="0"/>
              <w:right w:val="single" w:color="auto" w:sz="4" w:space="0"/>
            </w:tcBorders>
            <w:vAlign w:val="center"/>
          </w:tcPr>
          <w:p w14:paraId="0782C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报价有效期</w:t>
            </w:r>
          </w:p>
        </w:tc>
        <w:tc>
          <w:tcPr>
            <w:tcW w:w="5947" w:type="dxa"/>
            <w:tcBorders>
              <w:top w:val="single" w:color="auto" w:sz="4" w:space="0"/>
              <w:left w:val="single" w:color="auto" w:sz="4" w:space="0"/>
              <w:bottom w:val="single" w:color="auto" w:sz="4" w:space="0"/>
              <w:right w:val="single" w:color="auto" w:sz="4" w:space="0"/>
            </w:tcBorders>
            <w:vAlign w:val="center"/>
          </w:tcPr>
          <w:p w14:paraId="3F5F595D">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报价截止之日起90天。</w:t>
            </w:r>
          </w:p>
        </w:tc>
      </w:tr>
      <w:tr w14:paraId="1F20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9480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7</w:t>
            </w:r>
          </w:p>
        </w:tc>
        <w:tc>
          <w:tcPr>
            <w:tcW w:w="2236" w:type="dxa"/>
            <w:tcBorders>
              <w:top w:val="single" w:color="auto" w:sz="4" w:space="0"/>
              <w:left w:val="single" w:color="auto" w:sz="4" w:space="0"/>
              <w:bottom w:val="single" w:color="auto" w:sz="4" w:space="0"/>
              <w:right w:val="single" w:color="auto" w:sz="4" w:space="0"/>
            </w:tcBorders>
            <w:vAlign w:val="center"/>
          </w:tcPr>
          <w:p w14:paraId="5B871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签字盖章</w:t>
            </w:r>
          </w:p>
        </w:tc>
        <w:tc>
          <w:tcPr>
            <w:tcW w:w="5947" w:type="dxa"/>
            <w:tcBorders>
              <w:top w:val="single" w:color="auto" w:sz="4" w:space="0"/>
              <w:left w:val="single" w:color="auto" w:sz="4" w:space="0"/>
              <w:bottom w:val="single" w:color="auto" w:sz="4" w:space="0"/>
              <w:right w:val="single" w:color="auto" w:sz="4" w:space="0"/>
            </w:tcBorders>
            <w:vAlign w:val="center"/>
          </w:tcPr>
          <w:p w14:paraId="68AF10B5">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比选申请书正本和副本的封面、密封封套封口处、正文相应处加盖比选申请人公章处。</w:t>
            </w:r>
          </w:p>
        </w:tc>
      </w:tr>
      <w:tr w14:paraId="05D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77" w:type="dxa"/>
            <w:tcBorders>
              <w:top w:val="single" w:color="auto" w:sz="4" w:space="0"/>
              <w:left w:val="single" w:color="auto" w:sz="4" w:space="0"/>
              <w:bottom w:val="single" w:color="auto" w:sz="4" w:space="0"/>
              <w:right w:val="single" w:color="auto" w:sz="4" w:space="0"/>
            </w:tcBorders>
            <w:vAlign w:val="center"/>
          </w:tcPr>
          <w:p w14:paraId="48C5B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8</w:t>
            </w:r>
          </w:p>
        </w:tc>
        <w:tc>
          <w:tcPr>
            <w:tcW w:w="2236" w:type="dxa"/>
            <w:tcBorders>
              <w:top w:val="single" w:color="auto" w:sz="4" w:space="0"/>
              <w:left w:val="single" w:color="auto" w:sz="4" w:space="0"/>
              <w:bottom w:val="single" w:color="auto" w:sz="4" w:space="0"/>
              <w:right w:val="single" w:color="auto" w:sz="4" w:space="0"/>
            </w:tcBorders>
            <w:vAlign w:val="center"/>
          </w:tcPr>
          <w:p w14:paraId="638AB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比选申请书的装订</w:t>
            </w:r>
          </w:p>
        </w:tc>
        <w:tc>
          <w:tcPr>
            <w:tcW w:w="5947" w:type="dxa"/>
            <w:tcBorders>
              <w:top w:val="single" w:color="auto" w:sz="4" w:space="0"/>
              <w:left w:val="single" w:color="auto" w:sz="4" w:space="0"/>
              <w:bottom w:val="single" w:color="auto" w:sz="4" w:space="0"/>
              <w:right w:val="single" w:color="auto" w:sz="4" w:space="0"/>
            </w:tcBorders>
            <w:vAlign w:val="center"/>
          </w:tcPr>
          <w:p w14:paraId="5C24AB96">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一份正本和</w:t>
            </w:r>
            <w:r>
              <w:rPr>
                <w:rFonts w:hint="eastAsia" w:eastAsia="仿宋_GB2312"/>
                <w:sz w:val="24"/>
                <w:lang w:val="en-US" w:eastAsia="zh-CN"/>
              </w:rPr>
              <w:t>肆</w:t>
            </w:r>
            <w:r>
              <w:rPr>
                <w:rFonts w:eastAsia="仿宋_GB2312"/>
                <w:sz w:val="24"/>
              </w:rPr>
              <w:t>份副本分别装订。</w:t>
            </w:r>
          </w:p>
        </w:tc>
      </w:tr>
      <w:tr w14:paraId="2E44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37A0DC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9</w:t>
            </w:r>
          </w:p>
        </w:tc>
        <w:tc>
          <w:tcPr>
            <w:tcW w:w="2236" w:type="dxa"/>
            <w:tcBorders>
              <w:top w:val="single" w:color="auto" w:sz="4" w:space="0"/>
              <w:left w:val="single" w:color="auto" w:sz="4" w:space="0"/>
              <w:bottom w:val="single" w:color="auto" w:sz="4" w:space="0"/>
              <w:right w:val="single" w:color="auto" w:sz="4" w:space="0"/>
            </w:tcBorders>
            <w:vAlign w:val="center"/>
          </w:tcPr>
          <w:p w14:paraId="31318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响应文件封面的标注</w:t>
            </w:r>
          </w:p>
        </w:tc>
        <w:tc>
          <w:tcPr>
            <w:tcW w:w="5947" w:type="dxa"/>
            <w:tcBorders>
              <w:top w:val="single" w:color="auto" w:sz="4" w:space="0"/>
              <w:left w:val="single" w:color="auto" w:sz="4" w:space="0"/>
              <w:bottom w:val="single" w:color="auto" w:sz="4" w:space="0"/>
              <w:right w:val="single" w:color="auto" w:sz="4" w:space="0"/>
            </w:tcBorders>
            <w:vAlign w:val="center"/>
          </w:tcPr>
          <w:p w14:paraId="53ACFBCD">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响应文件正本和副本的封面上均应标明：采购项目名称、申请人名称、年月日；并分别在右上角标明“正本”和“副本”字样。</w:t>
            </w:r>
          </w:p>
        </w:tc>
      </w:tr>
      <w:tr w14:paraId="562A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1D2F1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10</w:t>
            </w:r>
          </w:p>
        </w:tc>
        <w:tc>
          <w:tcPr>
            <w:tcW w:w="2236" w:type="dxa"/>
            <w:tcBorders>
              <w:top w:val="single" w:color="auto" w:sz="4" w:space="0"/>
              <w:left w:val="single" w:color="auto" w:sz="4" w:space="0"/>
              <w:bottom w:val="single" w:color="auto" w:sz="4" w:space="0"/>
              <w:right w:val="single" w:color="auto" w:sz="4" w:space="0"/>
            </w:tcBorders>
            <w:vAlign w:val="center"/>
          </w:tcPr>
          <w:p w14:paraId="3389B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响应文件外层密封袋的标注</w:t>
            </w:r>
          </w:p>
        </w:tc>
        <w:tc>
          <w:tcPr>
            <w:tcW w:w="5947" w:type="dxa"/>
            <w:tcBorders>
              <w:top w:val="single" w:color="auto" w:sz="4" w:space="0"/>
              <w:left w:val="single" w:color="auto" w:sz="4" w:space="0"/>
              <w:bottom w:val="single" w:color="auto" w:sz="4" w:space="0"/>
              <w:right w:val="single" w:color="auto" w:sz="4" w:space="0"/>
            </w:tcBorders>
            <w:vAlign w:val="center"/>
          </w:tcPr>
          <w:p w14:paraId="45A496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采购项目名称、申请人名称、响应时间，密封袋背面应贴上密封条并注明“开标前不得开启”字样。</w:t>
            </w:r>
          </w:p>
        </w:tc>
      </w:tr>
      <w:tr w14:paraId="657C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77" w:type="dxa"/>
            <w:tcBorders>
              <w:top w:val="single" w:color="auto" w:sz="4" w:space="0"/>
              <w:left w:val="single" w:color="auto" w:sz="4" w:space="0"/>
              <w:bottom w:val="single" w:color="auto" w:sz="4" w:space="0"/>
              <w:right w:val="single" w:color="auto" w:sz="4" w:space="0"/>
            </w:tcBorders>
            <w:vAlign w:val="center"/>
          </w:tcPr>
          <w:p w14:paraId="269FD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11</w:t>
            </w:r>
          </w:p>
        </w:tc>
        <w:tc>
          <w:tcPr>
            <w:tcW w:w="2236" w:type="dxa"/>
            <w:tcBorders>
              <w:top w:val="single" w:color="auto" w:sz="4" w:space="0"/>
              <w:left w:val="single" w:color="auto" w:sz="4" w:space="0"/>
              <w:bottom w:val="single" w:color="auto" w:sz="4" w:space="0"/>
              <w:right w:val="single" w:color="auto" w:sz="4" w:space="0"/>
            </w:tcBorders>
            <w:vAlign w:val="center"/>
          </w:tcPr>
          <w:p w14:paraId="5E1013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参与比选活动要求</w:t>
            </w:r>
          </w:p>
        </w:tc>
        <w:tc>
          <w:tcPr>
            <w:tcW w:w="5947" w:type="dxa"/>
            <w:tcBorders>
              <w:top w:val="single" w:color="auto" w:sz="4" w:space="0"/>
              <w:left w:val="single" w:color="auto" w:sz="4" w:space="0"/>
              <w:bottom w:val="single" w:color="auto" w:sz="4" w:space="0"/>
              <w:right w:val="single" w:color="auto" w:sz="4" w:space="0"/>
            </w:tcBorders>
            <w:vAlign w:val="center"/>
          </w:tcPr>
          <w:p w14:paraId="29D82E81">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比选申请人应由单位负责人或授权代表参与比选活动</w:t>
            </w:r>
          </w:p>
        </w:tc>
      </w:tr>
      <w:tr w14:paraId="08DD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7" w:type="dxa"/>
            <w:tcBorders>
              <w:top w:val="single" w:color="auto" w:sz="4" w:space="0"/>
              <w:left w:val="single" w:color="auto" w:sz="4" w:space="0"/>
              <w:bottom w:val="single" w:color="auto" w:sz="4" w:space="0"/>
              <w:right w:val="single" w:color="auto" w:sz="4" w:space="0"/>
            </w:tcBorders>
            <w:vAlign w:val="center"/>
          </w:tcPr>
          <w:p w14:paraId="0247C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12</w:t>
            </w:r>
          </w:p>
        </w:tc>
        <w:tc>
          <w:tcPr>
            <w:tcW w:w="2236" w:type="dxa"/>
            <w:tcBorders>
              <w:top w:val="single" w:color="auto" w:sz="4" w:space="0"/>
              <w:left w:val="single" w:color="auto" w:sz="4" w:space="0"/>
              <w:bottom w:val="single" w:color="auto" w:sz="4" w:space="0"/>
              <w:right w:val="single" w:color="auto" w:sz="4" w:space="0"/>
            </w:tcBorders>
            <w:vAlign w:val="center"/>
          </w:tcPr>
          <w:p w14:paraId="175AE2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bCs/>
                <w:sz w:val="24"/>
              </w:rPr>
              <w:t>参与比选活动保证金</w:t>
            </w:r>
          </w:p>
        </w:tc>
        <w:tc>
          <w:tcPr>
            <w:tcW w:w="5947" w:type="dxa"/>
            <w:tcBorders>
              <w:top w:val="single" w:color="auto" w:sz="4" w:space="0"/>
              <w:left w:val="single" w:color="auto" w:sz="4" w:space="0"/>
              <w:bottom w:val="single" w:color="auto" w:sz="4" w:space="0"/>
              <w:right w:val="single" w:color="auto" w:sz="4" w:space="0"/>
            </w:tcBorders>
            <w:vAlign w:val="center"/>
          </w:tcPr>
          <w:p w14:paraId="14BBE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bCs/>
                <w:sz w:val="24"/>
              </w:rPr>
              <w:t>本项目不作要求。</w:t>
            </w:r>
          </w:p>
        </w:tc>
      </w:tr>
      <w:tr w14:paraId="6C36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75E79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13</w:t>
            </w:r>
          </w:p>
        </w:tc>
        <w:tc>
          <w:tcPr>
            <w:tcW w:w="2236" w:type="dxa"/>
            <w:tcBorders>
              <w:top w:val="single" w:color="auto" w:sz="4" w:space="0"/>
              <w:left w:val="single" w:color="auto" w:sz="4" w:space="0"/>
              <w:bottom w:val="single" w:color="auto" w:sz="4" w:space="0"/>
              <w:right w:val="single" w:color="auto" w:sz="4" w:space="0"/>
            </w:tcBorders>
            <w:vAlign w:val="center"/>
          </w:tcPr>
          <w:p w14:paraId="76C2A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bCs/>
                <w:sz w:val="24"/>
              </w:rPr>
            </w:pPr>
            <w:r>
              <w:rPr>
                <w:rFonts w:hint="eastAsia" w:eastAsia="仿宋_GB2312" w:cs="Times New Roman"/>
                <w:bCs/>
                <w:color w:val="auto"/>
                <w:sz w:val="24"/>
                <w:highlight w:val="none"/>
                <w:lang w:val="en-US" w:eastAsia="zh-CN"/>
              </w:rPr>
              <w:t>比选申请书</w:t>
            </w:r>
            <w:r>
              <w:rPr>
                <w:rFonts w:hint="default" w:ascii="Times New Roman" w:hAnsi="Times New Roman" w:eastAsia="仿宋_GB2312" w:cs="Times New Roman"/>
                <w:bCs/>
                <w:color w:val="auto"/>
                <w:sz w:val="24"/>
                <w:highlight w:val="none"/>
              </w:rPr>
              <w:t>组成顺序</w:t>
            </w:r>
          </w:p>
        </w:tc>
        <w:tc>
          <w:tcPr>
            <w:tcW w:w="5947" w:type="dxa"/>
            <w:tcBorders>
              <w:top w:val="single" w:color="auto" w:sz="4" w:space="0"/>
              <w:left w:val="single" w:color="auto" w:sz="4" w:space="0"/>
              <w:bottom w:val="single" w:color="auto" w:sz="4" w:space="0"/>
              <w:right w:val="single" w:color="auto" w:sz="4" w:space="0"/>
            </w:tcBorders>
            <w:vAlign w:val="center"/>
          </w:tcPr>
          <w:p w14:paraId="1616FF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default" w:eastAsia="仿宋_GB2312"/>
                <w:bCs/>
                <w:sz w:val="24"/>
              </w:rPr>
              <w:t>比选申请人提交的</w:t>
            </w:r>
            <w:r>
              <w:rPr>
                <w:rFonts w:hint="eastAsia" w:eastAsia="仿宋_GB2312"/>
                <w:bCs/>
                <w:sz w:val="24"/>
                <w:lang w:val="en-US" w:eastAsia="zh-CN"/>
              </w:rPr>
              <w:t>比选申请书</w:t>
            </w:r>
            <w:r>
              <w:rPr>
                <w:rFonts w:hint="default" w:eastAsia="仿宋_GB2312"/>
                <w:bCs/>
                <w:sz w:val="24"/>
              </w:rPr>
              <w:t>应按照以下顺序编制装订：</w:t>
            </w:r>
          </w:p>
          <w:p w14:paraId="4D5A42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val="en-US" w:eastAsia="zh-CN"/>
              </w:rPr>
            </w:pPr>
            <w:r>
              <w:rPr>
                <w:rFonts w:hint="eastAsia" w:eastAsia="仿宋_GB2312"/>
                <w:bCs/>
                <w:sz w:val="24"/>
                <w:lang w:val="en-US" w:eastAsia="zh-CN"/>
              </w:rPr>
              <w:t>1.比选申请函（格式见第五章）；</w:t>
            </w:r>
          </w:p>
          <w:p w14:paraId="519DA5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Cs/>
                <w:sz w:val="24"/>
                <w:lang w:val="en-US" w:eastAsia="zh-CN"/>
              </w:rPr>
            </w:pPr>
            <w:r>
              <w:rPr>
                <w:rFonts w:hint="eastAsia" w:eastAsia="仿宋_GB2312"/>
                <w:bCs/>
                <w:sz w:val="24"/>
                <w:lang w:val="en-US" w:eastAsia="zh-CN"/>
              </w:rPr>
              <w:t>2.单位负责人身份证明/授权委托书（若有）；</w:t>
            </w:r>
          </w:p>
          <w:p w14:paraId="655D4A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eastAsia" w:eastAsia="仿宋_GB2312"/>
                <w:bCs/>
                <w:sz w:val="24"/>
                <w:lang w:val="en-US" w:eastAsia="zh-CN"/>
              </w:rPr>
              <w:t>3</w:t>
            </w:r>
            <w:r>
              <w:rPr>
                <w:rFonts w:hint="default" w:eastAsia="仿宋_GB2312"/>
                <w:bCs/>
                <w:sz w:val="24"/>
                <w:lang w:val="en-US" w:eastAsia="zh-CN"/>
              </w:rPr>
              <w:t>.</w:t>
            </w:r>
            <w:r>
              <w:rPr>
                <w:rFonts w:hint="default" w:eastAsia="仿宋_GB2312"/>
                <w:bCs/>
                <w:sz w:val="24"/>
              </w:rPr>
              <w:t>比选申请人资质证明</w:t>
            </w:r>
            <w:r>
              <w:rPr>
                <w:rFonts w:hint="eastAsia" w:eastAsia="仿宋_GB2312"/>
                <w:bCs/>
                <w:sz w:val="24"/>
                <w:lang w:eastAsia="zh-CN"/>
              </w:rPr>
              <w:t>（</w:t>
            </w:r>
            <w:r>
              <w:rPr>
                <w:rFonts w:hint="eastAsia" w:eastAsia="仿宋_GB2312"/>
                <w:bCs/>
                <w:sz w:val="24"/>
                <w:lang w:val="en-US" w:eastAsia="zh-CN"/>
              </w:rPr>
              <w:t>按照第一章 比选公告 第二条比选申请人资质要求依次提供</w:t>
            </w:r>
            <w:r>
              <w:rPr>
                <w:rFonts w:hint="eastAsia" w:eastAsia="仿宋_GB2312"/>
                <w:bCs/>
                <w:sz w:val="24"/>
                <w:lang w:eastAsia="zh-CN"/>
              </w:rPr>
              <w:t>）；</w:t>
            </w:r>
          </w:p>
          <w:p w14:paraId="7DBC97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Cs/>
                <w:sz w:val="24"/>
                <w:lang w:val="en-US" w:eastAsia="zh-CN"/>
              </w:rPr>
            </w:pPr>
            <w:r>
              <w:rPr>
                <w:rFonts w:hint="eastAsia" w:eastAsia="仿宋_GB2312"/>
                <w:bCs/>
                <w:sz w:val="24"/>
                <w:lang w:val="en-US" w:eastAsia="zh-CN"/>
              </w:rPr>
              <w:t>4.详细评审资料（按照第三章第四条《评分标准表》要求提供，前序已提供的资料可不重复提供）；</w:t>
            </w:r>
          </w:p>
          <w:p w14:paraId="380236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eastAsia" w:eastAsia="仿宋_GB2312"/>
                <w:bCs/>
                <w:sz w:val="24"/>
                <w:lang w:val="en-US" w:eastAsia="zh-CN"/>
              </w:rPr>
              <w:t>5.</w:t>
            </w:r>
            <w:r>
              <w:rPr>
                <w:rFonts w:hint="default" w:eastAsia="仿宋_GB2312"/>
                <w:bCs/>
                <w:sz w:val="24"/>
              </w:rPr>
              <w:t>承诺函</w:t>
            </w:r>
          </w:p>
          <w:p w14:paraId="57603D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bCs/>
                <w:sz w:val="24"/>
              </w:rPr>
            </w:pPr>
            <w:r>
              <w:rPr>
                <w:rFonts w:hint="default" w:eastAsia="仿宋_GB2312"/>
                <w:bCs/>
                <w:sz w:val="24"/>
              </w:rPr>
              <w:t>注：所有证明材料的复印件（如执业许可证、律师证、业绩合同、判决书、荣誉证书等）应附于对应章节或统一汇编于资质证明部分，并在正文相应位置明确标注，以便评审委员会查阅。</w:t>
            </w:r>
          </w:p>
        </w:tc>
      </w:tr>
    </w:tbl>
    <w:p w14:paraId="7F9E0BA0">
      <w:pPr>
        <w:rPr>
          <w:rFonts w:ascii="Times New Roman" w:hAnsi="Times New Roman" w:cs="Times New Roman"/>
          <w:szCs w:val="22"/>
        </w:rPr>
      </w:pPr>
    </w:p>
    <w:p w14:paraId="6BEFCB46">
      <w:pPr>
        <w:pStyle w:val="2"/>
        <w:numPr>
          <w:ilvl w:val="0"/>
          <w:numId w:val="1"/>
        </w:numPr>
        <w:ind w:left="0" w:firstLine="400"/>
        <w:jc w:val="center"/>
        <w:rPr>
          <w:rFonts w:ascii="Times New Roman" w:hAnsi="Times New Roman" w:cs="Times New Roman"/>
          <w:szCs w:val="22"/>
        </w:rPr>
      </w:pPr>
      <w:r>
        <w:rPr>
          <w:rFonts w:ascii="Times New Roman" w:hAnsi="Times New Roman" w:cs="Times New Roman"/>
          <w:szCs w:val="22"/>
        </w:rPr>
        <w:t xml:space="preserve"> 评审办法</w:t>
      </w:r>
    </w:p>
    <w:p w14:paraId="695624E1">
      <w:pPr>
        <w:numPr>
          <w:ilvl w:val="255"/>
          <w:numId w:val="0"/>
        </w:numPr>
      </w:pPr>
    </w:p>
    <w:p w14:paraId="28D1ADAC">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根据《四川省国资委及出资企业中介机构选聘管理试行办法》（川国资委办〔2019〕9号）等有关规定，结合本项目特点制定本评审办法。本评审办法及评分标准仅适用于本项目的评审。</w:t>
      </w:r>
    </w:p>
    <w:p w14:paraId="0F006279">
      <w:pPr>
        <w:spacing w:line="560" w:lineRule="exact"/>
        <w:ind w:firstLine="640" w:firstLineChars="200"/>
        <w:jc w:val="left"/>
        <w:rPr>
          <w:rFonts w:eastAsia="黑体"/>
          <w:sz w:val="32"/>
          <w:szCs w:val="32"/>
        </w:rPr>
      </w:pPr>
      <w:r>
        <w:rPr>
          <w:rFonts w:eastAsia="黑体"/>
          <w:sz w:val="32"/>
          <w:szCs w:val="32"/>
        </w:rPr>
        <w:t>一、评审委员会</w:t>
      </w:r>
    </w:p>
    <w:p w14:paraId="1CCE7E45">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评审委员会由比选人的承办部门牵头组织，并邀请有关部门对评审进行全过程监督。本次评审委员会由5人组成。</w:t>
      </w:r>
    </w:p>
    <w:p w14:paraId="38CEED64">
      <w:pPr>
        <w:spacing w:line="560" w:lineRule="exact"/>
        <w:ind w:firstLine="640" w:firstLineChars="200"/>
        <w:jc w:val="left"/>
        <w:rPr>
          <w:rFonts w:eastAsia="黑体"/>
          <w:sz w:val="32"/>
          <w:szCs w:val="32"/>
        </w:rPr>
      </w:pPr>
      <w:r>
        <w:rPr>
          <w:rFonts w:eastAsia="黑体"/>
          <w:sz w:val="32"/>
          <w:szCs w:val="32"/>
        </w:rPr>
        <w:t>二、评审原则</w:t>
      </w:r>
    </w:p>
    <w:p w14:paraId="7575E460">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（一）评审工作遵循公平、公正、科学、择优的原则。</w:t>
      </w:r>
    </w:p>
    <w:p w14:paraId="46C728EA">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（二）公开比选文件及响应性文件是评审工作的首要依据，响应性文件必须符合公开比选文件的要求。</w:t>
      </w:r>
    </w:p>
    <w:p w14:paraId="61798487">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0DDE21FD">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（四）在评审过程中，评审委员会发现比选申请人以其他人的名义投标报价、串通投标报价、以行贿手段谋取中选或者以其他弄虚作假方式比选报价的，该比选申请人的报价作废处理。</w:t>
      </w:r>
    </w:p>
    <w:p w14:paraId="1DCA8C74">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（五）在</w:t>
      </w:r>
      <w:r>
        <w:rPr>
          <w:rFonts w:hint="eastAsia" w:eastAsia="仿宋_GB2312"/>
          <w:bCs/>
          <w:sz w:val="32"/>
          <w:szCs w:val="32"/>
          <w:lang w:val="en-US" w:eastAsia="zh-CN"/>
        </w:rPr>
        <w:t>资质</w:t>
      </w:r>
      <w:r>
        <w:rPr>
          <w:rFonts w:eastAsia="仿宋_GB2312"/>
          <w:bCs/>
          <w:sz w:val="32"/>
          <w:szCs w:val="32"/>
        </w:rPr>
        <w:t>审查中，符合要求的比选申请人达到3家及以上的方可进行评审。</w:t>
      </w:r>
    </w:p>
    <w:p w14:paraId="7E7AF1B0">
      <w:pPr>
        <w:spacing w:line="560" w:lineRule="exact"/>
        <w:ind w:firstLine="640" w:firstLineChars="200"/>
        <w:jc w:val="left"/>
        <w:rPr>
          <w:rFonts w:eastAsia="黑体"/>
          <w:sz w:val="32"/>
          <w:szCs w:val="32"/>
        </w:rPr>
      </w:pPr>
      <w:r>
        <w:rPr>
          <w:rFonts w:eastAsia="黑体"/>
          <w:sz w:val="32"/>
          <w:szCs w:val="32"/>
        </w:rPr>
        <w:t>三、比选申请人资质审查</w:t>
      </w:r>
    </w:p>
    <w:p w14:paraId="4D96EBF1">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（一）初步评审</w:t>
      </w:r>
    </w:p>
    <w:tbl>
      <w:tblPr>
        <w:tblStyle w:val="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61B4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31E651E5">
            <w:pPr>
              <w:spacing w:line="360" w:lineRule="auto"/>
              <w:jc w:val="center"/>
              <w:rPr>
                <w:bCs/>
                <w:szCs w:val="21"/>
              </w:rPr>
            </w:pPr>
            <w:r>
              <w:rPr>
                <w:bCs/>
                <w:szCs w:val="21"/>
              </w:rPr>
              <w:t>评审项</w:t>
            </w:r>
          </w:p>
        </w:tc>
        <w:tc>
          <w:tcPr>
            <w:tcW w:w="2757" w:type="dxa"/>
            <w:vAlign w:val="center"/>
          </w:tcPr>
          <w:p w14:paraId="6BE093C2">
            <w:pPr>
              <w:spacing w:line="360" w:lineRule="auto"/>
              <w:jc w:val="center"/>
              <w:rPr>
                <w:bCs/>
                <w:szCs w:val="21"/>
              </w:rPr>
            </w:pPr>
            <w:r>
              <w:rPr>
                <w:bCs/>
                <w:szCs w:val="21"/>
              </w:rPr>
              <w:t>评审因素</w:t>
            </w:r>
          </w:p>
        </w:tc>
        <w:tc>
          <w:tcPr>
            <w:tcW w:w="5278" w:type="dxa"/>
            <w:vAlign w:val="center"/>
          </w:tcPr>
          <w:p w14:paraId="219163F4">
            <w:pPr>
              <w:spacing w:line="360" w:lineRule="auto"/>
              <w:jc w:val="center"/>
              <w:rPr>
                <w:bCs/>
                <w:szCs w:val="21"/>
              </w:rPr>
            </w:pPr>
            <w:r>
              <w:rPr>
                <w:bCs/>
                <w:szCs w:val="21"/>
              </w:rPr>
              <w:t>评审标准</w:t>
            </w:r>
          </w:p>
        </w:tc>
      </w:tr>
      <w:tr w14:paraId="27C1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5AF37811">
            <w:pPr>
              <w:spacing w:line="360" w:lineRule="auto"/>
              <w:jc w:val="center"/>
              <w:rPr>
                <w:bCs/>
                <w:szCs w:val="21"/>
              </w:rPr>
            </w:pPr>
          </w:p>
          <w:p w14:paraId="49521B16">
            <w:pPr>
              <w:spacing w:line="360" w:lineRule="auto"/>
              <w:jc w:val="center"/>
              <w:rPr>
                <w:bCs/>
                <w:szCs w:val="21"/>
              </w:rPr>
            </w:pPr>
          </w:p>
          <w:p w14:paraId="6DE5FEF2">
            <w:pPr>
              <w:spacing w:line="360" w:lineRule="auto"/>
              <w:jc w:val="center"/>
              <w:rPr>
                <w:bCs/>
                <w:szCs w:val="21"/>
              </w:rPr>
            </w:pPr>
            <w:r>
              <w:rPr>
                <w:bCs/>
                <w:szCs w:val="21"/>
              </w:rPr>
              <w:t>形式评审标准</w:t>
            </w:r>
          </w:p>
        </w:tc>
        <w:tc>
          <w:tcPr>
            <w:tcW w:w="2757" w:type="dxa"/>
            <w:vAlign w:val="center"/>
          </w:tcPr>
          <w:p w14:paraId="2B726F98">
            <w:pPr>
              <w:spacing w:line="360" w:lineRule="auto"/>
              <w:ind w:leftChars="-10" w:hanging="21" w:hangingChars="10"/>
              <w:jc w:val="center"/>
              <w:rPr>
                <w:bCs/>
                <w:szCs w:val="21"/>
              </w:rPr>
            </w:pPr>
            <w:r>
              <w:rPr>
                <w:szCs w:val="21"/>
              </w:rPr>
              <w:t>比选申请人</w:t>
            </w:r>
            <w:r>
              <w:rPr>
                <w:bCs/>
                <w:szCs w:val="21"/>
              </w:rPr>
              <w:t>名称</w:t>
            </w:r>
          </w:p>
        </w:tc>
        <w:tc>
          <w:tcPr>
            <w:tcW w:w="5278" w:type="dxa"/>
            <w:vAlign w:val="center"/>
          </w:tcPr>
          <w:p w14:paraId="602FE06D">
            <w:pPr>
              <w:spacing w:line="360" w:lineRule="auto"/>
              <w:jc w:val="center"/>
              <w:rPr>
                <w:bCs/>
                <w:szCs w:val="21"/>
              </w:rPr>
            </w:pPr>
            <w:r>
              <w:rPr>
                <w:bCs/>
                <w:szCs w:val="21"/>
              </w:rPr>
              <w:t>与律师事务所执业许可证一致</w:t>
            </w:r>
          </w:p>
        </w:tc>
      </w:tr>
      <w:tr w14:paraId="398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8CAE04C">
            <w:pPr>
              <w:spacing w:line="360" w:lineRule="auto"/>
              <w:ind w:left="359" w:leftChars="171"/>
              <w:jc w:val="center"/>
              <w:rPr>
                <w:bCs/>
                <w:szCs w:val="21"/>
              </w:rPr>
            </w:pPr>
          </w:p>
        </w:tc>
        <w:tc>
          <w:tcPr>
            <w:tcW w:w="2757" w:type="dxa"/>
            <w:vAlign w:val="center"/>
          </w:tcPr>
          <w:p w14:paraId="2A0BA2C5">
            <w:pPr>
              <w:spacing w:line="360" w:lineRule="auto"/>
              <w:ind w:leftChars="-10" w:hanging="21" w:hangingChars="10"/>
              <w:jc w:val="center"/>
              <w:rPr>
                <w:bCs/>
                <w:szCs w:val="21"/>
              </w:rPr>
            </w:pPr>
            <w:r>
              <w:rPr>
                <w:bCs/>
                <w:szCs w:val="21"/>
              </w:rPr>
              <w:t>签字、盖章</w:t>
            </w:r>
          </w:p>
        </w:tc>
        <w:tc>
          <w:tcPr>
            <w:tcW w:w="5278" w:type="dxa"/>
            <w:vAlign w:val="center"/>
          </w:tcPr>
          <w:p w14:paraId="1B702D45">
            <w:pPr>
              <w:spacing w:line="360" w:lineRule="auto"/>
              <w:jc w:val="center"/>
              <w:rPr>
                <w:bCs/>
                <w:szCs w:val="21"/>
              </w:rPr>
            </w:pPr>
            <w:r>
              <w:rPr>
                <w:bCs/>
                <w:szCs w:val="21"/>
              </w:rPr>
              <w:t>正本和副本的封面、密封</w:t>
            </w:r>
            <w:r>
              <w:rPr>
                <w:szCs w:val="21"/>
              </w:rPr>
              <w:t>封套封口、</w:t>
            </w:r>
            <w:r>
              <w:rPr>
                <w:bCs/>
                <w:szCs w:val="21"/>
              </w:rPr>
              <w:t>正文相应处</w:t>
            </w:r>
          </w:p>
        </w:tc>
      </w:tr>
      <w:tr w14:paraId="4A63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F5C653E">
            <w:pPr>
              <w:spacing w:line="360" w:lineRule="auto"/>
              <w:ind w:left="359" w:leftChars="171"/>
              <w:jc w:val="center"/>
              <w:rPr>
                <w:bCs/>
                <w:szCs w:val="21"/>
              </w:rPr>
            </w:pPr>
          </w:p>
        </w:tc>
        <w:tc>
          <w:tcPr>
            <w:tcW w:w="2757" w:type="dxa"/>
            <w:vAlign w:val="center"/>
          </w:tcPr>
          <w:p w14:paraId="26A4D9C9">
            <w:pPr>
              <w:spacing w:line="360" w:lineRule="auto"/>
              <w:ind w:leftChars="-10" w:hanging="21" w:hangingChars="10"/>
              <w:jc w:val="center"/>
              <w:rPr>
                <w:bCs/>
                <w:szCs w:val="21"/>
              </w:rPr>
            </w:pPr>
            <w:r>
              <w:rPr>
                <w:bCs/>
                <w:szCs w:val="21"/>
              </w:rPr>
              <w:t>单位负责人身份证明、授权委托书</w:t>
            </w:r>
          </w:p>
        </w:tc>
        <w:tc>
          <w:tcPr>
            <w:tcW w:w="5278" w:type="dxa"/>
            <w:vAlign w:val="center"/>
          </w:tcPr>
          <w:p w14:paraId="1D43BAD4">
            <w:pPr>
              <w:spacing w:line="360" w:lineRule="auto"/>
              <w:jc w:val="center"/>
              <w:rPr>
                <w:bCs/>
                <w:szCs w:val="21"/>
              </w:rPr>
            </w:pPr>
            <w:r>
              <w:rPr>
                <w:bCs/>
                <w:szCs w:val="21"/>
              </w:rPr>
              <w:t>符合附件格式要求</w:t>
            </w:r>
          </w:p>
        </w:tc>
      </w:tr>
      <w:tr w14:paraId="3260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58538A61">
            <w:pPr>
              <w:spacing w:line="360" w:lineRule="auto"/>
              <w:ind w:left="359" w:leftChars="171"/>
              <w:jc w:val="center"/>
              <w:rPr>
                <w:bCs/>
                <w:szCs w:val="21"/>
              </w:rPr>
            </w:pPr>
          </w:p>
        </w:tc>
        <w:tc>
          <w:tcPr>
            <w:tcW w:w="2757" w:type="dxa"/>
            <w:vAlign w:val="center"/>
          </w:tcPr>
          <w:p w14:paraId="17F08D66">
            <w:pPr>
              <w:spacing w:line="360" w:lineRule="auto"/>
              <w:jc w:val="center"/>
              <w:rPr>
                <w:bCs/>
                <w:szCs w:val="21"/>
              </w:rPr>
            </w:pPr>
            <w:r>
              <w:rPr>
                <w:bCs/>
                <w:szCs w:val="21"/>
              </w:rPr>
              <w:t>结论</w:t>
            </w:r>
          </w:p>
        </w:tc>
        <w:tc>
          <w:tcPr>
            <w:tcW w:w="5278" w:type="dxa"/>
            <w:vAlign w:val="center"/>
          </w:tcPr>
          <w:p w14:paraId="026D3396">
            <w:pPr>
              <w:spacing w:line="360" w:lineRule="auto"/>
              <w:jc w:val="center"/>
              <w:rPr>
                <w:bCs/>
                <w:szCs w:val="21"/>
              </w:rPr>
            </w:pPr>
            <w:r>
              <w:rPr>
                <w:bCs/>
                <w:szCs w:val="21"/>
              </w:rPr>
              <w:t>“通过”或“不通过”</w:t>
            </w:r>
          </w:p>
        </w:tc>
      </w:tr>
      <w:tr w14:paraId="65A1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436A3B80">
            <w:pPr>
              <w:spacing w:line="360" w:lineRule="auto"/>
              <w:jc w:val="center"/>
              <w:rPr>
                <w:bCs/>
                <w:szCs w:val="21"/>
              </w:rPr>
            </w:pPr>
          </w:p>
          <w:p w14:paraId="5D7978FC">
            <w:pPr>
              <w:spacing w:line="360" w:lineRule="auto"/>
              <w:jc w:val="center"/>
              <w:rPr>
                <w:bCs/>
                <w:szCs w:val="21"/>
              </w:rPr>
            </w:pPr>
          </w:p>
          <w:p w14:paraId="1823536F">
            <w:pPr>
              <w:spacing w:line="360" w:lineRule="auto"/>
              <w:jc w:val="center"/>
              <w:rPr>
                <w:bCs/>
                <w:szCs w:val="21"/>
              </w:rPr>
            </w:pPr>
          </w:p>
          <w:p w14:paraId="1E4494C8">
            <w:pPr>
              <w:spacing w:line="360" w:lineRule="auto"/>
              <w:jc w:val="center"/>
              <w:rPr>
                <w:bCs/>
                <w:szCs w:val="21"/>
              </w:rPr>
            </w:pPr>
          </w:p>
          <w:p w14:paraId="480C6CC3">
            <w:pPr>
              <w:spacing w:line="360" w:lineRule="auto"/>
              <w:jc w:val="center"/>
              <w:rPr>
                <w:bCs/>
                <w:szCs w:val="21"/>
              </w:rPr>
            </w:pPr>
            <w:r>
              <w:rPr>
                <w:bCs/>
                <w:szCs w:val="21"/>
              </w:rPr>
              <w:t>资格评审标准</w:t>
            </w:r>
          </w:p>
        </w:tc>
        <w:tc>
          <w:tcPr>
            <w:tcW w:w="2757" w:type="dxa"/>
            <w:vAlign w:val="center"/>
          </w:tcPr>
          <w:p w14:paraId="1FB53FD8">
            <w:pPr>
              <w:spacing w:line="300" w:lineRule="auto"/>
              <w:jc w:val="center"/>
              <w:rPr>
                <w:bCs/>
                <w:szCs w:val="21"/>
              </w:rPr>
            </w:pPr>
            <w:r>
              <w:rPr>
                <w:szCs w:val="21"/>
              </w:rPr>
              <w:t>独立承担民事责任的能力</w:t>
            </w:r>
          </w:p>
        </w:tc>
        <w:tc>
          <w:tcPr>
            <w:tcW w:w="5278" w:type="dxa"/>
            <w:vAlign w:val="center"/>
          </w:tcPr>
          <w:p w14:paraId="075F147E">
            <w:pPr>
              <w:spacing w:line="300" w:lineRule="auto"/>
              <w:jc w:val="center"/>
              <w:rPr>
                <w:bCs/>
                <w:szCs w:val="21"/>
              </w:rPr>
            </w:pPr>
            <w:r>
              <w:rPr>
                <w:szCs w:val="21"/>
              </w:rPr>
              <w:t>律师事务所执业许可证正本复印件</w:t>
            </w:r>
          </w:p>
        </w:tc>
      </w:tr>
      <w:tr w14:paraId="6AC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0E93ACDB">
            <w:pPr>
              <w:spacing w:line="360" w:lineRule="auto"/>
              <w:ind w:left="359" w:leftChars="171"/>
              <w:rPr>
                <w:bCs/>
                <w:szCs w:val="21"/>
              </w:rPr>
            </w:pPr>
          </w:p>
        </w:tc>
        <w:tc>
          <w:tcPr>
            <w:tcW w:w="2757" w:type="dxa"/>
            <w:vAlign w:val="center"/>
          </w:tcPr>
          <w:p w14:paraId="525AF9B1">
            <w:pPr>
              <w:spacing w:line="300" w:lineRule="auto"/>
              <w:jc w:val="center"/>
              <w:rPr>
                <w:bCs/>
                <w:szCs w:val="21"/>
              </w:rPr>
            </w:pPr>
            <w:r>
              <w:rPr>
                <w:bCs/>
                <w:szCs w:val="21"/>
              </w:rPr>
              <w:t>成立3年及以上，执业律师10人及以上</w:t>
            </w:r>
          </w:p>
        </w:tc>
        <w:tc>
          <w:tcPr>
            <w:tcW w:w="5278" w:type="dxa"/>
            <w:vAlign w:val="center"/>
          </w:tcPr>
          <w:p w14:paraId="0729D49E">
            <w:pPr>
              <w:spacing w:line="300" w:lineRule="auto"/>
              <w:jc w:val="center"/>
              <w:rPr>
                <w:bCs/>
                <w:szCs w:val="21"/>
              </w:rPr>
            </w:pPr>
            <w:r>
              <w:rPr>
                <w:szCs w:val="21"/>
              </w:rPr>
              <w:t>律师事务所执业许可证副本复印件、提供律所注册执业律师人数证明</w:t>
            </w:r>
          </w:p>
        </w:tc>
      </w:tr>
      <w:tr w14:paraId="1BD5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0DF794E9">
            <w:pPr>
              <w:spacing w:line="360" w:lineRule="auto"/>
              <w:ind w:left="359" w:leftChars="171"/>
              <w:rPr>
                <w:bCs/>
                <w:szCs w:val="21"/>
              </w:rPr>
            </w:pPr>
          </w:p>
        </w:tc>
        <w:tc>
          <w:tcPr>
            <w:tcW w:w="2757" w:type="dxa"/>
            <w:vAlign w:val="center"/>
          </w:tcPr>
          <w:p w14:paraId="6E185408">
            <w:pPr>
              <w:spacing w:line="300" w:lineRule="auto"/>
              <w:jc w:val="center"/>
              <w:rPr>
                <w:bCs/>
                <w:szCs w:val="21"/>
              </w:rPr>
            </w:pPr>
            <w:r>
              <w:rPr>
                <w:bCs/>
                <w:szCs w:val="21"/>
              </w:rPr>
              <w:t>律师团队负责人，必须是执业10年以上的执业律师</w:t>
            </w:r>
          </w:p>
        </w:tc>
        <w:tc>
          <w:tcPr>
            <w:tcW w:w="5278" w:type="dxa"/>
            <w:vAlign w:val="center"/>
          </w:tcPr>
          <w:p w14:paraId="365CA93F">
            <w:pPr>
              <w:spacing w:line="300" w:lineRule="auto"/>
              <w:jc w:val="center"/>
              <w:rPr>
                <w:bCs/>
                <w:szCs w:val="21"/>
              </w:rPr>
            </w:pPr>
            <w:r>
              <w:rPr>
                <w:bCs/>
                <w:szCs w:val="21"/>
              </w:rPr>
              <w:t>提供团队负责人</w:t>
            </w:r>
            <w:r>
              <w:rPr>
                <w:szCs w:val="21"/>
              </w:rPr>
              <w:t>执业证书</w:t>
            </w:r>
          </w:p>
        </w:tc>
      </w:tr>
      <w:tr w14:paraId="1410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70D737D3">
            <w:pPr>
              <w:spacing w:line="360" w:lineRule="auto"/>
              <w:ind w:left="359" w:leftChars="171"/>
              <w:rPr>
                <w:bCs/>
                <w:szCs w:val="21"/>
              </w:rPr>
            </w:pPr>
          </w:p>
        </w:tc>
        <w:tc>
          <w:tcPr>
            <w:tcW w:w="2757" w:type="dxa"/>
            <w:vAlign w:val="center"/>
          </w:tcPr>
          <w:p w14:paraId="0B858D6C">
            <w:pPr>
              <w:spacing w:line="300" w:lineRule="auto"/>
              <w:jc w:val="center"/>
              <w:rPr>
                <w:bCs/>
                <w:szCs w:val="21"/>
              </w:rPr>
            </w:pPr>
            <w:r>
              <w:rPr>
                <w:bCs/>
                <w:szCs w:val="21"/>
              </w:rPr>
              <w:t>组成不低于3人的律师团队</w:t>
            </w:r>
          </w:p>
        </w:tc>
        <w:tc>
          <w:tcPr>
            <w:tcW w:w="5278" w:type="dxa"/>
            <w:vAlign w:val="center"/>
          </w:tcPr>
          <w:p w14:paraId="1D8F0DC7">
            <w:pPr>
              <w:spacing w:line="300" w:lineRule="auto"/>
              <w:jc w:val="center"/>
              <w:rPr>
                <w:bCs/>
                <w:szCs w:val="21"/>
              </w:rPr>
            </w:pPr>
            <w:r>
              <w:rPr>
                <w:szCs w:val="21"/>
              </w:rPr>
              <w:t>附件填写团队成员</w:t>
            </w:r>
          </w:p>
        </w:tc>
      </w:tr>
      <w:tr w14:paraId="4499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4E47BD1C">
            <w:pPr>
              <w:spacing w:line="360" w:lineRule="auto"/>
              <w:ind w:left="359" w:leftChars="171"/>
              <w:rPr>
                <w:bCs/>
                <w:szCs w:val="21"/>
              </w:rPr>
            </w:pPr>
          </w:p>
        </w:tc>
        <w:tc>
          <w:tcPr>
            <w:tcW w:w="2757" w:type="dxa"/>
            <w:vAlign w:val="center"/>
          </w:tcPr>
          <w:p w14:paraId="312EB071">
            <w:pPr>
              <w:spacing w:line="300" w:lineRule="auto"/>
              <w:jc w:val="center"/>
              <w:rPr>
                <w:bCs/>
                <w:szCs w:val="21"/>
              </w:rPr>
            </w:pPr>
            <w:r>
              <w:rPr>
                <w:bCs/>
                <w:szCs w:val="21"/>
              </w:rPr>
              <w:t>遵守宪法和法律、法规，具备较高的政治素质和良好的职业道德操守</w:t>
            </w:r>
          </w:p>
        </w:tc>
        <w:tc>
          <w:tcPr>
            <w:tcW w:w="5278" w:type="dxa"/>
            <w:vMerge w:val="restart"/>
            <w:vAlign w:val="center"/>
          </w:tcPr>
          <w:p w14:paraId="6733ADA6">
            <w:pPr>
              <w:spacing w:line="300" w:lineRule="auto"/>
              <w:jc w:val="center"/>
              <w:rPr>
                <w:szCs w:val="21"/>
              </w:rPr>
            </w:pPr>
            <w:r>
              <w:rPr>
                <w:szCs w:val="21"/>
              </w:rPr>
              <w:t>签署承诺函</w:t>
            </w:r>
          </w:p>
        </w:tc>
      </w:tr>
      <w:tr w14:paraId="071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5CB004A">
            <w:pPr>
              <w:spacing w:line="360" w:lineRule="auto"/>
              <w:ind w:left="359" w:leftChars="171"/>
              <w:rPr>
                <w:bCs/>
                <w:szCs w:val="21"/>
              </w:rPr>
            </w:pPr>
          </w:p>
        </w:tc>
        <w:tc>
          <w:tcPr>
            <w:tcW w:w="2757" w:type="dxa"/>
            <w:vAlign w:val="center"/>
          </w:tcPr>
          <w:p w14:paraId="67D6F9A3">
            <w:pPr>
              <w:spacing w:line="300" w:lineRule="auto"/>
              <w:jc w:val="center"/>
              <w:rPr>
                <w:bCs/>
                <w:szCs w:val="21"/>
              </w:rPr>
            </w:pPr>
            <w:r>
              <w:rPr>
                <w:bCs/>
                <w:szCs w:val="21"/>
              </w:rPr>
              <w:t>律所及团队成员无刑事犯罪记录，近3年内未受过纪律处分、行政处罚或行业处分</w:t>
            </w:r>
          </w:p>
        </w:tc>
        <w:tc>
          <w:tcPr>
            <w:tcW w:w="5278" w:type="dxa"/>
            <w:vMerge w:val="continue"/>
            <w:vAlign w:val="center"/>
          </w:tcPr>
          <w:p w14:paraId="3D33CB7D">
            <w:pPr>
              <w:spacing w:line="300" w:lineRule="auto"/>
              <w:jc w:val="center"/>
              <w:rPr>
                <w:szCs w:val="21"/>
              </w:rPr>
            </w:pPr>
          </w:p>
        </w:tc>
      </w:tr>
      <w:tr w14:paraId="2629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6664BF57">
            <w:pPr>
              <w:spacing w:line="360" w:lineRule="auto"/>
              <w:ind w:left="359" w:leftChars="171"/>
              <w:rPr>
                <w:bCs/>
                <w:szCs w:val="21"/>
              </w:rPr>
            </w:pPr>
          </w:p>
        </w:tc>
        <w:tc>
          <w:tcPr>
            <w:tcW w:w="2757" w:type="dxa"/>
            <w:vAlign w:val="center"/>
          </w:tcPr>
          <w:p w14:paraId="420D61A5">
            <w:pPr>
              <w:spacing w:line="360" w:lineRule="auto"/>
              <w:jc w:val="center"/>
              <w:rPr>
                <w:bCs/>
                <w:szCs w:val="21"/>
              </w:rPr>
            </w:pPr>
            <w:r>
              <w:rPr>
                <w:bCs/>
                <w:szCs w:val="21"/>
              </w:rPr>
              <w:t>联合体情况</w:t>
            </w:r>
          </w:p>
        </w:tc>
        <w:tc>
          <w:tcPr>
            <w:tcW w:w="5278" w:type="dxa"/>
            <w:vAlign w:val="center"/>
          </w:tcPr>
          <w:p w14:paraId="1667C625">
            <w:pPr>
              <w:spacing w:line="360" w:lineRule="auto"/>
              <w:jc w:val="center"/>
              <w:rPr>
                <w:bCs/>
                <w:szCs w:val="21"/>
              </w:rPr>
            </w:pPr>
            <w:r>
              <w:rPr>
                <w:bCs/>
                <w:szCs w:val="21"/>
              </w:rPr>
              <w:t>不接受联合体投标。</w:t>
            </w:r>
          </w:p>
        </w:tc>
      </w:tr>
      <w:tr w14:paraId="6002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14A4656F">
            <w:pPr>
              <w:spacing w:line="360" w:lineRule="auto"/>
              <w:ind w:left="359" w:leftChars="171"/>
              <w:rPr>
                <w:bCs/>
                <w:szCs w:val="21"/>
              </w:rPr>
            </w:pPr>
          </w:p>
        </w:tc>
        <w:tc>
          <w:tcPr>
            <w:tcW w:w="2757" w:type="dxa"/>
            <w:vAlign w:val="center"/>
          </w:tcPr>
          <w:p w14:paraId="01D412B8">
            <w:pPr>
              <w:spacing w:line="360" w:lineRule="auto"/>
              <w:jc w:val="center"/>
              <w:rPr>
                <w:bCs/>
                <w:szCs w:val="21"/>
              </w:rPr>
            </w:pPr>
            <w:r>
              <w:rPr>
                <w:bCs/>
                <w:szCs w:val="21"/>
              </w:rPr>
              <w:t>结论</w:t>
            </w:r>
          </w:p>
        </w:tc>
        <w:tc>
          <w:tcPr>
            <w:tcW w:w="5278" w:type="dxa"/>
            <w:vAlign w:val="center"/>
          </w:tcPr>
          <w:p w14:paraId="3FDEC395">
            <w:pPr>
              <w:spacing w:line="360" w:lineRule="auto"/>
              <w:jc w:val="center"/>
              <w:rPr>
                <w:bCs/>
                <w:szCs w:val="21"/>
              </w:rPr>
            </w:pPr>
            <w:r>
              <w:rPr>
                <w:bCs/>
                <w:szCs w:val="21"/>
              </w:rPr>
              <w:t>“通过”或“不通过”</w:t>
            </w:r>
          </w:p>
        </w:tc>
      </w:tr>
      <w:tr w14:paraId="69F6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47FE6CD9">
            <w:pPr>
              <w:spacing w:line="360" w:lineRule="auto"/>
              <w:jc w:val="center"/>
              <w:rPr>
                <w:bCs/>
                <w:szCs w:val="21"/>
              </w:rPr>
            </w:pPr>
            <w:r>
              <w:rPr>
                <w:bCs/>
                <w:szCs w:val="21"/>
              </w:rPr>
              <w:t>响应性评审标准</w:t>
            </w:r>
          </w:p>
        </w:tc>
        <w:tc>
          <w:tcPr>
            <w:tcW w:w="2757" w:type="dxa"/>
            <w:vAlign w:val="center"/>
          </w:tcPr>
          <w:p w14:paraId="06A29308">
            <w:pPr>
              <w:spacing w:line="360" w:lineRule="auto"/>
              <w:jc w:val="center"/>
              <w:rPr>
                <w:bCs/>
                <w:szCs w:val="21"/>
              </w:rPr>
            </w:pPr>
            <w:r>
              <w:rPr>
                <w:bCs/>
                <w:szCs w:val="21"/>
              </w:rPr>
              <w:t>报价在最高限价范围内</w:t>
            </w:r>
          </w:p>
        </w:tc>
        <w:tc>
          <w:tcPr>
            <w:tcW w:w="5278" w:type="dxa"/>
            <w:vAlign w:val="center"/>
          </w:tcPr>
          <w:p w14:paraId="25EF5759">
            <w:pPr>
              <w:spacing w:line="360" w:lineRule="auto"/>
              <w:jc w:val="center"/>
              <w:rPr>
                <w:bCs/>
                <w:szCs w:val="21"/>
              </w:rPr>
            </w:pPr>
            <w:r>
              <w:rPr>
                <w:bCs/>
                <w:szCs w:val="21"/>
              </w:rPr>
              <w:t>符合比选人限价要求</w:t>
            </w:r>
          </w:p>
        </w:tc>
      </w:tr>
      <w:tr w14:paraId="5077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3B8CAC47">
            <w:pPr>
              <w:spacing w:line="360" w:lineRule="auto"/>
              <w:ind w:left="359" w:leftChars="171"/>
              <w:rPr>
                <w:bCs/>
                <w:szCs w:val="21"/>
              </w:rPr>
            </w:pPr>
          </w:p>
        </w:tc>
        <w:tc>
          <w:tcPr>
            <w:tcW w:w="2757" w:type="dxa"/>
            <w:vAlign w:val="center"/>
          </w:tcPr>
          <w:p w14:paraId="1EB9F97C">
            <w:pPr>
              <w:spacing w:line="360" w:lineRule="auto"/>
              <w:jc w:val="center"/>
              <w:rPr>
                <w:bCs/>
                <w:szCs w:val="21"/>
              </w:rPr>
            </w:pPr>
            <w:r>
              <w:rPr>
                <w:bCs/>
                <w:szCs w:val="21"/>
              </w:rPr>
              <w:t>结论</w:t>
            </w:r>
          </w:p>
        </w:tc>
        <w:tc>
          <w:tcPr>
            <w:tcW w:w="5278" w:type="dxa"/>
            <w:vAlign w:val="center"/>
          </w:tcPr>
          <w:p w14:paraId="5FA4CDC8">
            <w:pPr>
              <w:spacing w:line="360" w:lineRule="auto"/>
              <w:jc w:val="center"/>
              <w:rPr>
                <w:bCs/>
                <w:szCs w:val="21"/>
              </w:rPr>
            </w:pPr>
            <w:r>
              <w:rPr>
                <w:bCs/>
                <w:szCs w:val="21"/>
              </w:rPr>
              <w:t>“通过”或“不通过”</w:t>
            </w:r>
          </w:p>
        </w:tc>
      </w:tr>
    </w:tbl>
    <w:p w14:paraId="0CC30B5D">
      <w:pPr>
        <w:spacing w:line="560" w:lineRule="exact"/>
        <w:ind w:firstLine="640" w:firstLineChars="200"/>
        <w:jc w:val="left"/>
        <w:rPr>
          <w:rFonts w:eastAsia="黑体"/>
          <w:sz w:val="32"/>
          <w:szCs w:val="32"/>
        </w:rPr>
      </w:pPr>
      <w:r>
        <w:rPr>
          <w:rFonts w:eastAsia="黑体"/>
          <w:sz w:val="32"/>
          <w:szCs w:val="32"/>
        </w:rPr>
        <w:t>四、评审程序</w:t>
      </w:r>
    </w:p>
    <w:p w14:paraId="31979B38">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（一）评审委员会对比选申请人的数量、响应性文件的密封性等进行形式审查，确认无误后启封响应性文件；</w:t>
      </w:r>
    </w:p>
    <w:p w14:paraId="202A822C">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（二）评审委员会对比选申请人进行资格审查；</w:t>
      </w:r>
    </w:p>
    <w:p w14:paraId="19D088C2">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（三）评审委员会按照比选申请人提交响应性文件的</w:t>
      </w:r>
      <w:r>
        <w:rPr>
          <w:rFonts w:hint="eastAsia" w:eastAsia="仿宋_GB2312"/>
          <w:bCs/>
          <w:sz w:val="32"/>
          <w:szCs w:val="32"/>
        </w:rPr>
        <w:t>先后</w:t>
      </w:r>
      <w:r>
        <w:rPr>
          <w:rFonts w:eastAsia="仿宋_GB2312"/>
          <w:bCs/>
          <w:sz w:val="32"/>
          <w:szCs w:val="32"/>
        </w:rPr>
        <w:t>顺序与比选申请人逐一进行谈判，期间比选申请人</w:t>
      </w:r>
      <w:r>
        <w:rPr>
          <w:rFonts w:hint="eastAsia" w:eastAsia="仿宋_GB2312"/>
          <w:bCs/>
          <w:sz w:val="32"/>
          <w:szCs w:val="32"/>
        </w:rPr>
        <w:t>可</w:t>
      </w:r>
      <w:r>
        <w:rPr>
          <w:rFonts w:eastAsia="仿宋_GB2312"/>
          <w:bCs/>
          <w:sz w:val="32"/>
          <w:szCs w:val="32"/>
        </w:rPr>
        <w:t>进行二次报价；</w:t>
      </w:r>
    </w:p>
    <w:p w14:paraId="701B4BD9">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（四）评审委员会根据评分标准评审并打分；</w:t>
      </w:r>
    </w:p>
    <w:p w14:paraId="6239A7B6">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（五）工作人员对各比选申请人得分情况进行统计；</w:t>
      </w:r>
    </w:p>
    <w:p w14:paraId="58E3CFE6">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评审委员会对所有比选申请人的综合得分从高到低进行排序，根据评分排名推荐1-3名作为中标候选人。</w:t>
      </w:r>
    </w:p>
    <w:p w14:paraId="36ABA224">
      <w:pPr>
        <w:autoSpaceDE w:val="0"/>
        <w:autoSpaceDN w:val="0"/>
        <w:adjustRightInd w:val="0"/>
        <w:spacing w:line="520" w:lineRule="exact"/>
        <w:ind w:firstLine="640" w:firstLineChars="200"/>
        <w:contextualSpacing/>
        <w:outlineLvl w:val="0"/>
        <w:rPr>
          <w:rFonts w:eastAsia="仿宋_GB2312"/>
          <w:bCs/>
          <w:sz w:val="32"/>
          <w:szCs w:val="32"/>
        </w:rPr>
      </w:pPr>
      <w:r>
        <w:rPr>
          <w:rFonts w:hint="eastAsia" w:eastAsia="仿宋_GB2312" w:cs="Times New Roman"/>
          <w:bCs/>
          <w:color w:val="auto"/>
          <w:kern w:val="2"/>
          <w:sz w:val="32"/>
          <w:szCs w:val="32"/>
          <w:shd w:val="clear" w:color="auto" w:fill="auto"/>
          <w:lang w:val="en-US" w:eastAsia="zh-CN" w:bidi="ar-SA"/>
        </w:rPr>
        <w:t>本次评审采用综合评分法，</w:t>
      </w:r>
      <w:r>
        <w:rPr>
          <w:rFonts w:eastAsia="仿宋_GB2312"/>
          <w:bCs/>
          <w:sz w:val="32"/>
          <w:szCs w:val="32"/>
        </w:rPr>
        <w:t>具体评审标准详见如下《评分标准表》</w:t>
      </w:r>
    </w:p>
    <w:tbl>
      <w:tblPr>
        <w:tblStyle w:val="8"/>
        <w:tblW w:w="885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1"/>
        <w:gridCol w:w="2395"/>
        <w:gridCol w:w="2179"/>
        <w:gridCol w:w="855"/>
        <w:gridCol w:w="825"/>
        <w:gridCol w:w="734"/>
      </w:tblGrid>
      <w:tr w14:paraId="0864A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871" w:type="dxa"/>
            <w:vAlign w:val="center"/>
          </w:tcPr>
          <w:p w14:paraId="71781505">
            <w:pPr>
              <w:spacing w:line="520" w:lineRule="exact"/>
              <w:jc w:val="center"/>
              <w:rPr>
                <w:rFonts w:eastAsiaTheme="minorEastAsia"/>
                <w:b/>
                <w:sz w:val="24"/>
              </w:rPr>
            </w:pPr>
            <w:r>
              <w:rPr>
                <w:rFonts w:eastAsiaTheme="minorEastAsia"/>
                <w:b/>
                <w:sz w:val="24"/>
              </w:rPr>
              <w:t>评分项目</w:t>
            </w:r>
          </w:p>
        </w:tc>
        <w:tc>
          <w:tcPr>
            <w:tcW w:w="4574" w:type="dxa"/>
            <w:gridSpan w:val="2"/>
            <w:tcBorders>
              <w:right w:val="single" w:color="auto" w:sz="4" w:space="0"/>
            </w:tcBorders>
            <w:vAlign w:val="center"/>
          </w:tcPr>
          <w:p w14:paraId="26CB47C5">
            <w:pPr>
              <w:spacing w:line="520" w:lineRule="exact"/>
              <w:jc w:val="center"/>
              <w:rPr>
                <w:rFonts w:eastAsiaTheme="minorEastAsia"/>
                <w:b/>
                <w:sz w:val="24"/>
              </w:rPr>
            </w:pPr>
            <w:r>
              <w:rPr>
                <w:rFonts w:eastAsiaTheme="minorEastAsia"/>
                <w:b/>
                <w:sz w:val="24"/>
              </w:rPr>
              <w:t>具体类别</w:t>
            </w:r>
          </w:p>
        </w:tc>
        <w:tc>
          <w:tcPr>
            <w:tcW w:w="855" w:type="dxa"/>
            <w:tcBorders>
              <w:left w:val="single" w:color="auto" w:sz="4" w:space="0"/>
            </w:tcBorders>
            <w:vAlign w:val="center"/>
          </w:tcPr>
          <w:p w14:paraId="5F8D1A38">
            <w:pPr>
              <w:spacing w:line="520" w:lineRule="exact"/>
              <w:jc w:val="center"/>
              <w:rPr>
                <w:rFonts w:eastAsiaTheme="minorEastAsia"/>
                <w:b/>
                <w:sz w:val="24"/>
              </w:rPr>
            </w:pPr>
            <w:r>
              <w:rPr>
                <w:rFonts w:eastAsiaTheme="minorEastAsia"/>
                <w:b/>
                <w:sz w:val="24"/>
              </w:rPr>
              <w:t>分值</w:t>
            </w:r>
          </w:p>
        </w:tc>
        <w:tc>
          <w:tcPr>
            <w:tcW w:w="825" w:type="dxa"/>
            <w:vAlign w:val="center"/>
          </w:tcPr>
          <w:p w14:paraId="4333C563">
            <w:pPr>
              <w:spacing w:line="520" w:lineRule="exact"/>
              <w:jc w:val="center"/>
              <w:rPr>
                <w:rFonts w:eastAsiaTheme="minorEastAsia"/>
                <w:b/>
                <w:sz w:val="24"/>
              </w:rPr>
            </w:pPr>
            <w:r>
              <w:rPr>
                <w:rFonts w:eastAsiaTheme="minorEastAsia"/>
                <w:b/>
                <w:sz w:val="24"/>
              </w:rPr>
              <w:t>得分</w:t>
            </w:r>
          </w:p>
        </w:tc>
        <w:tc>
          <w:tcPr>
            <w:tcW w:w="734" w:type="dxa"/>
            <w:vAlign w:val="center"/>
          </w:tcPr>
          <w:p w14:paraId="34284826">
            <w:pPr>
              <w:spacing w:line="520" w:lineRule="exact"/>
              <w:jc w:val="center"/>
              <w:rPr>
                <w:rFonts w:eastAsiaTheme="minorEastAsia"/>
                <w:b/>
                <w:sz w:val="24"/>
              </w:rPr>
            </w:pPr>
            <w:r>
              <w:rPr>
                <w:rFonts w:eastAsiaTheme="minorEastAsia"/>
                <w:b/>
                <w:sz w:val="24"/>
              </w:rPr>
              <w:t>备注</w:t>
            </w:r>
          </w:p>
        </w:tc>
      </w:tr>
      <w:tr w14:paraId="7F374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871" w:type="dxa"/>
            <w:vMerge w:val="restart"/>
            <w:vAlign w:val="center"/>
          </w:tcPr>
          <w:p w14:paraId="5B5EDD62">
            <w:pPr>
              <w:numPr>
                <w:ilvl w:val="0"/>
                <w:numId w:val="0"/>
              </w:numPr>
              <w:spacing w:line="520" w:lineRule="exact"/>
              <w:jc w:val="center"/>
              <w:rPr>
                <w:rFonts w:eastAsiaTheme="minorEastAsia"/>
                <w:b/>
                <w:bCs/>
                <w:sz w:val="24"/>
                <w:highlight w:val="none"/>
              </w:rPr>
            </w:pPr>
            <w:r>
              <w:rPr>
                <w:rFonts w:eastAsiaTheme="minorEastAsia"/>
                <w:b/>
                <w:bCs/>
                <w:sz w:val="24"/>
                <w:highlight w:val="none"/>
              </w:rPr>
              <w:t>比选申请人</w:t>
            </w:r>
          </w:p>
          <w:p w14:paraId="25301798">
            <w:pPr>
              <w:numPr>
                <w:ilvl w:val="0"/>
                <w:numId w:val="0"/>
              </w:numPr>
              <w:spacing w:line="520" w:lineRule="exact"/>
              <w:jc w:val="center"/>
              <w:rPr>
                <w:rFonts w:eastAsiaTheme="minorEastAsia"/>
                <w:b/>
                <w:bCs/>
                <w:sz w:val="24"/>
                <w:highlight w:val="none"/>
              </w:rPr>
            </w:pPr>
            <w:r>
              <w:rPr>
                <w:rFonts w:eastAsiaTheme="minorEastAsia"/>
                <w:b/>
                <w:bCs/>
                <w:sz w:val="24"/>
                <w:highlight w:val="none"/>
              </w:rPr>
              <w:t>情况</w:t>
            </w:r>
          </w:p>
          <w:p w14:paraId="26038170">
            <w:pPr>
              <w:spacing w:line="520" w:lineRule="exact"/>
              <w:jc w:val="center"/>
            </w:pPr>
            <w:r>
              <w:rPr>
                <w:rFonts w:eastAsiaTheme="minorEastAsia"/>
                <w:b/>
                <w:bCs/>
                <w:sz w:val="24"/>
                <w:highlight w:val="none"/>
              </w:rPr>
              <w:t>（共10分）</w:t>
            </w:r>
          </w:p>
        </w:tc>
        <w:tc>
          <w:tcPr>
            <w:tcW w:w="4574" w:type="dxa"/>
            <w:gridSpan w:val="2"/>
            <w:tcBorders>
              <w:right w:val="single" w:color="auto" w:sz="4" w:space="0"/>
            </w:tcBorders>
            <w:vAlign w:val="center"/>
          </w:tcPr>
          <w:p w14:paraId="2F87CACF">
            <w:pPr>
              <w:spacing w:line="520" w:lineRule="exact"/>
              <w:jc w:val="left"/>
              <w:rPr>
                <w:rFonts w:eastAsiaTheme="minorEastAsia"/>
                <w:bCs/>
                <w:sz w:val="24"/>
              </w:rPr>
            </w:pPr>
            <w:r>
              <w:rPr>
                <w:rFonts w:eastAsiaTheme="minorEastAsia"/>
                <w:b/>
                <w:sz w:val="24"/>
              </w:rPr>
              <w:t>1.成立时间：</w:t>
            </w:r>
            <w:r>
              <w:rPr>
                <w:rFonts w:eastAsiaTheme="minorEastAsia"/>
                <w:bCs/>
                <w:sz w:val="24"/>
              </w:rPr>
              <w:t>10年以上得</w:t>
            </w:r>
            <w:r>
              <w:rPr>
                <w:rFonts w:hint="eastAsia" w:eastAsiaTheme="minorEastAsia"/>
                <w:bCs/>
                <w:sz w:val="24"/>
              </w:rPr>
              <w:t>3</w:t>
            </w:r>
            <w:r>
              <w:rPr>
                <w:rFonts w:eastAsiaTheme="minorEastAsia"/>
                <w:bCs/>
                <w:sz w:val="24"/>
              </w:rPr>
              <w:t>分；5年以上不足10年得</w:t>
            </w:r>
            <w:r>
              <w:rPr>
                <w:rFonts w:hint="eastAsia" w:eastAsiaTheme="minorEastAsia"/>
                <w:bCs/>
                <w:sz w:val="24"/>
              </w:rPr>
              <w:t>2</w:t>
            </w:r>
            <w:r>
              <w:rPr>
                <w:rFonts w:eastAsiaTheme="minorEastAsia"/>
                <w:bCs/>
                <w:sz w:val="24"/>
              </w:rPr>
              <w:t>分；3年以上不足5年得1分。</w:t>
            </w:r>
          </w:p>
          <w:p w14:paraId="31FA8470">
            <w:pPr>
              <w:spacing w:line="520" w:lineRule="exact"/>
              <w:jc w:val="left"/>
              <w:rPr>
                <w:rFonts w:eastAsiaTheme="minorEastAsia"/>
                <w:sz w:val="24"/>
              </w:rPr>
            </w:pPr>
            <w:r>
              <w:rPr>
                <w:rFonts w:hint="eastAsia" w:cs="Times New Roman" w:eastAsiaTheme="minorEastAsia"/>
                <w:bCs/>
                <w:color w:val="auto"/>
                <w:sz w:val="24"/>
                <w:szCs w:val="24"/>
                <w:lang w:eastAsia="zh-CN"/>
              </w:rPr>
              <w:t>（提供律师事务所执业许可证</w:t>
            </w:r>
            <w:r>
              <w:rPr>
                <w:rFonts w:hint="eastAsia" w:cs="Times New Roman" w:eastAsiaTheme="minorEastAsia"/>
                <w:bCs/>
                <w:color w:val="auto"/>
                <w:sz w:val="24"/>
                <w:szCs w:val="24"/>
                <w:lang w:val="en-US" w:eastAsia="zh-CN"/>
              </w:rPr>
              <w:t>正、</w:t>
            </w:r>
            <w:r>
              <w:rPr>
                <w:rFonts w:hint="eastAsia" w:cs="Times New Roman" w:eastAsiaTheme="minorEastAsia"/>
                <w:bCs/>
                <w:color w:val="auto"/>
                <w:sz w:val="24"/>
                <w:szCs w:val="24"/>
                <w:lang w:eastAsia="zh-CN"/>
              </w:rPr>
              <w:t>副本复印件）。</w:t>
            </w:r>
          </w:p>
        </w:tc>
        <w:tc>
          <w:tcPr>
            <w:tcW w:w="855" w:type="dxa"/>
            <w:tcBorders>
              <w:left w:val="single" w:color="auto" w:sz="4" w:space="0"/>
            </w:tcBorders>
            <w:vAlign w:val="center"/>
          </w:tcPr>
          <w:p w14:paraId="4760D88C">
            <w:pPr>
              <w:spacing w:line="520" w:lineRule="exact"/>
              <w:jc w:val="center"/>
              <w:rPr>
                <w:rFonts w:eastAsiaTheme="minorEastAsia"/>
                <w:sz w:val="24"/>
              </w:rPr>
            </w:pPr>
            <w:r>
              <w:rPr>
                <w:rFonts w:hint="eastAsia" w:eastAsiaTheme="minorEastAsia"/>
                <w:sz w:val="24"/>
              </w:rPr>
              <w:t>3</w:t>
            </w:r>
            <w:r>
              <w:rPr>
                <w:rFonts w:eastAsiaTheme="minorEastAsia"/>
                <w:sz w:val="24"/>
              </w:rPr>
              <w:t>分</w:t>
            </w:r>
          </w:p>
        </w:tc>
        <w:tc>
          <w:tcPr>
            <w:tcW w:w="825" w:type="dxa"/>
            <w:vAlign w:val="center"/>
          </w:tcPr>
          <w:p w14:paraId="69604B7F">
            <w:pPr>
              <w:spacing w:line="520" w:lineRule="exact"/>
              <w:jc w:val="center"/>
              <w:rPr>
                <w:rFonts w:eastAsiaTheme="minorEastAsia"/>
                <w:sz w:val="24"/>
              </w:rPr>
            </w:pPr>
          </w:p>
        </w:tc>
        <w:tc>
          <w:tcPr>
            <w:tcW w:w="734" w:type="dxa"/>
            <w:vAlign w:val="center"/>
          </w:tcPr>
          <w:p w14:paraId="2E3D42C5">
            <w:pPr>
              <w:spacing w:line="520" w:lineRule="exact"/>
              <w:jc w:val="center"/>
              <w:rPr>
                <w:rFonts w:eastAsiaTheme="minorEastAsia"/>
                <w:sz w:val="24"/>
              </w:rPr>
            </w:pPr>
          </w:p>
        </w:tc>
      </w:tr>
      <w:tr w14:paraId="45BEA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jc w:val="center"/>
        </w:trPr>
        <w:tc>
          <w:tcPr>
            <w:tcW w:w="1871" w:type="dxa"/>
            <w:vMerge w:val="continue"/>
            <w:vAlign w:val="center"/>
          </w:tcPr>
          <w:p w14:paraId="07BE8FDB">
            <w:pPr>
              <w:spacing w:line="520" w:lineRule="exact"/>
              <w:jc w:val="center"/>
              <w:rPr>
                <w:rFonts w:eastAsiaTheme="minorEastAsia"/>
                <w:b/>
                <w:sz w:val="24"/>
              </w:rPr>
            </w:pPr>
          </w:p>
        </w:tc>
        <w:tc>
          <w:tcPr>
            <w:tcW w:w="4574" w:type="dxa"/>
            <w:gridSpan w:val="2"/>
            <w:tcBorders>
              <w:right w:val="single" w:color="auto" w:sz="4" w:space="0"/>
            </w:tcBorders>
            <w:vAlign w:val="center"/>
          </w:tcPr>
          <w:p w14:paraId="2383B180">
            <w:pPr>
              <w:spacing w:line="520" w:lineRule="exact"/>
              <w:jc w:val="left"/>
              <w:rPr>
                <w:rFonts w:hint="eastAsia" w:eastAsiaTheme="minorEastAsia"/>
                <w:bCs/>
                <w:sz w:val="24"/>
              </w:rPr>
            </w:pPr>
            <w:r>
              <w:rPr>
                <w:rFonts w:hint="eastAsia" w:eastAsiaTheme="minorEastAsia"/>
                <w:b/>
                <w:sz w:val="24"/>
              </w:rPr>
              <w:t>2</w:t>
            </w:r>
            <w:r>
              <w:rPr>
                <w:rFonts w:eastAsiaTheme="minorEastAsia"/>
                <w:b/>
                <w:sz w:val="24"/>
              </w:rPr>
              <w:t>.事务所近3年</w:t>
            </w:r>
            <w:r>
              <w:rPr>
                <w:rFonts w:hint="eastAsia" w:eastAsiaTheme="minorEastAsia"/>
                <w:b/>
                <w:bCs/>
                <w:sz w:val="24"/>
              </w:rPr>
              <w:t>的相关</w:t>
            </w:r>
            <w:r>
              <w:rPr>
                <w:rFonts w:eastAsiaTheme="minorEastAsia"/>
                <w:b/>
                <w:bCs/>
                <w:sz w:val="24"/>
              </w:rPr>
              <w:t>业绩</w:t>
            </w:r>
            <w:r>
              <w:rPr>
                <w:rFonts w:eastAsiaTheme="minorEastAsia"/>
                <w:b/>
                <w:sz w:val="24"/>
              </w:rPr>
              <w:t>：</w:t>
            </w:r>
            <w:r>
              <w:rPr>
                <w:rFonts w:hint="eastAsia" w:eastAsiaTheme="minorEastAsia"/>
                <w:bCs/>
                <w:sz w:val="24"/>
              </w:rPr>
              <w:t>近3年(2023-2025年)取得胜诉判决或裁决书的案件标的额2000万以上得4分，1000万至2000万得3分，1000万以下得2分。</w:t>
            </w:r>
          </w:p>
          <w:p w14:paraId="4F2F83C3">
            <w:pPr>
              <w:spacing w:line="520" w:lineRule="exact"/>
              <w:jc w:val="left"/>
              <w:rPr>
                <w:rFonts w:eastAsiaTheme="minorEastAsia"/>
                <w:b/>
                <w:sz w:val="24"/>
                <w:highlight w:val="yellow"/>
              </w:rPr>
            </w:pPr>
            <w:r>
              <w:rPr>
                <w:rFonts w:eastAsiaTheme="minorEastAsia"/>
                <w:spacing w:val="-8"/>
                <w:sz w:val="24"/>
              </w:rPr>
              <w:t>（</w:t>
            </w:r>
            <w:r>
              <w:rPr>
                <w:rFonts w:hint="eastAsia" w:eastAsiaTheme="minorEastAsia"/>
                <w:spacing w:val="-8"/>
                <w:sz w:val="24"/>
                <w:lang w:val="en-US" w:eastAsia="zh-CN"/>
              </w:rPr>
              <w:t>需</w:t>
            </w:r>
            <w:r>
              <w:rPr>
                <w:rFonts w:eastAsiaTheme="minorEastAsia"/>
                <w:spacing w:val="-8"/>
                <w:sz w:val="24"/>
              </w:rPr>
              <w:t>提供委托合同、裁判文书等证明材料）</w:t>
            </w:r>
            <w:r>
              <w:rPr>
                <w:rFonts w:hint="eastAsia" w:eastAsiaTheme="minorEastAsia"/>
                <w:spacing w:val="-8"/>
                <w:sz w:val="24"/>
                <w:lang w:eastAsia="zh-CN"/>
              </w:rPr>
              <w:t>。</w:t>
            </w:r>
          </w:p>
        </w:tc>
        <w:tc>
          <w:tcPr>
            <w:tcW w:w="855" w:type="dxa"/>
            <w:tcBorders>
              <w:left w:val="single" w:color="auto" w:sz="4" w:space="0"/>
            </w:tcBorders>
            <w:vAlign w:val="center"/>
          </w:tcPr>
          <w:p w14:paraId="321C3C38">
            <w:pPr>
              <w:spacing w:line="520" w:lineRule="exact"/>
              <w:jc w:val="center"/>
              <w:rPr>
                <w:rFonts w:eastAsiaTheme="minorEastAsia"/>
                <w:sz w:val="24"/>
              </w:rPr>
            </w:pPr>
            <w:r>
              <w:rPr>
                <w:rFonts w:hint="eastAsia" w:eastAsiaTheme="minorEastAsia"/>
                <w:sz w:val="24"/>
              </w:rPr>
              <w:t>4</w:t>
            </w:r>
            <w:r>
              <w:rPr>
                <w:rFonts w:eastAsiaTheme="minorEastAsia"/>
                <w:sz w:val="24"/>
              </w:rPr>
              <w:t>分</w:t>
            </w:r>
          </w:p>
        </w:tc>
        <w:tc>
          <w:tcPr>
            <w:tcW w:w="825" w:type="dxa"/>
            <w:vAlign w:val="center"/>
          </w:tcPr>
          <w:p w14:paraId="003EF342">
            <w:pPr>
              <w:spacing w:line="520" w:lineRule="exact"/>
              <w:jc w:val="center"/>
              <w:rPr>
                <w:rFonts w:eastAsiaTheme="minorEastAsia"/>
                <w:sz w:val="24"/>
              </w:rPr>
            </w:pPr>
          </w:p>
        </w:tc>
        <w:tc>
          <w:tcPr>
            <w:tcW w:w="734" w:type="dxa"/>
            <w:vAlign w:val="center"/>
          </w:tcPr>
          <w:p w14:paraId="0A06E653">
            <w:pPr>
              <w:spacing w:line="520" w:lineRule="exact"/>
              <w:jc w:val="center"/>
              <w:rPr>
                <w:rFonts w:eastAsiaTheme="minorEastAsia"/>
                <w:sz w:val="24"/>
              </w:rPr>
            </w:pPr>
          </w:p>
        </w:tc>
      </w:tr>
      <w:tr w14:paraId="63BD3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5" w:hRule="atLeast"/>
          <w:jc w:val="center"/>
        </w:trPr>
        <w:tc>
          <w:tcPr>
            <w:tcW w:w="1871" w:type="dxa"/>
            <w:vMerge w:val="continue"/>
            <w:vAlign w:val="center"/>
          </w:tcPr>
          <w:p w14:paraId="3EE256D9">
            <w:pPr>
              <w:spacing w:line="520" w:lineRule="exact"/>
              <w:jc w:val="center"/>
              <w:rPr>
                <w:rFonts w:eastAsiaTheme="minorEastAsia"/>
                <w:b/>
                <w:sz w:val="24"/>
              </w:rPr>
            </w:pPr>
          </w:p>
        </w:tc>
        <w:tc>
          <w:tcPr>
            <w:tcW w:w="4574" w:type="dxa"/>
            <w:gridSpan w:val="2"/>
            <w:tcBorders>
              <w:right w:val="single" w:color="auto" w:sz="4" w:space="0"/>
            </w:tcBorders>
            <w:vAlign w:val="center"/>
          </w:tcPr>
          <w:p w14:paraId="19CEBA21">
            <w:pPr>
              <w:spacing w:line="520" w:lineRule="exact"/>
              <w:jc w:val="left"/>
              <w:rPr>
                <w:rFonts w:eastAsiaTheme="minorEastAsia"/>
                <w:bCs/>
                <w:sz w:val="24"/>
              </w:rPr>
            </w:pPr>
            <w:r>
              <w:rPr>
                <w:rFonts w:eastAsiaTheme="minorEastAsia"/>
                <w:b/>
                <w:sz w:val="24"/>
              </w:rPr>
              <w:t>3.荣誉：</w:t>
            </w:r>
            <w:r>
              <w:rPr>
                <w:rFonts w:eastAsiaTheme="minorEastAsia"/>
                <w:bCs/>
                <w:sz w:val="24"/>
              </w:rPr>
              <w:t>获省部级以上荣誉得3分；其他荣誉得1分；无荣誉不得分。</w:t>
            </w:r>
          </w:p>
          <w:p w14:paraId="566339FA">
            <w:pPr>
              <w:spacing w:line="520" w:lineRule="exact"/>
              <w:jc w:val="left"/>
              <w:rPr>
                <w:rFonts w:eastAsiaTheme="minorEastAsia"/>
                <w:b/>
                <w:sz w:val="24"/>
              </w:rPr>
            </w:pPr>
            <w:r>
              <w:rPr>
                <w:rFonts w:hint="eastAsia" w:eastAsiaTheme="minorEastAsia"/>
                <w:bCs/>
                <w:sz w:val="24"/>
                <w:lang w:eastAsia="zh-CN"/>
              </w:rPr>
              <w:t>（</w:t>
            </w:r>
            <w:r>
              <w:rPr>
                <w:rFonts w:hint="eastAsia" w:eastAsiaTheme="minorEastAsia"/>
                <w:bCs/>
                <w:sz w:val="24"/>
                <w:lang w:val="en-US" w:eastAsia="zh-CN"/>
              </w:rPr>
              <w:t>提供</w:t>
            </w:r>
            <w:r>
              <w:rPr>
                <w:rFonts w:eastAsiaTheme="minorEastAsia"/>
                <w:bCs/>
                <w:sz w:val="24"/>
              </w:rPr>
              <w:t>荣誉证书</w:t>
            </w:r>
            <w:r>
              <w:rPr>
                <w:rFonts w:hint="eastAsia" w:eastAsiaTheme="minorEastAsia"/>
                <w:bCs/>
                <w:sz w:val="24"/>
                <w:lang w:val="en-US" w:eastAsia="zh-CN"/>
              </w:rPr>
              <w:t>或</w:t>
            </w:r>
            <w:r>
              <w:rPr>
                <w:rFonts w:eastAsiaTheme="minorEastAsia"/>
                <w:bCs/>
                <w:sz w:val="24"/>
              </w:rPr>
              <w:t>官方表彰文件</w:t>
            </w:r>
            <w:r>
              <w:rPr>
                <w:rFonts w:hint="eastAsia" w:eastAsiaTheme="minorEastAsia"/>
                <w:bCs/>
                <w:sz w:val="24"/>
                <w:lang w:eastAsia="zh-CN"/>
              </w:rPr>
              <w:t>）。</w:t>
            </w:r>
          </w:p>
        </w:tc>
        <w:tc>
          <w:tcPr>
            <w:tcW w:w="855" w:type="dxa"/>
            <w:tcBorders>
              <w:left w:val="single" w:color="auto" w:sz="4" w:space="0"/>
            </w:tcBorders>
            <w:vAlign w:val="center"/>
          </w:tcPr>
          <w:p w14:paraId="5AEE76F7">
            <w:pPr>
              <w:spacing w:line="520" w:lineRule="exact"/>
              <w:jc w:val="center"/>
              <w:rPr>
                <w:rFonts w:eastAsiaTheme="minorEastAsia"/>
                <w:sz w:val="24"/>
              </w:rPr>
            </w:pPr>
            <w:r>
              <w:rPr>
                <w:rFonts w:eastAsiaTheme="minorEastAsia"/>
                <w:sz w:val="24"/>
              </w:rPr>
              <w:t>3分</w:t>
            </w:r>
          </w:p>
        </w:tc>
        <w:tc>
          <w:tcPr>
            <w:tcW w:w="825" w:type="dxa"/>
            <w:vAlign w:val="center"/>
          </w:tcPr>
          <w:p w14:paraId="0956BCC6">
            <w:pPr>
              <w:spacing w:line="520" w:lineRule="exact"/>
              <w:jc w:val="center"/>
              <w:rPr>
                <w:rFonts w:eastAsiaTheme="minorEastAsia"/>
                <w:sz w:val="24"/>
              </w:rPr>
            </w:pPr>
          </w:p>
        </w:tc>
        <w:tc>
          <w:tcPr>
            <w:tcW w:w="734" w:type="dxa"/>
            <w:vAlign w:val="center"/>
          </w:tcPr>
          <w:p w14:paraId="5F949FA4">
            <w:pPr>
              <w:spacing w:line="520" w:lineRule="exact"/>
              <w:jc w:val="center"/>
              <w:rPr>
                <w:rFonts w:eastAsiaTheme="minorEastAsia"/>
                <w:sz w:val="24"/>
              </w:rPr>
            </w:pPr>
          </w:p>
        </w:tc>
      </w:tr>
      <w:tr w14:paraId="43468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jc w:val="center"/>
        </w:trPr>
        <w:tc>
          <w:tcPr>
            <w:tcW w:w="1871" w:type="dxa"/>
            <w:vMerge w:val="restart"/>
            <w:vAlign w:val="center"/>
          </w:tcPr>
          <w:p w14:paraId="288DE033">
            <w:pPr>
              <w:spacing w:line="520" w:lineRule="exact"/>
              <w:jc w:val="center"/>
              <w:rPr>
                <w:rFonts w:hint="eastAsia" w:eastAsiaTheme="minorEastAsia"/>
                <w:b/>
                <w:sz w:val="24"/>
                <w:lang w:eastAsia="zh-CN"/>
              </w:rPr>
            </w:pPr>
            <w:r>
              <w:rPr>
                <w:rFonts w:eastAsiaTheme="minorEastAsia"/>
                <w:b/>
                <w:sz w:val="24"/>
              </w:rPr>
              <w:t>服务团队</w:t>
            </w:r>
          </w:p>
          <w:p w14:paraId="1DD7A382">
            <w:pPr>
              <w:spacing w:line="520" w:lineRule="exact"/>
              <w:jc w:val="center"/>
              <w:rPr>
                <w:rFonts w:eastAsiaTheme="minorEastAsia"/>
                <w:b/>
                <w:sz w:val="24"/>
              </w:rPr>
            </w:pPr>
            <w:r>
              <w:rPr>
                <w:rFonts w:eastAsiaTheme="minorEastAsia"/>
                <w:b/>
                <w:sz w:val="24"/>
              </w:rPr>
              <w:t>人员配备</w:t>
            </w:r>
          </w:p>
          <w:p w14:paraId="5C32F984">
            <w:pPr>
              <w:spacing w:line="520" w:lineRule="exact"/>
              <w:ind w:firstLine="241" w:firstLineChars="100"/>
              <w:jc w:val="center"/>
              <w:rPr>
                <w:rFonts w:eastAsiaTheme="minorEastAsia"/>
                <w:sz w:val="24"/>
              </w:rPr>
            </w:pPr>
            <w:r>
              <w:rPr>
                <w:rFonts w:eastAsiaTheme="minorEastAsia"/>
                <w:b/>
                <w:sz w:val="24"/>
              </w:rPr>
              <w:t>（共10分）</w:t>
            </w:r>
          </w:p>
        </w:tc>
        <w:tc>
          <w:tcPr>
            <w:tcW w:w="4574" w:type="dxa"/>
            <w:gridSpan w:val="2"/>
            <w:tcBorders>
              <w:bottom w:val="single" w:color="auto" w:sz="4" w:space="0"/>
              <w:right w:val="single" w:color="auto" w:sz="4" w:space="0"/>
            </w:tcBorders>
            <w:vAlign w:val="center"/>
          </w:tcPr>
          <w:p w14:paraId="1D2FC4EF">
            <w:pPr>
              <w:spacing w:line="520" w:lineRule="exact"/>
              <w:jc w:val="left"/>
              <w:rPr>
                <w:rFonts w:eastAsiaTheme="minorEastAsia"/>
                <w:bCs/>
                <w:sz w:val="24"/>
              </w:rPr>
            </w:pPr>
            <w:r>
              <w:rPr>
                <w:rFonts w:hint="eastAsia" w:eastAsiaTheme="minorEastAsia"/>
                <w:b/>
                <w:sz w:val="24"/>
              </w:rPr>
              <w:t>4.</w:t>
            </w:r>
            <w:r>
              <w:rPr>
                <w:rFonts w:eastAsiaTheme="minorEastAsia"/>
                <w:bCs/>
                <w:sz w:val="24"/>
              </w:rPr>
              <w:t>团队负责人获省部级以上荣誉得5分，其他荣誉得2分；无荣誉不得分。</w:t>
            </w:r>
          </w:p>
          <w:p w14:paraId="055ACCE2">
            <w:pPr>
              <w:spacing w:line="520" w:lineRule="exact"/>
              <w:jc w:val="left"/>
              <w:rPr>
                <w:rFonts w:eastAsiaTheme="minorEastAsia"/>
                <w:sz w:val="24"/>
              </w:rPr>
            </w:pPr>
            <w:r>
              <w:rPr>
                <w:rFonts w:hint="eastAsia" w:eastAsiaTheme="minorEastAsia"/>
                <w:bCs/>
                <w:sz w:val="24"/>
                <w:lang w:val="en-US" w:eastAsia="zh-CN"/>
              </w:rPr>
              <w:t>（提供</w:t>
            </w:r>
            <w:r>
              <w:rPr>
                <w:rFonts w:eastAsiaTheme="minorEastAsia"/>
                <w:bCs/>
                <w:sz w:val="24"/>
              </w:rPr>
              <w:t>团队负责人简历及荣誉证书</w:t>
            </w:r>
            <w:r>
              <w:rPr>
                <w:rFonts w:hint="eastAsia" w:eastAsiaTheme="minorEastAsia"/>
                <w:bCs/>
                <w:sz w:val="24"/>
                <w:lang w:eastAsia="zh-CN"/>
              </w:rPr>
              <w:t>）。</w:t>
            </w:r>
          </w:p>
        </w:tc>
        <w:tc>
          <w:tcPr>
            <w:tcW w:w="855" w:type="dxa"/>
            <w:tcBorders>
              <w:left w:val="single" w:color="auto" w:sz="4" w:space="0"/>
              <w:bottom w:val="single" w:color="auto" w:sz="4" w:space="0"/>
            </w:tcBorders>
            <w:vAlign w:val="center"/>
          </w:tcPr>
          <w:p w14:paraId="09DADBED">
            <w:pPr>
              <w:spacing w:line="520" w:lineRule="exact"/>
              <w:jc w:val="center"/>
              <w:rPr>
                <w:rFonts w:eastAsiaTheme="minorEastAsia"/>
                <w:sz w:val="24"/>
              </w:rPr>
            </w:pPr>
            <w:r>
              <w:rPr>
                <w:rFonts w:eastAsiaTheme="minorEastAsia"/>
                <w:sz w:val="24"/>
              </w:rPr>
              <w:t>5分</w:t>
            </w:r>
          </w:p>
        </w:tc>
        <w:tc>
          <w:tcPr>
            <w:tcW w:w="825" w:type="dxa"/>
            <w:tcBorders>
              <w:bottom w:val="single" w:color="auto" w:sz="4" w:space="0"/>
            </w:tcBorders>
            <w:vAlign w:val="center"/>
          </w:tcPr>
          <w:p w14:paraId="2C33B6EA">
            <w:pPr>
              <w:spacing w:line="520" w:lineRule="exact"/>
              <w:jc w:val="center"/>
              <w:rPr>
                <w:rFonts w:eastAsiaTheme="minorEastAsia"/>
                <w:sz w:val="24"/>
              </w:rPr>
            </w:pPr>
          </w:p>
        </w:tc>
        <w:tc>
          <w:tcPr>
            <w:tcW w:w="734" w:type="dxa"/>
            <w:tcBorders>
              <w:bottom w:val="single" w:color="auto" w:sz="4" w:space="0"/>
            </w:tcBorders>
            <w:vAlign w:val="center"/>
          </w:tcPr>
          <w:p w14:paraId="56FD021A">
            <w:pPr>
              <w:spacing w:line="520" w:lineRule="exact"/>
              <w:jc w:val="center"/>
              <w:rPr>
                <w:rFonts w:eastAsiaTheme="minorEastAsia"/>
                <w:sz w:val="24"/>
              </w:rPr>
            </w:pPr>
          </w:p>
        </w:tc>
      </w:tr>
      <w:tr w14:paraId="5C6A1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atLeast"/>
          <w:jc w:val="center"/>
        </w:trPr>
        <w:tc>
          <w:tcPr>
            <w:tcW w:w="1871" w:type="dxa"/>
            <w:vMerge w:val="continue"/>
            <w:vAlign w:val="center"/>
          </w:tcPr>
          <w:p w14:paraId="042E7A19">
            <w:pPr>
              <w:spacing w:line="520" w:lineRule="exact"/>
              <w:ind w:firstLine="241" w:firstLineChars="100"/>
              <w:jc w:val="center"/>
              <w:rPr>
                <w:rFonts w:eastAsiaTheme="minorEastAsia"/>
                <w:b/>
                <w:sz w:val="24"/>
              </w:rPr>
            </w:pPr>
          </w:p>
        </w:tc>
        <w:tc>
          <w:tcPr>
            <w:tcW w:w="4574" w:type="dxa"/>
            <w:gridSpan w:val="2"/>
            <w:tcBorders>
              <w:top w:val="single" w:color="auto" w:sz="4" w:space="0"/>
              <w:right w:val="single" w:color="auto" w:sz="4" w:space="0"/>
            </w:tcBorders>
            <w:vAlign w:val="center"/>
          </w:tcPr>
          <w:p w14:paraId="31B0BD71">
            <w:pPr>
              <w:spacing w:line="520" w:lineRule="exact"/>
              <w:jc w:val="left"/>
              <w:rPr>
                <w:rFonts w:eastAsiaTheme="minorEastAsia"/>
                <w:bCs/>
                <w:sz w:val="24"/>
              </w:rPr>
            </w:pPr>
            <w:r>
              <w:rPr>
                <w:rFonts w:hint="eastAsia" w:eastAsiaTheme="minorEastAsia"/>
                <w:b/>
                <w:sz w:val="24"/>
              </w:rPr>
              <w:t>5.</w:t>
            </w:r>
            <w:r>
              <w:rPr>
                <w:rFonts w:eastAsiaTheme="minorEastAsia"/>
                <w:bCs/>
                <w:sz w:val="24"/>
              </w:rPr>
              <w:t>服务团队有3名以上执业满10年的律师得3分，2名以上执业满10年的律师得2分，1名以上执业满10年的律师得1分。</w:t>
            </w:r>
          </w:p>
          <w:p w14:paraId="4388B19E">
            <w:pPr>
              <w:spacing w:line="520" w:lineRule="exact"/>
              <w:jc w:val="left"/>
              <w:rPr>
                <w:rFonts w:eastAsiaTheme="minorEastAsia"/>
                <w:bCs/>
                <w:sz w:val="24"/>
              </w:rPr>
            </w:pPr>
            <w:r>
              <w:rPr>
                <w:rFonts w:hint="eastAsia" w:eastAsiaTheme="minorEastAsia"/>
                <w:bCs/>
                <w:sz w:val="24"/>
                <w:lang w:eastAsia="zh-CN"/>
              </w:rPr>
              <w:t>（</w:t>
            </w:r>
            <w:r>
              <w:rPr>
                <w:rFonts w:hint="eastAsia" w:eastAsiaTheme="minorEastAsia"/>
                <w:bCs/>
                <w:sz w:val="24"/>
                <w:lang w:val="en-US" w:eastAsia="zh-CN"/>
              </w:rPr>
              <w:t>提供团队全部成员的律师执业证</w:t>
            </w:r>
            <w:r>
              <w:rPr>
                <w:rFonts w:hint="eastAsia" w:eastAsiaTheme="minorEastAsia"/>
                <w:bCs/>
                <w:sz w:val="24"/>
                <w:lang w:eastAsia="zh-CN"/>
              </w:rPr>
              <w:t>）。</w:t>
            </w:r>
          </w:p>
        </w:tc>
        <w:tc>
          <w:tcPr>
            <w:tcW w:w="855" w:type="dxa"/>
            <w:tcBorders>
              <w:top w:val="single" w:color="auto" w:sz="4" w:space="0"/>
              <w:left w:val="single" w:color="auto" w:sz="4" w:space="0"/>
            </w:tcBorders>
            <w:vAlign w:val="center"/>
          </w:tcPr>
          <w:p w14:paraId="7E8C1FA5">
            <w:pPr>
              <w:spacing w:line="520" w:lineRule="exact"/>
              <w:jc w:val="center"/>
              <w:rPr>
                <w:rFonts w:eastAsiaTheme="minorEastAsia"/>
                <w:sz w:val="24"/>
              </w:rPr>
            </w:pPr>
            <w:r>
              <w:rPr>
                <w:rFonts w:eastAsiaTheme="minorEastAsia"/>
                <w:sz w:val="24"/>
              </w:rPr>
              <w:t>3分</w:t>
            </w:r>
          </w:p>
        </w:tc>
        <w:tc>
          <w:tcPr>
            <w:tcW w:w="825" w:type="dxa"/>
            <w:tcBorders>
              <w:top w:val="single" w:color="auto" w:sz="4" w:space="0"/>
            </w:tcBorders>
            <w:vAlign w:val="center"/>
          </w:tcPr>
          <w:p w14:paraId="60A6FC51">
            <w:pPr>
              <w:spacing w:line="520" w:lineRule="exact"/>
              <w:jc w:val="center"/>
              <w:rPr>
                <w:rFonts w:eastAsiaTheme="minorEastAsia"/>
                <w:sz w:val="24"/>
              </w:rPr>
            </w:pPr>
          </w:p>
        </w:tc>
        <w:tc>
          <w:tcPr>
            <w:tcW w:w="734" w:type="dxa"/>
            <w:tcBorders>
              <w:top w:val="single" w:color="auto" w:sz="4" w:space="0"/>
            </w:tcBorders>
            <w:vAlign w:val="center"/>
          </w:tcPr>
          <w:p w14:paraId="012AA78A">
            <w:pPr>
              <w:spacing w:line="520" w:lineRule="exact"/>
              <w:jc w:val="center"/>
              <w:rPr>
                <w:rFonts w:eastAsiaTheme="minorEastAsia"/>
                <w:sz w:val="24"/>
              </w:rPr>
            </w:pPr>
          </w:p>
        </w:tc>
      </w:tr>
      <w:tr w14:paraId="06F35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atLeast"/>
          <w:jc w:val="center"/>
        </w:trPr>
        <w:tc>
          <w:tcPr>
            <w:tcW w:w="1871" w:type="dxa"/>
            <w:vMerge w:val="continue"/>
            <w:vAlign w:val="center"/>
          </w:tcPr>
          <w:p w14:paraId="6C6CA317">
            <w:pPr>
              <w:spacing w:line="520" w:lineRule="exact"/>
              <w:ind w:firstLine="241" w:firstLineChars="100"/>
              <w:jc w:val="center"/>
              <w:rPr>
                <w:rFonts w:eastAsiaTheme="minorEastAsia"/>
                <w:b/>
                <w:sz w:val="24"/>
              </w:rPr>
            </w:pPr>
          </w:p>
        </w:tc>
        <w:tc>
          <w:tcPr>
            <w:tcW w:w="4574" w:type="dxa"/>
            <w:gridSpan w:val="2"/>
            <w:tcBorders>
              <w:top w:val="single" w:color="auto" w:sz="4" w:space="0"/>
              <w:right w:val="single" w:color="auto" w:sz="4" w:space="0"/>
            </w:tcBorders>
            <w:vAlign w:val="center"/>
          </w:tcPr>
          <w:p w14:paraId="1D7854D9">
            <w:pPr>
              <w:spacing w:line="520" w:lineRule="exact"/>
              <w:jc w:val="left"/>
              <w:rPr>
                <w:rFonts w:eastAsiaTheme="minorEastAsia"/>
                <w:bCs/>
                <w:sz w:val="24"/>
              </w:rPr>
            </w:pPr>
            <w:r>
              <w:rPr>
                <w:rFonts w:hint="eastAsia" w:eastAsiaTheme="minorEastAsia"/>
                <w:b/>
                <w:sz w:val="24"/>
              </w:rPr>
              <w:t>6.</w:t>
            </w:r>
            <w:r>
              <w:rPr>
                <w:rFonts w:eastAsiaTheme="minorEastAsia"/>
                <w:bCs/>
                <w:sz w:val="24"/>
              </w:rPr>
              <w:t>主办律师有2名以上获得市级以上荣誉得2分，1名以上获得市级以上荣誉得1分，无荣誉不得分。</w:t>
            </w:r>
          </w:p>
          <w:p w14:paraId="0F81F9DA">
            <w:pPr>
              <w:spacing w:line="520" w:lineRule="exact"/>
              <w:jc w:val="left"/>
              <w:rPr>
                <w:rFonts w:eastAsiaTheme="minorEastAsia"/>
                <w:bCs/>
                <w:sz w:val="24"/>
              </w:rPr>
            </w:pPr>
            <w:r>
              <w:rPr>
                <w:rFonts w:hint="eastAsia" w:eastAsiaTheme="minorEastAsia"/>
                <w:bCs/>
                <w:sz w:val="24"/>
                <w:lang w:eastAsia="zh-CN"/>
              </w:rPr>
              <w:t>（</w:t>
            </w:r>
            <w:r>
              <w:rPr>
                <w:rFonts w:hint="eastAsia" w:eastAsiaTheme="minorEastAsia"/>
                <w:bCs/>
                <w:sz w:val="24"/>
                <w:lang w:val="en-US" w:eastAsia="zh-CN"/>
              </w:rPr>
              <w:t>提供</w:t>
            </w:r>
            <w:r>
              <w:rPr>
                <w:rFonts w:hint="eastAsia" w:eastAsiaTheme="minorEastAsia"/>
                <w:bCs/>
                <w:sz w:val="24"/>
                <w:lang w:eastAsia="zh-CN"/>
              </w:rPr>
              <w:t>指定为主办律师的成员的荣誉证书复印件）。</w:t>
            </w:r>
          </w:p>
        </w:tc>
        <w:tc>
          <w:tcPr>
            <w:tcW w:w="855" w:type="dxa"/>
            <w:tcBorders>
              <w:top w:val="single" w:color="auto" w:sz="4" w:space="0"/>
              <w:left w:val="single" w:color="auto" w:sz="4" w:space="0"/>
            </w:tcBorders>
            <w:vAlign w:val="center"/>
          </w:tcPr>
          <w:p w14:paraId="53546893">
            <w:pPr>
              <w:spacing w:line="520" w:lineRule="exact"/>
              <w:jc w:val="center"/>
              <w:rPr>
                <w:rFonts w:eastAsiaTheme="minorEastAsia"/>
                <w:sz w:val="24"/>
              </w:rPr>
            </w:pPr>
            <w:r>
              <w:rPr>
                <w:rFonts w:eastAsiaTheme="minorEastAsia"/>
                <w:sz w:val="24"/>
              </w:rPr>
              <w:t>2分</w:t>
            </w:r>
          </w:p>
        </w:tc>
        <w:tc>
          <w:tcPr>
            <w:tcW w:w="825" w:type="dxa"/>
            <w:tcBorders>
              <w:top w:val="single" w:color="auto" w:sz="4" w:space="0"/>
            </w:tcBorders>
            <w:vAlign w:val="center"/>
          </w:tcPr>
          <w:p w14:paraId="683CB84D">
            <w:pPr>
              <w:spacing w:line="520" w:lineRule="exact"/>
              <w:jc w:val="center"/>
              <w:rPr>
                <w:rFonts w:eastAsiaTheme="minorEastAsia"/>
                <w:sz w:val="24"/>
              </w:rPr>
            </w:pPr>
          </w:p>
        </w:tc>
        <w:tc>
          <w:tcPr>
            <w:tcW w:w="734" w:type="dxa"/>
            <w:tcBorders>
              <w:top w:val="single" w:color="auto" w:sz="4" w:space="0"/>
            </w:tcBorders>
            <w:vAlign w:val="center"/>
          </w:tcPr>
          <w:p w14:paraId="7C774733">
            <w:pPr>
              <w:spacing w:line="520" w:lineRule="exact"/>
              <w:jc w:val="center"/>
              <w:rPr>
                <w:rFonts w:eastAsiaTheme="minorEastAsia"/>
                <w:sz w:val="24"/>
              </w:rPr>
            </w:pPr>
          </w:p>
        </w:tc>
      </w:tr>
      <w:tr w14:paraId="3B6D2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jc w:val="center"/>
        </w:trPr>
        <w:tc>
          <w:tcPr>
            <w:tcW w:w="1871" w:type="dxa"/>
            <w:vMerge w:val="restart"/>
            <w:vAlign w:val="center"/>
          </w:tcPr>
          <w:p w14:paraId="6972B422">
            <w:pPr>
              <w:spacing w:line="520" w:lineRule="exact"/>
              <w:jc w:val="center"/>
              <w:rPr>
                <w:rFonts w:eastAsiaTheme="minorEastAsia"/>
                <w:b/>
                <w:sz w:val="24"/>
              </w:rPr>
            </w:pPr>
            <w:r>
              <w:rPr>
                <w:rFonts w:eastAsiaTheme="minorEastAsia"/>
                <w:b/>
                <w:sz w:val="24"/>
              </w:rPr>
              <w:t>团队业绩</w:t>
            </w:r>
          </w:p>
          <w:p w14:paraId="4CE986A8">
            <w:pPr>
              <w:spacing w:line="520" w:lineRule="exact"/>
              <w:jc w:val="center"/>
              <w:rPr>
                <w:rFonts w:eastAsiaTheme="minorEastAsia"/>
                <w:sz w:val="24"/>
              </w:rPr>
            </w:pPr>
            <w:r>
              <w:rPr>
                <w:rFonts w:eastAsiaTheme="minorEastAsia"/>
                <w:b/>
                <w:sz w:val="24"/>
              </w:rPr>
              <w:t>（共</w:t>
            </w:r>
            <w:r>
              <w:rPr>
                <w:rFonts w:hint="eastAsia" w:eastAsiaTheme="minorEastAsia"/>
                <w:b/>
                <w:sz w:val="24"/>
              </w:rPr>
              <w:t>20</w:t>
            </w:r>
            <w:r>
              <w:rPr>
                <w:rFonts w:eastAsiaTheme="minorEastAsia"/>
                <w:b/>
                <w:sz w:val="24"/>
              </w:rPr>
              <w:t>分）</w:t>
            </w:r>
          </w:p>
        </w:tc>
        <w:tc>
          <w:tcPr>
            <w:tcW w:w="4574" w:type="dxa"/>
            <w:gridSpan w:val="2"/>
            <w:tcBorders>
              <w:right w:val="single" w:color="auto" w:sz="4" w:space="0"/>
            </w:tcBorders>
            <w:vAlign w:val="center"/>
          </w:tcPr>
          <w:p w14:paraId="6C3F04DA">
            <w:pPr>
              <w:spacing w:line="520" w:lineRule="exact"/>
              <w:jc w:val="left"/>
              <w:rPr>
                <w:rFonts w:eastAsiaTheme="minorEastAsia"/>
                <w:spacing w:val="-8"/>
                <w:sz w:val="24"/>
              </w:rPr>
            </w:pPr>
            <w:r>
              <w:rPr>
                <w:rFonts w:hint="eastAsia" w:eastAsiaTheme="minorEastAsia"/>
                <w:b/>
                <w:sz w:val="24"/>
              </w:rPr>
              <w:t>7.</w:t>
            </w:r>
            <w:r>
              <w:rPr>
                <w:rFonts w:eastAsiaTheme="minorEastAsia"/>
                <w:bCs/>
                <w:sz w:val="24"/>
              </w:rPr>
              <w:t>近三年（2023-2025年）</w:t>
            </w:r>
            <w:r>
              <w:rPr>
                <w:rFonts w:eastAsiaTheme="minorEastAsia"/>
                <w:spacing w:val="-8"/>
                <w:sz w:val="24"/>
              </w:rPr>
              <w:t>具有为政府部门或</w:t>
            </w:r>
            <w:r>
              <w:rPr>
                <w:rFonts w:eastAsiaTheme="minorEastAsia"/>
                <w:bCs/>
                <w:sz w:val="24"/>
              </w:rPr>
              <w:t>世界500强公司、央企（总部）、省市国有企业（总部）、上市公司等</w:t>
            </w:r>
            <w:r>
              <w:rPr>
                <w:rFonts w:eastAsiaTheme="minorEastAsia"/>
                <w:spacing w:val="-8"/>
                <w:sz w:val="24"/>
              </w:rPr>
              <w:t>提供诉讼服务的，得5分，每多一个业绩得1分，总得分最多不超过</w:t>
            </w:r>
            <w:r>
              <w:rPr>
                <w:rFonts w:hint="eastAsia" w:eastAsiaTheme="minorEastAsia"/>
                <w:spacing w:val="-8"/>
                <w:sz w:val="24"/>
              </w:rPr>
              <w:t>10</w:t>
            </w:r>
            <w:r>
              <w:rPr>
                <w:rFonts w:eastAsiaTheme="minorEastAsia"/>
                <w:spacing w:val="-8"/>
                <w:sz w:val="24"/>
              </w:rPr>
              <w:t>分。</w:t>
            </w:r>
          </w:p>
          <w:p w14:paraId="3A41A5FB">
            <w:pPr>
              <w:spacing w:line="520" w:lineRule="exact"/>
              <w:jc w:val="left"/>
              <w:rPr>
                <w:rFonts w:eastAsiaTheme="minorEastAsia"/>
                <w:b/>
                <w:sz w:val="24"/>
              </w:rPr>
            </w:pPr>
            <w:r>
              <w:rPr>
                <w:rFonts w:hint="eastAsia" w:eastAsiaTheme="minorEastAsia"/>
                <w:spacing w:val="-8"/>
                <w:sz w:val="24"/>
                <w:lang w:eastAsia="zh-CN"/>
              </w:rPr>
              <w:t>（</w:t>
            </w:r>
            <w:r>
              <w:rPr>
                <w:rFonts w:hint="eastAsia" w:eastAsiaTheme="minorEastAsia"/>
                <w:spacing w:val="-8"/>
                <w:sz w:val="24"/>
                <w:lang w:val="en-US" w:eastAsia="zh-CN"/>
              </w:rPr>
              <w:t>需</w:t>
            </w:r>
            <w:r>
              <w:rPr>
                <w:rFonts w:hint="eastAsia" w:eastAsiaTheme="minorEastAsia"/>
                <w:spacing w:val="-8"/>
                <w:sz w:val="24"/>
                <w:lang w:eastAsia="zh-CN"/>
              </w:rPr>
              <w:t>提供委托合同、裁判文书等证明材料）。</w:t>
            </w:r>
          </w:p>
        </w:tc>
        <w:tc>
          <w:tcPr>
            <w:tcW w:w="855" w:type="dxa"/>
            <w:tcBorders>
              <w:left w:val="single" w:color="auto" w:sz="4" w:space="0"/>
            </w:tcBorders>
            <w:vAlign w:val="center"/>
          </w:tcPr>
          <w:p w14:paraId="225B6ED4">
            <w:pPr>
              <w:spacing w:line="520" w:lineRule="exact"/>
              <w:jc w:val="center"/>
              <w:rPr>
                <w:rFonts w:eastAsiaTheme="minorEastAsia"/>
                <w:sz w:val="24"/>
              </w:rPr>
            </w:pPr>
            <w:r>
              <w:rPr>
                <w:rFonts w:hint="eastAsia" w:eastAsiaTheme="minorEastAsia"/>
                <w:sz w:val="24"/>
              </w:rPr>
              <w:t>10</w:t>
            </w:r>
            <w:r>
              <w:rPr>
                <w:rFonts w:eastAsiaTheme="minorEastAsia"/>
                <w:sz w:val="24"/>
              </w:rPr>
              <w:t>分</w:t>
            </w:r>
          </w:p>
        </w:tc>
        <w:tc>
          <w:tcPr>
            <w:tcW w:w="825" w:type="dxa"/>
            <w:vAlign w:val="center"/>
          </w:tcPr>
          <w:p w14:paraId="28B785A5">
            <w:pPr>
              <w:spacing w:line="520" w:lineRule="exact"/>
              <w:jc w:val="center"/>
              <w:rPr>
                <w:rFonts w:eastAsiaTheme="minorEastAsia"/>
                <w:sz w:val="24"/>
              </w:rPr>
            </w:pPr>
          </w:p>
        </w:tc>
        <w:tc>
          <w:tcPr>
            <w:tcW w:w="734" w:type="dxa"/>
            <w:vAlign w:val="center"/>
          </w:tcPr>
          <w:p w14:paraId="238EE17C">
            <w:pPr>
              <w:spacing w:line="520" w:lineRule="exact"/>
              <w:jc w:val="center"/>
              <w:rPr>
                <w:rFonts w:eastAsiaTheme="minorEastAsia"/>
                <w:sz w:val="24"/>
              </w:rPr>
            </w:pPr>
          </w:p>
        </w:tc>
      </w:tr>
      <w:tr w14:paraId="6290F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jc w:val="center"/>
        </w:trPr>
        <w:tc>
          <w:tcPr>
            <w:tcW w:w="1871" w:type="dxa"/>
            <w:vMerge w:val="continue"/>
            <w:vAlign w:val="center"/>
          </w:tcPr>
          <w:p w14:paraId="650BA2B7">
            <w:pPr>
              <w:spacing w:line="520" w:lineRule="exact"/>
              <w:jc w:val="center"/>
              <w:rPr>
                <w:rFonts w:eastAsiaTheme="minorEastAsia"/>
                <w:sz w:val="24"/>
              </w:rPr>
            </w:pPr>
          </w:p>
        </w:tc>
        <w:tc>
          <w:tcPr>
            <w:tcW w:w="4574" w:type="dxa"/>
            <w:gridSpan w:val="2"/>
            <w:tcBorders>
              <w:right w:val="single" w:color="auto" w:sz="4" w:space="0"/>
            </w:tcBorders>
            <w:vAlign w:val="center"/>
          </w:tcPr>
          <w:p w14:paraId="67D02856">
            <w:pPr>
              <w:spacing w:line="520" w:lineRule="exact"/>
              <w:jc w:val="left"/>
              <w:rPr>
                <w:rFonts w:eastAsiaTheme="minorEastAsia"/>
                <w:spacing w:val="-8"/>
                <w:sz w:val="24"/>
              </w:rPr>
            </w:pPr>
            <w:r>
              <w:rPr>
                <w:rFonts w:hint="eastAsia" w:eastAsiaTheme="minorEastAsia"/>
                <w:b/>
                <w:sz w:val="24"/>
              </w:rPr>
              <w:t>8.</w:t>
            </w:r>
            <w:r>
              <w:rPr>
                <w:rFonts w:eastAsiaTheme="minorEastAsia"/>
                <w:bCs/>
                <w:sz w:val="24"/>
              </w:rPr>
              <w:t>近三年（2023年-2025年）具有标的额超过3000万元的大宗商品贸易相关诉讼代理胜诉业绩，得3分</w:t>
            </w:r>
            <w:r>
              <w:rPr>
                <w:rFonts w:eastAsiaTheme="minorEastAsia"/>
                <w:spacing w:val="-8"/>
                <w:sz w:val="24"/>
              </w:rPr>
              <w:t>，每多一个业绩得1分，总得分最多不超过</w:t>
            </w:r>
            <w:r>
              <w:rPr>
                <w:rFonts w:hint="eastAsia" w:eastAsiaTheme="minorEastAsia"/>
                <w:spacing w:val="-8"/>
                <w:sz w:val="24"/>
              </w:rPr>
              <w:t>10</w:t>
            </w:r>
            <w:r>
              <w:rPr>
                <w:rFonts w:eastAsiaTheme="minorEastAsia"/>
                <w:spacing w:val="-8"/>
                <w:sz w:val="24"/>
              </w:rPr>
              <w:t>分。</w:t>
            </w:r>
          </w:p>
          <w:p w14:paraId="439E093D">
            <w:pPr>
              <w:spacing w:line="520" w:lineRule="exact"/>
              <w:jc w:val="left"/>
              <w:rPr>
                <w:rFonts w:eastAsiaTheme="minorEastAsia"/>
                <w:spacing w:val="-8"/>
                <w:sz w:val="24"/>
              </w:rPr>
            </w:pPr>
            <w:r>
              <w:rPr>
                <w:rFonts w:eastAsiaTheme="minorEastAsia"/>
                <w:spacing w:val="-8"/>
                <w:sz w:val="24"/>
              </w:rPr>
              <w:t>（</w:t>
            </w:r>
            <w:r>
              <w:rPr>
                <w:rFonts w:hint="eastAsia" w:eastAsiaTheme="minorEastAsia"/>
                <w:spacing w:val="-8"/>
                <w:sz w:val="24"/>
                <w:lang w:val="en-US" w:eastAsia="zh-CN"/>
              </w:rPr>
              <w:t>需</w:t>
            </w:r>
            <w:r>
              <w:rPr>
                <w:rFonts w:eastAsiaTheme="minorEastAsia"/>
                <w:spacing w:val="-8"/>
                <w:sz w:val="24"/>
              </w:rPr>
              <w:t>提供委托合同、裁判文书等证明材料）</w:t>
            </w:r>
            <w:r>
              <w:rPr>
                <w:rFonts w:hint="eastAsia" w:eastAsiaTheme="minorEastAsia"/>
                <w:spacing w:val="-8"/>
                <w:sz w:val="24"/>
                <w:lang w:eastAsia="zh-CN"/>
              </w:rPr>
              <w:t>。</w:t>
            </w:r>
          </w:p>
        </w:tc>
        <w:tc>
          <w:tcPr>
            <w:tcW w:w="855" w:type="dxa"/>
            <w:tcBorders>
              <w:left w:val="single" w:color="auto" w:sz="4" w:space="0"/>
            </w:tcBorders>
            <w:vAlign w:val="center"/>
          </w:tcPr>
          <w:p w14:paraId="3F6489BE">
            <w:pPr>
              <w:spacing w:line="520" w:lineRule="exact"/>
              <w:jc w:val="center"/>
              <w:rPr>
                <w:rFonts w:eastAsiaTheme="minorEastAsia"/>
                <w:sz w:val="24"/>
              </w:rPr>
            </w:pPr>
            <w:r>
              <w:rPr>
                <w:rFonts w:hint="eastAsia" w:eastAsiaTheme="minorEastAsia"/>
                <w:sz w:val="24"/>
              </w:rPr>
              <w:t>10</w:t>
            </w:r>
            <w:r>
              <w:rPr>
                <w:rFonts w:eastAsiaTheme="minorEastAsia"/>
                <w:sz w:val="24"/>
              </w:rPr>
              <w:t>分</w:t>
            </w:r>
          </w:p>
        </w:tc>
        <w:tc>
          <w:tcPr>
            <w:tcW w:w="825" w:type="dxa"/>
            <w:vAlign w:val="center"/>
          </w:tcPr>
          <w:p w14:paraId="0F052248">
            <w:pPr>
              <w:spacing w:line="520" w:lineRule="exact"/>
              <w:jc w:val="center"/>
              <w:rPr>
                <w:rFonts w:eastAsiaTheme="minorEastAsia"/>
                <w:sz w:val="24"/>
              </w:rPr>
            </w:pPr>
          </w:p>
        </w:tc>
        <w:tc>
          <w:tcPr>
            <w:tcW w:w="734" w:type="dxa"/>
            <w:vAlign w:val="center"/>
          </w:tcPr>
          <w:p w14:paraId="5300D8FB">
            <w:pPr>
              <w:spacing w:line="520" w:lineRule="exact"/>
              <w:rPr>
                <w:rFonts w:eastAsiaTheme="minorEastAsia"/>
                <w:sz w:val="24"/>
              </w:rPr>
            </w:pPr>
          </w:p>
        </w:tc>
      </w:tr>
      <w:tr w14:paraId="7C3FA4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871" w:type="dxa"/>
            <w:tcBorders>
              <w:top w:val="single" w:color="auto" w:sz="4" w:space="0"/>
            </w:tcBorders>
            <w:vAlign w:val="center"/>
          </w:tcPr>
          <w:p w14:paraId="5E5EAE12">
            <w:pPr>
              <w:numPr>
                <w:ilvl w:val="0"/>
                <w:numId w:val="0"/>
              </w:numPr>
              <w:spacing w:line="520" w:lineRule="exact"/>
              <w:jc w:val="center"/>
              <w:rPr>
                <w:rFonts w:eastAsiaTheme="minorEastAsia"/>
                <w:b/>
                <w:bCs/>
                <w:sz w:val="24"/>
              </w:rPr>
            </w:pPr>
            <w:r>
              <w:rPr>
                <w:rFonts w:eastAsiaTheme="minorEastAsia"/>
                <w:b/>
                <w:bCs/>
                <w:sz w:val="24"/>
              </w:rPr>
              <w:t>服务方案</w:t>
            </w:r>
          </w:p>
          <w:p w14:paraId="6D81E719">
            <w:pPr>
              <w:numPr>
                <w:ilvl w:val="0"/>
                <w:numId w:val="0"/>
              </w:numPr>
              <w:spacing w:line="520" w:lineRule="exact"/>
              <w:jc w:val="center"/>
              <w:rPr>
                <w:rFonts w:eastAsiaTheme="minorEastAsia"/>
                <w:sz w:val="24"/>
              </w:rPr>
            </w:pPr>
            <w:r>
              <w:rPr>
                <w:rFonts w:eastAsiaTheme="minorEastAsia"/>
                <w:b/>
                <w:bCs/>
                <w:sz w:val="24"/>
              </w:rPr>
              <w:t>（共</w:t>
            </w:r>
            <w:r>
              <w:rPr>
                <w:rFonts w:hint="eastAsia" w:eastAsiaTheme="minorEastAsia"/>
                <w:b/>
                <w:bCs/>
                <w:sz w:val="24"/>
              </w:rPr>
              <w:t>20</w:t>
            </w:r>
            <w:r>
              <w:rPr>
                <w:rFonts w:eastAsiaTheme="minorEastAsia"/>
                <w:b/>
                <w:bCs/>
                <w:sz w:val="24"/>
              </w:rPr>
              <w:t>分）</w:t>
            </w:r>
          </w:p>
        </w:tc>
        <w:tc>
          <w:tcPr>
            <w:tcW w:w="4574" w:type="dxa"/>
            <w:gridSpan w:val="2"/>
            <w:tcBorders>
              <w:bottom w:val="single" w:color="auto" w:sz="4" w:space="0"/>
              <w:right w:val="single" w:color="auto" w:sz="4" w:space="0"/>
            </w:tcBorders>
            <w:vAlign w:val="center"/>
          </w:tcPr>
          <w:p w14:paraId="0EFDF1B8">
            <w:pPr>
              <w:spacing w:line="520" w:lineRule="exact"/>
              <w:jc w:val="left"/>
              <w:rPr>
                <w:rFonts w:eastAsiaTheme="minorEastAsia"/>
                <w:spacing w:val="-8"/>
                <w:sz w:val="24"/>
              </w:rPr>
            </w:pPr>
            <w:r>
              <w:rPr>
                <w:rFonts w:hint="eastAsia" w:eastAsiaTheme="minorEastAsia"/>
                <w:b/>
                <w:sz w:val="24"/>
              </w:rPr>
              <w:t>9.</w:t>
            </w:r>
            <w:r>
              <w:rPr>
                <w:rFonts w:eastAsiaTheme="minorEastAsia"/>
                <w:sz w:val="24"/>
              </w:rPr>
              <w:t>项目服务方案充分理解本次项目需求，</w:t>
            </w:r>
            <w:r>
              <w:rPr>
                <w:rFonts w:eastAsiaTheme="minorEastAsia"/>
                <w:spacing w:val="-8"/>
                <w:sz w:val="24"/>
              </w:rPr>
              <w:t>全面有效、科学合理、可操作性强的，得</w:t>
            </w:r>
            <w:r>
              <w:rPr>
                <w:rFonts w:hint="eastAsia" w:eastAsiaTheme="minorEastAsia"/>
                <w:spacing w:val="-8"/>
                <w:sz w:val="24"/>
              </w:rPr>
              <w:t>20</w:t>
            </w:r>
            <w:r>
              <w:rPr>
                <w:rFonts w:eastAsiaTheme="minorEastAsia"/>
                <w:spacing w:val="-8"/>
                <w:sz w:val="24"/>
              </w:rPr>
              <w:t>分；服务方案理解本次项目需求，部分有效、基本可行、可操作性较强的，得</w:t>
            </w:r>
            <w:r>
              <w:rPr>
                <w:rFonts w:hint="eastAsia" w:eastAsiaTheme="minorEastAsia"/>
                <w:spacing w:val="-8"/>
                <w:sz w:val="24"/>
              </w:rPr>
              <w:t>10</w:t>
            </w:r>
            <w:r>
              <w:rPr>
                <w:rFonts w:eastAsiaTheme="minorEastAsia"/>
                <w:spacing w:val="-8"/>
                <w:sz w:val="24"/>
              </w:rPr>
              <w:t>分；服务方案部分不能满足项目需求的，可操作性一般的，得</w:t>
            </w:r>
            <w:r>
              <w:rPr>
                <w:rFonts w:hint="eastAsia" w:eastAsiaTheme="minorEastAsia"/>
                <w:spacing w:val="-8"/>
                <w:sz w:val="24"/>
              </w:rPr>
              <w:t>5</w:t>
            </w:r>
            <w:r>
              <w:rPr>
                <w:rFonts w:eastAsiaTheme="minorEastAsia"/>
                <w:spacing w:val="-8"/>
                <w:sz w:val="24"/>
              </w:rPr>
              <w:t>分；未提供服务方案不得分。</w:t>
            </w:r>
          </w:p>
          <w:p w14:paraId="266B66D9">
            <w:pPr>
              <w:spacing w:line="520" w:lineRule="exact"/>
              <w:jc w:val="left"/>
              <w:rPr>
                <w:rFonts w:eastAsiaTheme="minorEastAsia"/>
                <w:spacing w:val="-8"/>
                <w:sz w:val="24"/>
              </w:rPr>
            </w:pPr>
            <w:r>
              <w:rPr>
                <w:rFonts w:hint="eastAsia" w:eastAsiaTheme="minorEastAsia"/>
                <w:spacing w:val="-8"/>
                <w:sz w:val="24"/>
                <w:lang w:eastAsia="zh-CN"/>
              </w:rPr>
              <w:t>（提供针对本项目撰写的《服务方案》全文）。</w:t>
            </w:r>
          </w:p>
        </w:tc>
        <w:tc>
          <w:tcPr>
            <w:tcW w:w="855" w:type="dxa"/>
            <w:tcBorders>
              <w:left w:val="single" w:color="auto" w:sz="4" w:space="0"/>
              <w:bottom w:val="single" w:color="auto" w:sz="4" w:space="0"/>
            </w:tcBorders>
            <w:vAlign w:val="center"/>
          </w:tcPr>
          <w:p w14:paraId="2755ACC0">
            <w:pPr>
              <w:spacing w:line="520" w:lineRule="exact"/>
              <w:jc w:val="center"/>
              <w:rPr>
                <w:rFonts w:eastAsiaTheme="minorEastAsia"/>
                <w:sz w:val="24"/>
              </w:rPr>
            </w:pPr>
            <w:r>
              <w:rPr>
                <w:rFonts w:hint="eastAsia" w:eastAsiaTheme="minorEastAsia"/>
                <w:sz w:val="24"/>
              </w:rPr>
              <w:t>20</w:t>
            </w:r>
            <w:r>
              <w:rPr>
                <w:rFonts w:eastAsiaTheme="minorEastAsia"/>
                <w:sz w:val="24"/>
              </w:rPr>
              <w:t>分</w:t>
            </w:r>
          </w:p>
        </w:tc>
        <w:tc>
          <w:tcPr>
            <w:tcW w:w="825" w:type="dxa"/>
            <w:tcBorders>
              <w:bottom w:val="single" w:color="auto" w:sz="4" w:space="0"/>
            </w:tcBorders>
            <w:vAlign w:val="center"/>
          </w:tcPr>
          <w:p w14:paraId="1CD1020A">
            <w:pPr>
              <w:spacing w:line="520" w:lineRule="exact"/>
              <w:jc w:val="center"/>
              <w:rPr>
                <w:rFonts w:eastAsiaTheme="minorEastAsia"/>
                <w:sz w:val="24"/>
              </w:rPr>
            </w:pPr>
          </w:p>
        </w:tc>
        <w:tc>
          <w:tcPr>
            <w:tcW w:w="734" w:type="dxa"/>
            <w:tcBorders>
              <w:bottom w:val="single" w:color="auto" w:sz="4" w:space="0"/>
            </w:tcBorders>
            <w:vAlign w:val="center"/>
          </w:tcPr>
          <w:p w14:paraId="19480DA1">
            <w:pPr>
              <w:spacing w:line="520" w:lineRule="exact"/>
              <w:jc w:val="center"/>
              <w:rPr>
                <w:rFonts w:eastAsiaTheme="minorEastAsia"/>
                <w:sz w:val="24"/>
              </w:rPr>
            </w:pPr>
          </w:p>
        </w:tc>
      </w:tr>
      <w:tr w14:paraId="6CF65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4" w:hRule="atLeast"/>
          <w:jc w:val="center"/>
        </w:trPr>
        <w:tc>
          <w:tcPr>
            <w:tcW w:w="1871" w:type="dxa"/>
            <w:tcBorders>
              <w:right w:val="single" w:color="auto" w:sz="4" w:space="0"/>
            </w:tcBorders>
            <w:vAlign w:val="center"/>
          </w:tcPr>
          <w:p w14:paraId="431EA977">
            <w:pPr>
              <w:spacing w:line="520" w:lineRule="exact"/>
              <w:jc w:val="center"/>
              <w:rPr>
                <w:rFonts w:eastAsiaTheme="minorEastAsia"/>
                <w:b/>
                <w:bCs/>
                <w:sz w:val="24"/>
              </w:rPr>
            </w:pPr>
            <w:r>
              <w:rPr>
                <w:rFonts w:eastAsiaTheme="minorEastAsia"/>
                <w:b/>
                <w:bCs/>
                <w:sz w:val="24"/>
              </w:rPr>
              <w:t>比选报价</w:t>
            </w:r>
          </w:p>
          <w:p w14:paraId="5EB15580">
            <w:pPr>
              <w:keepNext/>
              <w:keepLines/>
              <w:numPr>
                <w:ilvl w:val="4"/>
                <w:numId w:val="0"/>
              </w:numPr>
              <w:spacing w:before="280" w:after="156" w:line="520" w:lineRule="exact"/>
              <w:ind w:left="0" w:leftChars="0" w:firstLine="0" w:firstLineChars="0"/>
              <w:jc w:val="center"/>
              <w:outlineLvl w:val="4"/>
              <w:rPr>
                <w:rFonts w:eastAsia="黑体"/>
                <w:b/>
                <w:kern w:val="0"/>
                <w:sz w:val="24"/>
                <w:szCs w:val="28"/>
              </w:rPr>
            </w:pPr>
            <w:r>
              <w:rPr>
                <w:rFonts w:eastAsiaTheme="minorEastAsia"/>
                <w:b/>
                <w:bCs/>
                <w:kern w:val="0"/>
                <w:sz w:val="24"/>
              </w:rPr>
              <w:t>（共</w:t>
            </w:r>
            <w:r>
              <w:rPr>
                <w:rFonts w:hint="eastAsia" w:eastAsiaTheme="minorEastAsia"/>
                <w:b/>
                <w:bCs/>
                <w:kern w:val="0"/>
                <w:sz w:val="24"/>
              </w:rPr>
              <w:t>40</w:t>
            </w:r>
            <w:r>
              <w:rPr>
                <w:rFonts w:eastAsiaTheme="minorEastAsia"/>
                <w:b/>
                <w:bCs/>
                <w:kern w:val="0"/>
                <w:sz w:val="24"/>
              </w:rPr>
              <w:t>分）</w:t>
            </w:r>
          </w:p>
        </w:tc>
        <w:tc>
          <w:tcPr>
            <w:tcW w:w="4574" w:type="dxa"/>
            <w:gridSpan w:val="2"/>
            <w:tcBorders>
              <w:top w:val="single" w:color="auto" w:sz="4" w:space="0"/>
              <w:left w:val="single" w:color="auto" w:sz="4" w:space="0"/>
              <w:bottom w:val="single" w:color="auto" w:sz="4" w:space="0"/>
              <w:right w:val="single" w:color="auto" w:sz="4" w:space="0"/>
            </w:tcBorders>
            <w:vAlign w:val="center"/>
          </w:tcPr>
          <w:p w14:paraId="7879D781">
            <w:pPr>
              <w:spacing w:line="520" w:lineRule="exact"/>
              <w:jc w:val="left"/>
              <w:rPr>
                <w:kern w:val="0"/>
                <w:sz w:val="24"/>
              </w:rPr>
            </w:pPr>
            <w:r>
              <w:rPr>
                <w:rFonts w:hint="eastAsia" w:eastAsiaTheme="minorEastAsia"/>
                <w:b/>
                <w:sz w:val="24"/>
              </w:rPr>
              <w:t>10</w:t>
            </w:r>
            <w:r>
              <w:rPr>
                <w:rFonts w:eastAsiaTheme="minorEastAsia"/>
                <w:b/>
                <w:sz w:val="24"/>
              </w:rPr>
              <w:t>.</w:t>
            </w:r>
            <w:r>
              <w:rPr>
                <w:kern w:val="0"/>
                <w:sz w:val="24"/>
              </w:rPr>
              <w:t>以满足招标文件要求的所有有效比选申请人最后报价的平均价（若现场参与的比选申请人5家以上，平均价采取切尾均值法）为基准价，报价刚好为基准价的得</w:t>
            </w:r>
            <w:r>
              <w:rPr>
                <w:rFonts w:hint="eastAsia"/>
                <w:kern w:val="0"/>
                <w:sz w:val="24"/>
              </w:rPr>
              <w:t>40</w:t>
            </w:r>
            <w:r>
              <w:rPr>
                <w:kern w:val="0"/>
                <w:sz w:val="24"/>
              </w:rPr>
              <w:t>分。其他比选申请人的价格分统一按照下列公式计算：报价与基准价每相差10000元减1分，不足10000元的采取对百位数四舍五入法取整，最低得10分。</w:t>
            </w:r>
          </w:p>
          <w:p w14:paraId="338C61C2">
            <w:pPr>
              <w:spacing w:line="520" w:lineRule="exact"/>
              <w:jc w:val="left"/>
              <w:rPr>
                <w:rFonts w:eastAsiaTheme="minorEastAsia"/>
                <w:b/>
                <w:bCs/>
                <w:sz w:val="24"/>
              </w:rPr>
            </w:pPr>
            <w:r>
              <w:rPr>
                <w:rFonts w:hint="eastAsia"/>
                <w:kern w:val="0"/>
                <w:sz w:val="24"/>
                <w:lang w:eastAsia="zh-CN"/>
              </w:rPr>
              <w:t>（报价已在《比选申请函》中明确，无需单独提供佐证）。</w:t>
            </w:r>
          </w:p>
        </w:tc>
        <w:tc>
          <w:tcPr>
            <w:tcW w:w="855" w:type="dxa"/>
            <w:tcBorders>
              <w:top w:val="single" w:color="auto" w:sz="4" w:space="0"/>
              <w:left w:val="single" w:color="auto" w:sz="4" w:space="0"/>
              <w:bottom w:val="single" w:color="auto" w:sz="4" w:space="0"/>
            </w:tcBorders>
            <w:vAlign w:val="center"/>
          </w:tcPr>
          <w:p w14:paraId="07BEDF37">
            <w:pPr>
              <w:spacing w:line="520" w:lineRule="exact"/>
              <w:jc w:val="center"/>
              <w:rPr>
                <w:rFonts w:eastAsiaTheme="minorEastAsia"/>
                <w:sz w:val="24"/>
              </w:rPr>
            </w:pPr>
            <w:r>
              <w:rPr>
                <w:rFonts w:hint="eastAsia" w:eastAsiaTheme="minorEastAsia"/>
                <w:sz w:val="24"/>
              </w:rPr>
              <w:t>40</w:t>
            </w:r>
            <w:r>
              <w:rPr>
                <w:rFonts w:eastAsiaTheme="minorEastAsia"/>
                <w:sz w:val="24"/>
              </w:rPr>
              <w:t>分</w:t>
            </w:r>
          </w:p>
        </w:tc>
        <w:tc>
          <w:tcPr>
            <w:tcW w:w="825" w:type="dxa"/>
            <w:tcBorders>
              <w:top w:val="single" w:color="auto" w:sz="4" w:space="0"/>
              <w:bottom w:val="single" w:color="auto" w:sz="4" w:space="0"/>
            </w:tcBorders>
            <w:vAlign w:val="center"/>
          </w:tcPr>
          <w:p w14:paraId="40860338">
            <w:pPr>
              <w:spacing w:line="520" w:lineRule="exact"/>
              <w:jc w:val="center"/>
              <w:rPr>
                <w:rFonts w:eastAsiaTheme="minorEastAsia"/>
                <w:sz w:val="24"/>
              </w:rPr>
            </w:pPr>
          </w:p>
        </w:tc>
        <w:tc>
          <w:tcPr>
            <w:tcW w:w="734" w:type="dxa"/>
            <w:tcBorders>
              <w:bottom w:val="single" w:color="auto" w:sz="4" w:space="0"/>
            </w:tcBorders>
            <w:vAlign w:val="center"/>
          </w:tcPr>
          <w:p w14:paraId="703644B2">
            <w:pPr>
              <w:spacing w:line="520" w:lineRule="exact"/>
              <w:jc w:val="center"/>
              <w:rPr>
                <w:rFonts w:eastAsiaTheme="minorEastAsia"/>
                <w:sz w:val="24"/>
              </w:rPr>
            </w:pPr>
          </w:p>
        </w:tc>
      </w:tr>
      <w:tr w14:paraId="6E58D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4266" w:type="dxa"/>
            <w:gridSpan w:val="2"/>
            <w:vAlign w:val="center"/>
          </w:tcPr>
          <w:p w14:paraId="752746AC">
            <w:pPr>
              <w:spacing w:line="520" w:lineRule="exact"/>
              <w:jc w:val="center"/>
              <w:rPr>
                <w:rFonts w:eastAsiaTheme="minorEastAsia"/>
                <w:b/>
                <w:sz w:val="24"/>
              </w:rPr>
            </w:pPr>
            <w:r>
              <w:rPr>
                <w:rFonts w:eastAsiaTheme="minorEastAsia"/>
                <w:b/>
                <w:sz w:val="24"/>
              </w:rPr>
              <w:t>总分合计：100分</w:t>
            </w:r>
          </w:p>
        </w:tc>
        <w:tc>
          <w:tcPr>
            <w:tcW w:w="4593" w:type="dxa"/>
            <w:gridSpan w:val="4"/>
            <w:vAlign w:val="center"/>
          </w:tcPr>
          <w:p w14:paraId="7ECF3608">
            <w:pPr>
              <w:spacing w:line="520" w:lineRule="exact"/>
              <w:jc w:val="center"/>
              <w:rPr>
                <w:rFonts w:eastAsiaTheme="minorEastAsia"/>
                <w:b/>
                <w:sz w:val="24"/>
              </w:rPr>
            </w:pPr>
            <w:r>
              <w:rPr>
                <w:rFonts w:eastAsiaTheme="minorEastAsia"/>
                <w:b/>
                <w:sz w:val="24"/>
              </w:rPr>
              <w:t>得分合计：</w:t>
            </w:r>
            <w:r>
              <w:rPr>
                <w:rFonts w:eastAsiaTheme="minorEastAsia"/>
                <w:b/>
                <w:sz w:val="24"/>
                <w:u w:val="single"/>
              </w:rPr>
              <w:t xml:space="preserve">            </w:t>
            </w:r>
            <w:r>
              <w:rPr>
                <w:rFonts w:eastAsiaTheme="minorEastAsia"/>
                <w:b/>
                <w:sz w:val="24"/>
              </w:rPr>
              <w:t>分</w:t>
            </w:r>
          </w:p>
        </w:tc>
      </w:tr>
      <w:tr w14:paraId="0819B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59" w:type="dxa"/>
            <w:gridSpan w:val="6"/>
            <w:vAlign w:val="center"/>
          </w:tcPr>
          <w:p w14:paraId="60B12D0A">
            <w:pPr>
              <w:spacing w:line="520" w:lineRule="exact"/>
              <w:jc w:val="left"/>
              <w:rPr>
                <w:rFonts w:eastAsiaTheme="minorEastAsia"/>
                <w:b/>
                <w:sz w:val="24"/>
              </w:rPr>
            </w:pPr>
            <w:r>
              <w:rPr>
                <w:b/>
                <w:kern w:val="1"/>
                <w:szCs w:val="21"/>
              </w:rPr>
              <w:t>注：当总分相同时，推荐报价低者为中标候选人。</w:t>
            </w:r>
          </w:p>
        </w:tc>
      </w:tr>
    </w:tbl>
    <w:p w14:paraId="5C95E0FD">
      <w:pPr>
        <w:spacing w:line="520" w:lineRule="exact"/>
      </w:pPr>
      <w:r>
        <w:br w:type="page"/>
      </w:r>
    </w:p>
    <w:p w14:paraId="7CE541B8">
      <w:pPr>
        <w:pStyle w:val="2"/>
        <w:jc w:val="center"/>
        <w:rPr>
          <w:rFonts w:ascii="Times New Roman" w:hAnsi="Times New Roman" w:cs="Times New Roman"/>
        </w:rPr>
      </w:pPr>
      <w:r>
        <w:rPr>
          <w:rFonts w:ascii="Times New Roman" w:hAnsi="Times New Roman" w:cs="Times New Roman"/>
        </w:rPr>
        <w:t>第四章 合同主要条款</w:t>
      </w:r>
    </w:p>
    <w:p w14:paraId="02171AB2">
      <w:pPr>
        <w:spacing w:line="520" w:lineRule="exact"/>
        <w:jc w:val="right"/>
        <w:rPr>
          <w:b/>
          <w:snapToGrid w:val="0"/>
          <w:sz w:val="24"/>
        </w:rPr>
      </w:pPr>
    </w:p>
    <w:p w14:paraId="4B67D30A">
      <w:pPr>
        <w:spacing w:line="520" w:lineRule="exact"/>
        <w:jc w:val="right"/>
        <w:rPr>
          <w:bCs/>
          <w:snapToGrid w:val="0"/>
          <w:sz w:val="24"/>
        </w:rPr>
      </w:pPr>
      <w:r>
        <w:rPr>
          <w:bCs/>
          <w:snapToGrid w:val="0"/>
          <w:sz w:val="24"/>
        </w:rPr>
        <w:t xml:space="preserve">  合同编号：SWGR-XXXX-FW-</w:t>
      </w:r>
      <w:r>
        <w:rPr>
          <w:rFonts w:hint="eastAsia"/>
          <w:bCs/>
          <w:snapToGrid w:val="0"/>
          <w:sz w:val="24"/>
          <w:lang w:eastAsia="zh-CN"/>
        </w:rPr>
        <w:t>2026</w:t>
      </w:r>
      <w:r>
        <w:rPr>
          <w:bCs/>
          <w:snapToGrid w:val="0"/>
          <w:sz w:val="24"/>
        </w:rPr>
        <w:t xml:space="preserve">XXXX-001     </w:t>
      </w:r>
    </w:p>
    <w:p w14:paraId="6917FF33">
      <w:pPr>
        <w:spacing w:line="520" w:lineRule="exact"/>
        <w:rPr>
          <w:b/>
          <w:snapToGrid w:val="0"/>
          <w:sz w:val="24"/>
        </w:rPr>
      </w:pPr>
    </w:p>
    <w:p w14:paraId="58A62CD4">
      <w:pPr>
        <w:spacing w:line="520" w:lineRule="exact"/>
        <w:rPr>
          <w:bCs/>
          <w:snapToGrid w:val="0"/>
          <w:sz w:val="24"/>
        </w:rPr>
      </w:pPr>
      <w:r>
        <w:rPr>
          <w:b/>
          <w:snapToGrid w:val="0"/>
          <w:sz w:val="24"/>
        </w:rPr>
        <w:t>甲方：四川蜀物广润物流有限公司</w:t>
      </w:r>
    </w:p>
    <w:p w14:paraId="7A12B108">
      <w:pPr>
        <w:spacing w:line="520" w:lineRule="exact"/>
        <w:rPr>
          <w:b/>
          <w:bCs/>
          <w:snapToGrid w:val="0"/>
          <w:sz w:val="24"/>
        </w:rPr>
      </w:pPr>
      <w:r>
        <w:rPr>
          <w:b/>
          <w:snapToGrid w:val="0"/>
          <w:sz w:val="24"/>
        </w:rPr>
        <w:t>地址：</w:t>
      </w:r>
      <w:r>
        <w:rPr>
          <w:b/>
          <w:bCs/>
          <w:sz w:val="24"/>
        </w:rPr>
        <w:t>成都市青羊区光华北五路266号青羊总部经济基地2单元A座13楼</w:t>
      </w:r>
    </w:p>
    <w:p w14:paraId="3A1E6EF3">
      <w:pPr>
        <w:autoSpaceDE w:val="0"/>
        <w:autoSpaceDN w:val="0"/>
        <w:adjustRightInd w:val="0"/>
        <w:spacing w:line="520" w:lineRule="exact"/>
        <w:rPr>
          <w:color w:val="000000"/>
          <w:sz w:val="24"/>
          <w:szCs w:val="22"/>
        </w:rPr>
      </w:pPr>
      <w:r>
        <w:rPr>
          <w:b/>
          <w:snapToGrid w:val="0"/>
          <w:color w:val="000000"/>
          <w:sz w:val="24"/>
          <w:szCs w:val="22"/>
        </w:rPr>
        <w:t xml:space="preserve">联系人：        </w:t>
      </w:r>
      <w:r>
        <w:rPr>
          <w:b/>
          <w:snapToGrid w:val="0"/>
          <w:color w:val="000000"/>
          <w:sz w:val="24"/>
          <w:szCs w:val="22"/>
        </w:rPr>
        <w:tab/>
      </w:r>
      <w:r>
        <w:rPr>
          <w:b/>
          <w:snapToGrid w:val="0"/>
          <w:color w:val="000000"/>
          <w:sz w:val="24"/>
          <w:szCs w:val="22"/>
        </w:rPr>
        <w:t>联系电话：           电子邮件</w:t>
      </w:r>
      <w:r>
        <w:rPr>
          <w:b/>
          <w:snapToGrid w:val="0"/>
          <w:sz w:val="24"/>
          <w:szCs w:val="22"/>
        </w:rPr>
        <w:t>：grwlfw@scgrwl.com</w:t>
      </w:r>
    </w:p>
    <w:p w14:paraId="3C93419C">
      <w:pPr>
        <w:spacing w:line="520" w:lineRule="exact"/>
        <w:rPr>
          <w:b/>
          <w:snapToGrid w:val="0"/>
          <w:sz w:val="24"/>
        </w:rPr>
      </w:pPr>
    </w:p>
    <w:p w14:paraId="7848D5A2">
      <w:pPr>
        <w:spacing w:line="520" w:lineRule="exact"/>
        <w:rPr>
          <w:b/>
          <w:snapToGrid w:val="0"/>
          <w:sz w:val="24"/>
        </w:rPr>
      </w:pPr>
      <w:r>
        <w:rPr>
          <w:b/>
          <w:snapToGrid w:val="0"/>
          <w:sz w:val="24"/>
        </w:rPr>
        <w:t>乙方：XXX律师事务所</w:t>
      </w:r>
    </w:p>
    <w:p w14:paraId="1D38B17F">
      <w:pPr>
        <w:spacing w:line="520" w:lineRule="exact"/>
        <w:rPr>
          <w:b/>
          <w:snapToGrid w:val="0"/>
          <w:sz w:val="24"/>
        </w:rPr>
      </w:pPr>
      <w:r>
        <w:rPr>
          <w:b/>
          <w:snapToGrid w:val="0"/>
          <w:sz w:val="24"/>
        </w:rPr>
        <w:t>地址：</w:t>
      </w:r>
    </w:p>
    <w:p w14:paraId="22FE228A">
      <w:pPr>
        <w:spacing w:line="520" w:lineRule="exact"/>
        <w:rPr>
          <w:b/>
          <w:snapToGrid w:val="0"/>
          <w:sz w:val="24"/>
        </w:rPr>
      </w:pPr>
      <w:r>
        <w:rPr>
          <w:b/>
          <w:snapToGrid w:val="0"/>
          <w:sz w:val="24"/>
        </w:rPr>
        <w:t xml:space="preserve">联系人：         联系电话：            电子邮件：  </w:t>
      </w:r>
    </w:p>
    <w:p w14:paraId="0A7FD3F7">
      <w:pPr>
        <w:spacing w:line="520" w:lineRule="exact"/>
        <w:ind w:firstLine="480" w:firstLineChars="200"/>
        <w:rPr>
          <w:snapToGrid w:val="0"/>
          <w:sz w:val="24"/>
        </w:rPr>
      </w:pPr>
      <w:r>
        <w:rPr>
          <w:snapToGrid w:val="0"/>
          <w:sz w:val="24"/>
        </w:rPr>
        <w:t xml:space="preserve"> </w:t>
      </w:r>
    </w:p>
    <w:p w14:paraId="64F35750">
      <w:pPr>
        <w:spacing w:line="520" w:lineRule="exact"/>
        <w:ind w:firstLine="480" w:firstLineChars="200"/>
        <w:rPr>
          <w:b/>
          <w:snapToGrid w:val="0"/>
          <w:sz w:val="24"/>
        </w:rPr>
      </w:pPr>
      <w:r>
        <w:rPr>
          <w:snapToGrid w:val="0"/>
          <w:sz w:val="24"/>
        </w:rPr>
        <w:t>甲方因</w:t>
      </w:r>
      <w:r>
        <w:rPr>
          <w:b/>
          <w:bCs/>
          <w:snapToGrid w:val="0"/>
          <w:sz w:val="24"/>
          <w:u w:val="single"/>
        </w:rPr>
        <w:t xml:space="preserve"> 在</w:t>
      </w:r>
      <w:r>
        <w:rPr>
          <w:rFonts w:hint="eastAsia"/>
          <w:b/>
          <w:bCs/>
          <w:snapToGrid w:val="0"/>
          <w:sz w:val="24"/>
          <w:u w:val="single"/>
        </w:rPr>
        <w:t>某</w:t>
      </w:r>
      <w:r>
        <w:rPr>
          <w:b/>
          <w:bCs/>
          <w:snapToGrid w:val="0"/>
          <w:sz w:val="24"/>
          <w:u w:val="single"/>
        </w:rPr>
        <w:t>项目</w:t>
      </w:r>
      <w:r>
        <w:rPr>
          <w:rFonts w:hint="eastAsia"/>
          <w:b/>
          <w:bCs/>
          <w:snapToGrid w:val="0"/>
          <w:sz w:val="24"/>
          <w:u w:val="single"/>
        </w:rPr>
        <w:t>发生</w:t>
      </w:r>
      <w:r>
        <w:rPr>
          <w:b/>
          <w:bCs/>
          <w:snapToGrid w:val="0"/>
          <w:sz w:val="24"/>
          <w:u w:val="single"/>
        </w:rPr>
        <w:t>买卖合同纠纷</w:t>
      </w:r>
      <w:r>
        <w:rPr>
          <w:rFonts w:hint="eastAsia"/>
        </w:rPr>
        <w:t>等</w:t>
      </w:r>
      <w:r>
        <w:rPr>
          <w:snapToGrid w:val="0"/>
          <w:sz w:val="24"/>
        </w:rPr>
        <w:t>，委托乙方律师担任代理人。根据《中华人民共和国民法典》《中华人民共和国律师法》等相关法律法规的规定，双方经过平等协商，现签订本合同，共同遵照执行。</w:t>
      </w:r>
    </w:p>
    <w:p w14:paraId="666974D2">
      <w:pPr>
        <w:spacing w:line="520" w:lineRule="exact"/>
        <w:ind w:firstLine="482" w:firstLineChars="200"/>
        <w:rPr>
          <w:b/>
          <w:snapToGrid w:val="0"/>
          <w:sz w:val="24"/>
        </w:rPr>
      </w:pPr>
      <w:r>
        <w:rPr>
          <w:b/>
          <w:snapToGrid w:val="0"/>
          <w:sz w:val="24"/>
        </w:rPr>
        <w:t>一、委托事项</w:t>
      </w:r>
    </w:p>
    <w:p w14:paraId="76B3978B">
      <w:pPr>
        <w:spacing w:line="520" w:lineRule="exact"/>
        <w:ind w:firstLine="480" w:firstLineChars="200"/>
        <w:rPr>
          <w:b/>
          <w:bCs/>
          <w:snapToGrid w:val="0"/>
          <w:sz w:val="24"/>
          <w:u w:val="single"/>
        </w:rPr>
      </w:pPr>
      <w:r>
        <w:rPr>
          <w:snapToGrid w:val="0"/>
          <w:sz w:val="24"/>
        </w:rPr>
        <w:t>1.1  项目名称：</w:t>
      </w:r>
      <w:r>
        <w:rPr>
          <w:b/>
          <w:bCs/>
          <w:snapToGrid w:val="0"/>
          <w:sz w:val="24"/>
          <w:u w:val="single"/>
        </w:rPr>
        <w:t xml:space="preserve"> 四川蜀物广润物流有限公司</w:t>
      </w:r>
      <w:r>
        <w:rPr>
          <w:rFonts w:hint="eastAsia"/>
          <w:b/>
          <w:bCs/>
          <w:snapToGrid w:val="0"/>
          <w:sz w:val="24"/>
          <w:u w:val="single"/>
        </w:rPr>
        <w:t>某项目</w:t>
      </w:r>
      <w:r>
        <w:rPr>
          <w:b/>
          <w:bCs/>
          <w:snapToGrid w:val="0"/>
          <w:sz w:val="24"/>
          <w:u w:val="single"/>
        </w:rPr>
        <w:t>专项法律服务（以下简称“</w:t>
      </w:r>
      <w:r>
        <w:rPr>
          <w:rFonts w:hint="eastAsia"/>
          <w:b/>
          <w:bCs/>
          <w:snapToGrid w:val="0"/>
          <w:sz w:val="24"/>
          <w:u w:val="single"/>
        </w:rPr>
        <w:t>某项目案件</w:t>
      </w:r>
      <w:r>
        <w:rPr>
          <w:b/>
          <w:bCs/>
          <w:snapToGrid w:val="0"/>
          <w:sz w:val="24"/>
          <w:u w:val="single"/>
        </w:rPr>
        <w:t xml:space="preserve">”）。 </w:t>
      </w:r>
    </w:p>
    <w:p w14:paraId="62C9A7FB">
      <w:pPr>
        <w:spacing w:line="520" w:lineRule="exact"/>
        <w:ind w:firstLine="480" w:firstLineChars="200"/>
        <w:rPr>
          <w:b/>
          <w:bCs/>
          <w:snapToGrid w:val="0"/>
          <w:sz w:val="24"/>
          <w:u w:val="single"/>
        </w:rPr>
      </w:pPr>
      <w:r>
        <w:rPr>
          <w:snapToGrid w:val="0"/>
          <w:sz w:val="24"/>
        </w:rPr>
        <w:t>1.2  拟受理案件的机构：</w:t>
      </w:r>
      <w:r>
        <w:rPr>
          <w:b/>
          <w:bCs/>
          <w:snapToGrid w:val="0"/>
          <w:sz w:val="24"/>
          <w:u w:val="single"/>
        </w:rPr>
        <w:t xml:space="preserve">                            </w:t>
      </w:r>
    </w:p>
    <w:p w14:paraId="6D3E2504">
      <w:pPr>
        <w:spacing w:line="520" w:lineRule="exact"/>
        <w:ind w:firstLine="480" w:firstLineChars="200"/>
        <w:rPr>
          <w:b/>
          <w:bCs/>
          <w:snapToGrid w:val="0"/>
          <w:sz w:val="24"/>
          <w:u w:val="single"/>
        </w:rPr>
      </w:pPr>
      <w:r>
        <w:rPr>
          <w:snapToGrid w:val="0"/>
          <w:sz w:val="24"/>
        </w:rPr>
        <w:t>1.3  甲方在案件中的身份或地位：</w:t>
      </w:r>
      <w:r>
        <w:rPr>
          <w:b/>
          <w:bCs/>
          <w:snapToGrid w:val="0"/>
          <w:sz w:val="24"/>
          <w:u w:val="single"/>
        </w:rPr>
        <w:t xml:space="preserve">                    </w:t>
      </w:r>
    </w:p>
    <w:p w14:paraId="041F0CAF">
      <w:pPr>
        <w:spacing w:line="520" w:lineRule="exact"/>
        <w:ind w:firstLine="480" w:firstLineChars="200"/>
        <w:rPr>
          <w:b/>
          <w:snapToGrid w:val="0"/>
          <w:sz w:val="24"/>
        </w:rPr>
      </w:pPr>
      <w:r>
        <w:rPr>
          <w:snapToGrid w:val="0"/>
          <w:sz w:val="24"/>
        </w:rPr>
        <w:t>1.4  代理阶段：项目相关的一审、二审（如有）、再审（如有）、</w:t>
      </w:r>
      <w:r>
        <w:rPr>
          <w:rFonts w:hint="eastAsia"/>
          <w:snapToGrid w:val="0"/>
          <w:sz w:val="24"/>
          <w:lang w:val="en-US" w:eastAsia="zh-CN"/>
        </w:rPr>
        <w:t>另行起诉（如有）、</w:t>
      </w:r>
      <w:r>
        <w:rPr>
          <w:snapToGrid w:val="0"/>
          <w:sz w:val="24"/>
        </w:rPr>
        <w:t>仲裁程序</w:t>
      </w:r>
      <w:r>
        <w:rPr>
          <w:rFonts w:hint="eastAsia"/>
          <w:snapToGrid w:val="0"/>
          <w:sz w:val="24"/>
          <w:lang w:eastAsia="zh-CN"/>
        </w:rPr>
        <w:t>（</w:t>
      </w:r>
      <w:r>
        <w:rPr>
          <w:rFonts w:hint="eastAsia"/>
          <w:snapToGrid w:val="0"/>
          <w:sz w:val="24"/>
          <w:lang w:val="en-US" w:eastAsia="zh-CN"/>
        </w:rPr>
        <w:t>如有</w:t>
      </w:r>
      <w:r>
        <w:rPr>
          <w:rFonts w:hint="eastAsia"/>
          <w:snapToGrid w:val="0"/>
          <w:sz w:val="24"/>
          <w:lang w:eastAsia="zh-CN"/>
        </w:rPr>
        <w:t>）</w:t>
      </w:r>
      <w:r>
        <w:rPr>
          <w:snapToGrid w:val="0"/>
          <w:sz w:val="24"/>
        </w:rPr>
        <w:t>、执行（如有）、破产（如有）、执行异议（如有）、仲裁司法审查等所有法律程序。</w:t>
      </w:r>
    </w:p>
    <w:p w14:paraId="36363D5D">
      <w:pPr>
        <w:spacing w:line="520" w:lineRule="exact"/>
        <w:ind w:firstLine="482" w:firstLineChars="200"/>
        <w:rPr>
          <w:b/>
          <w:snapToGrid w:val="0"/>
          <w:sz w:val="24"/>
        </w:rPr>
      </w:pPr>
      <w:r>
        <w:rPr>
          <w:b/>
          <w:snapToGrid w:val="0"/>
          <w:sz w:val="24"/>
        </w:rPr>
        <w:t>二、服务律师</w:t>
      </w:r>
    </w:p>
    <w:p w14:paraId="59DCDD91">
      <w:pPr>
        <w:spacing w:line="520" w:lineRule="exact"/>
        <w:ind w:firstLine="480" w:firstLineChars="200"/>
        <w:rPr>
          <w:snapToGrid w:val="0"/>
          <w:sz w:val="24"/>
        </w:rPr>
      </w:pPr>
      <w:r>
        <w:rPr>
          <w:snapToGrid w:val="0"/>
          <w:sz w:val="24"/>
        </w:rPr>
        <w:t>乙方根据委托事项具体情况，特指派乙方的专职律师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）担任甲方在本合同项下纠纷的诉讼（仲裁）代理人，直至完成本合同约定的委托事项。</w:t>
      </w:r>
    </w:p>
    <w:p w14:paraId="092CFA24">
      <w:pPr>
        <w:spacing w:line="520" w:lineRule="exact"/>
        <w:ind w:firstLine="480" w:firstLineChars="200"/>
        <w:rPr>
          <w:snapToGrid w:val="0"/>
          <w:sz w:val="24"/>
        </w:rPr>
      </w:pPr>
      <w:r>
        <w:rPr>
          <w:snapToGrid w:val="0"/>
          <w:sz w:val="24"/>
        </w:rPr>
        <w:t>乙方律师因健康、执业机构变动、被暂停执业等原因不能履行代理职责时，经甲方书面同意，乙方可另行指派代理律师。</w:t>
      </w:r>
    </w:p>
    <w:p w14:paraId="1D84F13A">
      <w:pPr>
        <w:spacing w:line="520" w:lineRule="exact"/>
        <w:ind w:firstLine="482" w:firstLineChars="200"/>
        <w:rPr>
          <w:b/>
          <w:snapToGrid w:val="0"/>
          <w:sz w:val="24"/>
        </w:rPr>
      </w:pPr>
      <w:r>
        <w:rPr>
          <w:b/>
          <w:snapToGrid w:val="0"/>
          <w:sz w:val="24"/>
        </w:rPr>
        <w:t>三、乙方代理职责</w:t>
      </w:r>
    </w:p>
    <w:p w14:paraId="1026EFC0">
      <w:pPr>
        <w:spacing w:line="520" w:lineRule="exact"/>
        <w:ind w:firstLine="470" w:firstLineChars="196"/>
        <w:rPr>
          <w:snapToGrid w:val="0"/>
          <w:sz w:val="24"/>
        </w:rPr>
      </w:pPr>
      <w:r>
        <w:rPr>
          <w:snapToGrid w:val="0"/>
          <w:sz w:val="24"/>
        </w:rPr>
        <w:t>1.向甲方解答与本案有关的法律问题，并应甲方要求出具明确书面意见；</w:t>
      </w:r>
    </w:p>
    <w:p w14:paraId="40C85CA3">
      <w:pPr>
        <w:spacing w:line="520" w:lineRule="exact"/>
        <w:ind w:firstLine="470" w:firstLineChars="196"/>
        <w:rPr>
          <w:snapToGrid w:val="0"/>
          <w:sz w:val="24"/>
        </w:rPr>
      </w:pPr>
      <w:r>
        <w:rPr>
          <w:snapToGrid w:val="0"/>
          <w:sz w:val="24"/>
        </w:rPr>
        <w:t>2.指导甲方向法院（仲裁）机构提交证据；</w:t>
      </w:r>
    </w:p>
    <w:p w14:paraId="6196A26B">
      <w:pPr>
        <w:spacing w:line="520" w:lineRule="exact"/>
        <w:ind w:firstLine="470" w:firstLineChars="196"/>
        <w:rPr>
          <w:snapToGrid w:val="0"/>
          <w:sz w:val="24"/>
        </w:rPr>
      </w:pPr>
      <w:r>
        <w:rPr>
          <w:snapToGrid w:val="0"/>
          <w:sz w:val="24"/>
        </w:rPr>
        <w:t>3.根据甲方提供的证据线索调查收集证据；</w:t>
      </w:r>
    </w:p>
    <w:p w14:paraId="6AE1CE77">
      <w:pPr>
        <w:spacing w:line="520" w:lineRule="exact"/>
        <w:ind w:firstLine="470" w:firstLineChars="196"/>
        <w:rPr>
          <w:snapToGrid w:val="0"/>
          <w:sz w:val="24"/>
        </w:rPr>
      </w:pPr>
      <w:r>
        <w:rPr>
          <w:snapToGrid w:val="0"/>
          <w:sz w:val="24"/>
        </w:rPr>
        <w:t>4.根据甲方提供的财产线索调查对方当事人的财产状况；</w:t>
      </w:r>
    </w:p>
    <w:p w14:paraId="73BAA523">
      <w:pPr>
        <w:spacing w:line="520" w:lineRule="exact"/>
        <w:ind w:firstLine="470" w:firstLineChars="196"/>
        <w:rPr>
          <w:snapToGrid w:val="0"/>
          <w:sz w:val="24"/>
        </w:rPr>
      </w:pPr>
      <w:r>
        <w:rPr>
          <w:snapToGrid w:val="0"/>
          <w:sz w:val="24"/>
        </w:rPr>
        <w:t>5.代为办理诉讼或者仲裁立案手续；</w:t>
      </w:r>
    </w:p>
    <w:p w14:paraId="5A5E1DEF">
      <w:pPr>
        <w:spacing w:line="520" w:lineRule="exact"/>
        <w:ind w:firstLine="470" w:firstLineChars="196"/>
        <w:rPr>
          <w:snapToGrid w:val="0"/>
          <w:sz w:val="24"/>
        </w:rPr>
      </w:pPr>
      <w:r>
        <w:rPr>
          <w:snapToGrid w:val="0"/>
          <w:sz w:val="24"/>
        </w:rPr>
        <w:t>6.代为签收应诉通知书或者答辩通知书；</w:t>
      </w:r>
    </w:p>
    <w:p w14:paraId="67AF3B27">
      <w:pPr>
        <w:spacing w:line="520" w:lineRule="exact"/>
        <w:ind w:firstLine="470" w:firstLineChars="196"/>
        <w:rPr>
          <w:snapToGrid w:val="0"/>
          <w:sz w:val="24"/>
        </w:rPr>
      </w:pPr>
      <w:r>
        <w:rPr>
          <w:snapToGrid w:val="0"/>
          <w:sz w:val="24"/>
        </w:rPr>
        <w:t>7.代为申请财产保全；</w:t>
      </w:r>
    </w:p>
    <w:p w14:paraId="487D457F">
      <w:pPr>
        <w:spacing w:line="520" w:lineRule="exact"/>
        <w:ind w:firstLine="470" w:firstLineChars="196"/>
        <w:rPr>
          <w:snapToGrid w:val="0"/>
          <w:sz w:val="24"/>
        </w:rPr>
      </w:pPr>
      <w:r>
        <w:rPr>
          <w:snapToGrid w:val="0"/>
          <w:sz w:val="24"/>
        </w:rPr>
        <w:t>8.代为申请证据保全；</w:t>
      </w:r>
    </w:p>
    <w:p w14:paraId="08DFFC6C">
      <w:pPr>
        <w:spacing w:line="520" w:lineRule="exact"/>
        <w:ind w:firstLine="470" w:firstLineChars="196"/>
        <w:rPr>
          <w:snapToGrid w:val="0"/>
          <w:sz w:val="24"/>
        </w:rPr>
      </w:pPr>
      <w:r>
        <w:rPr>
          <w:snapToGrid w:val="0"/>
          <w:sz w:val="24"/>
        </w:rPr>
        <w:t>9.代为申请管辖异议、回避、诉讼（仲裁）中止和终结；</w:t>
      </w:r>
    </w:p>
    <w:p w14:paraId="13E36233">
      <w:pPr>
        <w:spacing w:line="520" w:lineRule="exact"/>
        <w:ind w:firstLine="470" w:firstLineChars="196"/>
        <w:rPr>
          <w:snapToGrid w:val="0"/>
          <w:sz w:val="24"/>
        </w:rPr>
      </w:pPr>
      <w:r>
        <w:rPr>
          <w:snapToGrid w:val="0"/>
          <w:sz w:val="24"/>
        </w:rPr>
        <w:t>10.代为参加仲裁庭审、一审、二审（如有）、再审（如有）诉讼出庭；</w:t>
      </w:r>
    </w:p>
    <w:p w14:paraId="153B0364">
      <w:pPr>
        <w:spacing w:line="520" w:lineRule="exact"/>
        <w:ind w:firstLine="470" w:firstLineChars="196"/>
        <w:rPr>
          <w:snapToGrid w:val="0"/>
          <w:sz w:val="24"/>
        </w:rPr>
      </w:pPr>
      <w:r>
        <w:rPr>
          <w:snapToGrid w:val="0"/>
          <w:sz w:val="24"/>
        </w:rPr>
        <w:t>11.代为签收仲裁或者诉讼文书；</w:t>
      </w:r>
    </w:p>
    <w:p w14:paraId="13FDC409">
      <w:pPr>
        <w:spacing w:line="520" w:lineRule="exact"/>
        <w:ind w:firstLine="470" w:firstLineChars="196"/>
        <w:rPr>
          <w:snapToGrid w:val="0"/>
          <w:sz w:val="24"/>
        </w:rPr>
      </w:pPr>
      <w:r>
        <w:rPr>
          <w:snapToGrid w:val="0"/>
          <w:sz w:val="24"/>
        </w:rPr>
        <w:t>12.代为起草上诉状或者上诉答辩状；</w:t>
      </w:r>
    </w:p>
    <w:p w14:paraId="0956434C">
      <w:pPr>
        <w:spacing w:line="520" w:lineRule="exact"/>
        <w:ind w:firstLine="470" w:firstLineChars="196"/>
        <w:rPr>
          <w:snapToGrid w:val="0"/>
          <w:sz w:val="24"/>
        </w:rPr>
      </w:pPr>
      <w:r>
        <w:rPr>
          <w:snapToGrid w:val="0"/>
          <w:sz w:val="24"/>
        </w:rPr>
        <w:t>13.根据法庭或者仲裁庭要求提交代理意见；</w:t>
      </w:r>
    </w:p>
    <w:p w14:paraId="4D606CA9">
      <w:pPr>
        <w:spacing w:line="520" w:lineRule="exact"/>
        <w:ind w:firstLine="470" w:firstLineChars="196"/>
        <w:rPr>
          <w:snapToGrid w:val="0"/>
          <w:sz w:val="24"/>
        </w:rPr>
      </w:pPr>
      <w:r>
        <w:rPr>
          <w:snapToGrid w:val="0"/>
          <w:sz w:val="24"/>
        </w:rPr>
        <w:t>14.代为提起或处理反诉、执行异议、执行异议之诉、撤销仲裁裁决、不予执行仲裁裁决、破产程序</w:t>
      </w:r>
      <w:r>
        <w:rPr>
          <w:rFonts w:hint="eastAsia"/>
          <w:snapToGrid w:val="0"/>
          <w:sz w:val="24"/>
          <w:lang w:eastAsia="zh-CN"/>
        </w:rPr>
        <w:t>、</w:t>
      </w:r>
      <w:r>
        <w:rPr>
          <w:rFonts w:hint="eastAsia"/>
          <w:snapToGrid w:val="0"/>
          <w:sz w:val="24"/>
          <w:lang w:val="en-US" w:eastAsia="zh-CN"/>
        </w:rPr>
        <w:t>另行起诉</w:t>
      </w:r>
      <w:r>
        <w:rPr>
          <w:snapToGrid w:val="0"/>
          <w:sz w:val="24"/>
        </w:rPr>
        <w:t>等因本案案件处理而衍生的全部法律程序；</w:t>
      </w:r>
    </w:p>
    <w:p w14:paraId="07357620">
      <w:pPr>
        <w:spacing w:line="520" w:lineRule="exact"/>
        <w:ind w:firstLine="470" w:firstLineChars="196"/>
        <w:rPr>
          <w:snapToGrid w:val="0"/>
          <w:sz w:val="24"/>
        </w:rPr>
      </w:pPr>
      <w:r>
        <w:rPr>
          <w:snapToGrid w:val="0"/>
          <w:sz w:val="24"/>
        </w:rPr>
        <w:t>15.就案件财产保全查控的全部财产，在查封、扣押、冻结期限届满前合理期限内及时通知甲方采取续封措施；</w:t>
      </w:r>
    </w:p>
    <w:p w14:paraId="29015E3A">
      <w:pPr>
        <w:spacing w:line="520" w:lineRule="exact"/>
        <w:ind w:firstLine="470" w:firstLineChars="196"/>
        <w:rPr>
          <w:b/>
          <w:snapToGrid w:val="0"/>
          <w:sz w:val="24"/>
        </w:rPr>
      </w:pPr>
      <w:r>
        <w:rPr>
          <w:snapToGrid w:val="0"/>
          <w:sz w:val="24"/>
        </w:rPr>
        <w:t>16.其他需要由乙方完成的代理事项。</w:t>
      </w:r>
    </w:p>
    <w:p w14:paraId="34889E2E">
      <w:pPr>
        <w:spacing w:line="520" w:lineRule="exact"/>
        <w:ind w:firstLine="482" w:firstLineChars="200"/>
        <w:rPr>
          <w:b/>
          <w:snapToGrid w:val="0"/>
          <w:sz w:val="24"/>
        </w:rPr>
      </w:pPr>
      <w:r>
        <w:rPr>
          <w:b/>
          <w:snapToGrid w:val="0"/>
          <w:sz w:val="24"/>
        </w:rPr>
        <w:t>四、代理权限</w:t>
      </w:r>
    </w:p>
    <w:p w14:paraId="78290CA5">
      <w:pPr>
        <w:spacing w:line="520" w:lineRule="exact"/>
        <w:ind w:firstLine="480" w:firstLineChars="200"/>
        <w:rPr>
          <w:snapToGrid w:val="0"/>
          <w:sz w:val="24"/>
        </w:rPr>
      </w:pPr>
      <w:r>
        <w:rPr>
          <w:snapToGrid w:val="0"/>
          <w:sz w:val="24"/>
        </w:rPr>
        <w:t>甲方授予乙方</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代理（具体权限详见《授权委托书》）。在代理期间内如需变更代理权限，双方需另行协商，甲方应向乙方重新出具《授权委托书》。</w:t>
      </w:r>
    </w:p>
    <w:p w14:paraId="59D71026">
      <w:pPr>
        <w:spacing w:line="520" w:lineRule="exact"/>
        <w:ind w:firstLine="482" w:firstLineChars="200"/>
        <w:rPr>
          <w:b/>
          <w:snapToGrid w:val="0"/>
          <w:sz w:val="24"/>
        </w:rPr>
      </w:pPr>
      <w:r>
        <w:rPr>
          <w:b/>
          <w:snapToGrid w:val="0"/>
          <w:sz w:val="24"/>
        </w:rPr>
        <w:t>五、甲方的权利与义务</w:t>
      </w:r>
    </w:p>
    <w:p w14:paraId="2A936589">
      <w:pPr>
        <w:spacing w:line="520" w:lineRule="exact"/>
        <w:ind w:firstLine="480" w:firstLineChars="200"/>
        <w:rPr>
          <w:snapToGrid w:val="0"/>
          <w:sz w:val="24"/>
        </w:rPr>
      </w:pPr>
      <w:r>
        <w:rPr>
          <w:snapToGrid w:val="0"/>
          <w:sz w:val="24"/>
        </w:rPr>
        <w:t>5.1  甲方有权要求乙方及时通报服务或案情进展情况，对乙方提供的法律服务有权提出意见或建议。</w:t>
      </w:r>
    </w:p>
    <w:p w14:paraId="73AB098A">
      <w:pPr>
        <w:spacing w:line="520" w:lineRule="exact"/>
        <w:ind w:firstLine="480" w:firstLineChars="200"/>
        <w:rPr>
          <w:snapToGrid w:val="0"/>
          <w:sz w:val="24"/>
        </w:rPr>
      </w:pPr>
      <w:r>
        <w:rPr>
          <w:snapToGrid w:val="0"/>
          <w:sz w:val="24"/>
        </w:rPr>
        <w:t>5.2  甲方有权拒绝乙方及承办律师提出的本委托合同约定之外的其他报酬要求。</w:t>
      </w:r>
    </w:p>
    <w:p w14:paraId="0399EBFF">
      <w:pPr>
        <w:spacing w:line="520" w:lineRule="exact"/>
        <w:ind w:firstLine="480" w:firstLineChars="200"/>
        <w:rPr>
          <w:snapToGrid w:val="0"/>
          <w:sz w:val="24"/>
        </w:rPr>
      </w:pPr>
      <w:r>
        <w:rPr>
          <w:snapToGrid w:val="0"/>
          <w:sz w:val="24"/>
        </w:rPr>
        <w:t>5.3  甲方应如实向乙方代理律师陈述案情，提供有关证据材料和证据线索。</w:t>
      </w:r>
    </w:p>
    <w:p w14:paraId="42FF48AA">
      <w:pPr>
        <w:spacing w:line="520" w:lineRule="exact"/>
        <w:ind w:firstLine="525"/>
        <w:rPr>
          <w:snapToGrid w:val="0"/>
          <w:sz w:val="24"/>
        </w:rPr>
      </w:pPr>
      <w:r>
        <w:rPr>
          <w:snapToGrid w:val="0"/>
          <w:sz w:val="24"/>
        </w:rPr>
        <w:t>5.4  甲方应按时、足额向乙方支付律师代理费。</w:t>
      </w:r>
    </w:p>
    <w:p w14:paraId="56936FFB">
      <w:pPr>
        <w:spacing w:line="520" w:lineRule="exact"/>
        <w:ind w:firstLine="482" w:firstLineChars="200"/>
        <w:rPr>
          <w:b/>
          <w:snapToGrid w:val="0"/>
          <w:sz w:val="24"/>
        </w:rPr>
      </w:pPr>
      <w:r>
        <w:rPr>
          <w:b/>
          <w:snapToGrid w:val="0"/>
          <w:sz w:val="24"/>
        </w:rPr>
        <w:t>六、乙方的权利与义务</w:t>
      </w:r>
    </w:p>
    <w:p w14:paraId="713BE24C">
      <w:pPr>
        <w:spacing w:line="520" w:lineRule="exact"/>
        <w:ind w:firstLine="480" w:firstLineChars="200"/>
        <w:rPr>
          <w:snapToGrid w:val="0"/>
          <w:sz w:val="24"/>
        </w:rPr>
      </w:pPr>
      <w:r>
        <w:rPr>
          <w:snapToGrid w:val="0"/>
          <w:sz w:val="24"/>
        </w:rPr>
        <w:t>6.1  乙方律师应当充分运用自己的专业知识和技能，尽心尽职地根据法律、法规的规定完成本合同约定的被委托事项，最大限度地维护甲方的合法权益；乙方律师应按甲方要求及时通报案件进展情况。</w:t>
      </w:r>
    </w:p>
    <w:p w14:paraId="21656FF4">
      <w:pPr>
        <w:spacing w:line="520" w:lineRule="exact"/>
        <w:ind w:firstLine="480" w:firstLineChars="200"/>
        <w:rPr>
          <w:snapToGrid w:val="0"/>
          <w:sz w:val="24"/>
        </w:rPr>
      </w:pPr>
      <w:r>
        <w:rPr>
          <w:snapToGrid w:val="0"/>
          <w:sz w:val="24"/>
        </w:rPr>
        <w:t>6.2  乙方律师应当遵循诚实守信的原则，依据法律、法规的规定做出专业判断，客观地以书面形式告知甲方所委托事项可能出现的全部法律风险。</w:t>
      </w:r>
    </w:p>
    <w:p w14:paraId="4B849E4F">
      <w:pPr>
        <w:spacing w:line="520" w:lineRule="exact"/>
        <w:ind w:firstLine="480" w:firstLineChars="200"/>
        <w:rPr>
          <w:snapToGrid w:val="0"/>
          <w:sz w:val="24"/>
        </w:rPr>
      </w:pPr>
      <w:r>
        <w:rPr>
          <w:snapToGrid w:val="0"/>
          <w:sz w:val="24"/>
        </w:rPr>
        <w:t>6.3  乙方律师应当根据法律规定的时限、时效以及审理机构的要求，及时提交证据，提交法律文书，按时出庭，及时办理受委托的事务。</w:t>
      </w:r>
    </w:p>
    <w:p w14:paraId="39BA1F28">
      <w:pPr>
        <w:spacing w:line="520" w:lineRule="exact"/>
        <w:ind w:firstLine="480" w:firstLineChars="200"/>
        <w:rPr>
          <w:snapToGrid w:val="0"/>
          <w:sz w:val="24"/>
        </w:rPr>
      </w:pPr>
      <w:r>
        <w:rPr>
          <w:snapToGrid w:val="0"/>
          <w:sz w:val="24"/>
        </w:rPr>
        <w:t>6.4  乙方律师对其获知的甲方的商业机密负有保密责任，非由法律规定或甲方书面同意，不得向任何第三方披露。</w:t>
      </w:r>
    </w:p>
    <w:p w14:paraId="344A0EEF">
      <w:pPr>
        <w:spacing w:line="520" w:lineRule="exact"/>
        <w:ind w:firstLine="525"/>
        <w:rPr>
          <w:snapToGrid w:val="0"/>
          <w:sz w:val="24"/>
        </w:rPr>
      </w:pPr>
      <w:r>
        <w:rPr>
          <w:snapToGrid w:val="0"/>
          <w:sz w:val="24"/>
        </w:rPr>
        <w:t>6.5  乙方如发现甲方有捏造事实、故意隐瞒事实真相或故意提供虚假证据等行为的，乙方有权单方解除本合同。</w:t>
      </w:r>
    </w:p>
    <w:p w14:paraId="182BB2A8">
      <w:pPr>
        <w:spacing w:line="520" w:lineRule="exact"/>
        <w:ind w:firstLine="480" w:firstLineChars="200"/>
        <w:rPr>
          <w:snapToGrid w:val="0"/>
          <w:sz w:val="24"/>
        </w:rPr>
      </w:pPr>
      <w:r>
        <w:rPr>
          <w:snapToGrid w:val="0"/>
          <w:sz w:val="24"/>
        </w:rPr>
        <w:t>6.6  在涉及与甲方的对抗性案件中，未经甲方书面同意，不得同时担任与甲方具有法律上利益冲突的另一方的委托代理人。</w:t>
      </w:r>
    </w:p>
    <w:p w14:paraId="5F71839D">
      <w:pPr>
        <w:spacing w:line="520" w:lineRule="exact"/>
        <w:ind w:firstLine="480" w:firstLineChars="200"/>
        <w:rPr>
          <w:snapToGrid w:val="0"/>
          <w:sz w:val="24"/>
        </w:rPr>
      </w:pPr>
      <w:r>
        <w:rPr>
          <w:snapToGrid w:val="0"/>
          <w:sz w:val="24"/>
        </w:rPr>
        <w:t>6.7  乙方对甲方业务应当单独建档，对涉及甲方的原始证据、法律文件和财物应当妥善保管，设立交接记录。档案保存时间根据律师业务档案管理规定执行。</w:t>
      </w:r>
    </w:p>
    <w:p w14:paraId="20D2FACC">
      <w:pPr>
        <w:spacing w:line="520" w:lineRule="exact"/>
        <w:ind w:firstLine="480" w:firstLineChars="200"/>
        <w:rPr>
          <w:snapToGrid w:val="0"/>
          <w:sz w:val="24"/>
        </w:rPr>
      </w:pPr>
      <w:r>
        <w:rPr>
          <w:snapToGrid w:val="0"/>
          <w:sz w:val="24"/>
        </w:rPr>
        <w:t>6.8  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58EC3900">
      <w:pPr>
        <w:spacing w:line="520" w:lineRule="exact"/>
        <w:ind w:firstLine="482" w:firstLineChars="200"/>
        <w:rPr>
          <w:snapToGrid w:val="0"/>
          <w:sz w:val="24"/>
        </w:rPr>
      </w:pPr>
      <w:r>
        <w:rPr>
          <w:b/>
          <w:snapToGrid w:val="0"/>
          <w:sz w:val="24"/>
        </w:rPr>
        <w:t>七、律师代理费</w:t>
      </w:r>
    </w:p>
    <w:p w14:paraId="7953AD7B">
      <w:pPr>
        <w:spacing w:line="520" w:lineRule="exact"/>
        <w:ind w:firstLine="480" w:firstLineChars="200"/>
        <w:rPr>
          <w:snapToGrid w:val="0"/>
          <w:sz w:val="24"/>
        </w:rPr>
      </w:pPr>
      <w:r>
        <w:rPr>
          <w:snapToGrid w:val="0"/>
          <w:sz w:val="24"/>
        </w:rPr>
        <w:t>乙方经招标采购被确定为中标人，根据乙方提供的报价方案，甲方按照下述约定支付律师代理费：</w:t>
      </w:r>
    </w:p>
    <w:p w14:paraId="1A334AE3">
      <w:pPr>
        <w:spacing w:line="520" w:lineRule="exact"/>
        <w:ind w:firstLine="480" w:firstLineChars="200"/>
        <w:rPr>
          <w:snapToGrid w:val="0"/>
          <w:sz w:val="24"/>
        </w:rPr>
      </w:pPr>
      <w:r>
        <w:rPr>
          <w:snapToGrid w:val="0"/>
          <w:sz w:val="24"/>
        </w:rPr>
        <w:t>7.1  甲方按照以下方式向乙方支付律师代理费：签订合同10个工作日内</w:t>
      </w:r>
      <w:r>
        <w:rPr>
          <w:rFonts w:hint="eastAsia"/>
          <w:snapToGrid w:val="0"/>
          <w:sz w:val="24"/>
        </w:rPr>
        <w:t>，乙方</w:t>
      </w:r>
      <w:r>
        <w:rPr>
          <w:snapToGrid w:val="0"/>
          <w:sz w:val="24"/>
        </w:rPr>
        <w:t>向</w:t>
      </w:r>
      <w:r>
        <w:rPr>
          <w:rFonts w:hint="eastAsia"/>
          <w:snapToGrid w:val="0"/>
          <w:sz w:val="24"/>
        </w:rPr>
        <w:t>甲方开具相应增值税专用发票后，甲方向</w:t>
      </w:r>
      <w:r>
        <w:rPr>
          <w:snapToGrid w:val="0"/>
          <w:sz w:val="24"/>
        </w:rPr>
        <w:t>乙方支付</w:t>
      </w:r>
      <w:r>
        <w:rPr>
          <w:snapToGrid w:val="0"/>
          <w:sz w:val="24"/>
          <w:u w:val="single"/>
        </w:rPr>
        <w:t xml:space="preserve">     </w:t>
      </w:r>
      <w:r>
        <w:rPr>
          <w:snapToGrid w:val="0"/>
          <w:sz w:val="24"/>
        </w:rPr>
        <w:t>万元基础代理费；</w:t>
      </w:r>
      <w:r>
        <w:rPr>
          <w:rFonts w:hint="eastAsia"/>
          <w:snapToGrid w:val="0"/>
          <w:sz w:val="24"/>
        </w:rPr>
        <w:t>若以其他案由再次起诉并经法院受理后，另行支付</w:t>
      </w:r>
      <w:r>
        <w:rPr>
          <w:rFonts w:hint="eastAsia"/>
          <w:snapToGrid w:val="0"/>
          <w:sz w:val="24"/>
          <w:u w:val="single"/>
          <w:lang w:val="en-US" w:eastAsia="zh-CN"/>
        </w:rPr>
        <w:t xml:space="preserve">     </w:t>
      </w:r>
      <w:r>
        <w:rPr>
          <w:rFonts w:hint="eastAsia"/>
          <w:snapToGrid w:val="0"/>
          <w:sz w:val="24"/>
        </w:rPr>
        <w:t>万元，未发生再次起诉的，该部分费用不予支付</w:t>
      </w:r>
      <w:r>
        <w:rPr>
          <w:rFonts w:hint="eastAsia"/>
          <w:snapToGrid w:val="0"/>
          <w:sz w:val="24"/>
          <w:lang w:val="en-US" w:eastAsia="zh-CN"/>
        </w:rPr>
        <w:t>。前述两部分基础代理费均在对应支付条件达成后先行支付60%，待合同约定事项全部履行完毕后，再支付剩余40%；</w:t>
      </w:r>
      <w:r>
        <w:rPr>
          <w:snapToGrid w:val="0"/>
          <w:sz w:val="24"/>
        </w:rPr>
        <w:t>乙方协助甲方取得案件生效法律文书后且收到案件回款，按照甲方实际收到回款金额的</w:t>
      </w:r>
      <w:r>
        <w:rPr>
          <w:snapToGrid w:val="0"/>
          <w:sz w:val="24"/>
          <w:u w:val="single"/>
        </w:rPr>
        <w:t xml:space="preserve">      </w:t>
      </w:r>
      <w:r>
        <w:rPr>
          <w:rFonts w:hint="eastAsia"/>
          <w:snapToGrid w:val="0"/>
          <w:sz w:val="24"/>
          <w:u w:val="single"/>
        </w:rPr>
        <w:t>%</w:t>
      </w:r>
      <w:r>
        <w:rPr>
          <w:snapToGrid w:val="0"/>
          <w:sz w:val="24"/>
        </w:rPr>
        <w:t>向乙方支付风险代理费，风险代理费在收到乙方开具的相应增值税专用发票之日起15个工作日内支付，风险代理费不超过</w:t>
      </w:r>
      <w:r>
        <w:rPr>
          <w:snapToGrid w:val="0"/>
          <w:sz w:val="24"/>
          <w:u w:val="single"/>
        </w:rPr>
        <w:t xml:space="preserve">      </w:t>
      </w:r>
      <w:r>
        <w:rPr>
          <w:snapToGrid w:val="0"/>
          <w:sz w:val="24"/>
        </w:rPr>
        <w:t>万元。上述总费用共计不超过</w:t>
      </w:r>
      <w:r>
        <w:rPr>
          <w:snapToGrid w:val="0"/>
          <w:sz w:val="24"/>
          <w:u w:val="single"/>
        </w:rPr>
        <w:t xml:space="preserve">          </w:t>
      </w:r>
      <w:r>
        <w:rPr>
          <w:snapToGrid w:val="0"/>
          <w:sz w:val="24"/>
        </w:rPr>
        <w:t>万元（大写</w:t>
      </w:r>
      <w:r>
        <w:rPr>
          <w:rFonts w:hint="eastAsia"/>
          <w:snapToGrid w:val="0"/>
          <w:sz w:val="24"/>
        </w:rPr>
        <w:t>：</w:t>
      </w:r>
      <w:r>
        <w:rPr>
          <w:snapToGrid w:val="0"/>
          <w:sz w:val="24"/>
          <w:u w:val="single"/>
        </w:rPr>
        <w:t xml:space="preserve">           </w:t>
      </w:r>
      <w:r>
        <w:rPr>
          <w:snapToGrid w:val="0"/>
          <w:sz w:val="24"/>
        </w:rPr>
        <w:t>）。</w:t>
      </w:r>
    </w:p>
    <w:p w14:paraId="3CCC9C0A">
      <w:pPr>
        <w:spacing w:line="520" w:lineRule="exact"/>
        <w:ind w:firstLine="480" w:firstLineChars="200"/>
        <w:rPr>
          <w:snapToGrid w:val="0"/>
          <w:sz w:val="24"/>
        </w:rPr>
      </w:pPr>
      <w:r>
        <w:rPr>
          <w:snapToGrid w:val="0"/>
          <w:sz w:val="24"/>
        </w:rPr>
        <w:t>7.2  对律师代理费的特别约定</w:t>
      </w:r>
    </w:p>
    <w:p w14:paraId="108B009B">
      <w:pPr>
        <w:spacing w:line="520" w:lineRule="exact"/>
        <w:ind w:firstLine="480" w:firstLineChars="200"/>
        <w:rPr>
          <w:snapToGrid w:val="0"/>
          <w:sz w:val="24"/>
        </w:rPr>
      </w:pPr>
      <w:r>
        <w:rPr>
          <w:snapToGrid w:val="0"/>
          <w:sz w:val="24"/>
        </w:rPr>
        <w:t>7.2.1  律师代理费已包括乙方律师为完成委托事项而需支出的全部费用（包括但不限于差旅费、住宿费、餐饮费等）。</w:t>
      </w:r>
    </w:p>
    <w:p w14:paraId="3FA2ED09">
      <w:pPr>
        <w:spacing w:line="520" w:lineRule="exact"/>
        <w:ind w:firstLine="480" w:firstLineChars="200"/>
        <w:rPr>
          <w:snapToGrid w:val="0"/>
          <w:sz w:val="24"/>
        </w:rPr>
      </w:pPr>
      <w:r>
        <w:rPr>
          <w:snapToGrid w:val="0"/>
          <w:sz w:val="24"/>
        </w:rPr>
        <w:t>7.2.2  有关单位收取的诉讼（仲裁）费、执行费、保全费、拍卖费、公告费、鉴定费、公证费、评估费、翻译费、查档费或专家论证费等相关费用由甲方承担。</w:t>
      </w:r>
    </w:p>
    <w:p w14:paraId="686C4AFC">
      <w:pPr>
        <w:spacing w:line="520" w:lineRule="exact"/>
        <w:ind w:firstLine="480" w:firstLineChars="200"/>
        <w:rPr>
          <w:snapToGrid w:val="0"/>
          <w:sz w:val="24"/>
        </w:rPr>
      </w:pPr>
      <w:r>
        <w:rPr>
          <w:snapToGrid w:val="0"/>
          <w:sz w:val="24"/>
        </w:rPr>
        <w:t>7.2.3  乙方律师处理反诉、一审、二审、再审、</w:t>
      </w:r>
      <w:r>
        <w:rPr>
          <w:rFonts w:hint="eastAsia"/>
          <w:snapToGrid w:val="0"/>
          <w:sz w:val="24"/>
          <w:lang w:val="en-US" w:eastAsia="zh-CN"/>
        </w:rPr>
        <w:t>另行起诉、</w:t>
      </w:r>
      <w:r>
        <w:rPr>
          <w:snapToGrid w:val="0"/>
          <w:sz w:val="24"/>
        </w:rPr>
        <w:t>执行、破产、执行异议之诉、撤销仲裁裁决、不予执行仲裁裁决、破产程序等因本案</w:t>
      </w:r>
      <w:r>
        <w:rPr>
          <w:rFonts w:hint="eastAsia"/>
          <w:snapToGrid w:val="0"/>
          <w:sz w:val="24"/>
        </w:rPr>
        <w:t>及本案相关</w:t>
      </w:r>
      <w:r>
        <w:rPr>
          <w:snapToGrid w:val="0"/>
          <w:sz w:val="24"/>
        </w:rPr>
        <w:t>案件处理而衍生的全部法律程序，甲方无需另行支付费用。</w:t>
      </w:r>
    </w:p>
    <w:p w14:paraId="1D8581C9">
      <w:pPr>
        <w:spacing w:line="520" w:lineRule="exact"/>
        <w:ind w:firstLine="480" w:firstLineChars="200"/>
        <w:rPr>
          <w:snapToGrid w:val="0"/>
          <w:sz w:val="24"/>
        </w:rPr>
      </w:pPr>
      <w:r>
        <w:rPr>
          <w:snapToGrid w:val="0"/>
          <w:sz w:val="24"/>
        </w:rPr>
        <w:t>7.2.4  甲方向乙方支付律师代理费前，乙方应向甲方开具足额、有效的增值税专用发票，否则甲方有权拒绝付款，且不承担因此而产生的违约责任。</w:t>
      </w:r>
    </w:p>
    <w:p w14:paraId="25D0C680">
      <w:pPr>
        <w:autoSpaceDE w:val="0"/>
        <w:autoSpaceDN w:val="0"/>
        <w:adjustRightInd w:val="0"/>
        <w:spacing w:line="520" w:lineRule="exact"/>
        <w:ind w:firstLine="480" w:firstLineChars="200"/>
        <w:rPr>
          <w:snapToGrid w:val="0"/>
          <w:sz w:val="24"/>
        </w:rPr>
      </w:pPr>
      <w:r>
        <w:rPr>
          <w:snapToGrid w:val="0"/>
          <w:sz w:val="24"/>
        </w:rPr>
        <w:t>7.2.5  甲方因被告主动清偿债务而决定不起诉或撤回起诉的，甲乙双方均不再履行相应案件代理的合同义务，本合同自动终止。</w:t>
      </w:r>
    </w:p>
    <w:p w14:paraId="555BE51B">
      <w:pPr>
        <w:autoSpaceDE w:val="0"/>
        <w:autoSpaceDN w:val="0"/>
        <w:adjustRightInd w:val="0"/>
        <w:spacing w:line="520" w:lineRule="exact"/>
        <w:ind w:firstLine="480" w:firstLineChars="200"/>
        <w:rPr>
          <w:snapToGrid w:val="0"/>
          <w:sz w:val="24"/>
        </w:rPr>
      </w:pPr>
      <w:r>
        <w:rPr>
          <w:snapToGrid w:val="0"/>
          <w:sz w:val="24"/>
        </w:rPr>
        <w:t>7.2.6  如本案经再审或第三人撤销之诉等导致生效裁判文书被法院撤销或变更，或收回款项后发生执行回转或其他情形导致甲方退回全部或部分已收回款项的，甲方不支付该部分款项对应的风险代理费，乙方应当退还甲方已支付的该部分款项对应的风险代理费，甲乙双方另有约定的除外。</w:t>
      </w:r>
    </w:p>
    <w:p w14:paraId="4A31275D">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7.2.7 基础代理费的支付与结算，按以下情形分别处理：</w:t>
      </w:r>
    </w:p>
    <w:p w14:paraId="0047B5B1">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1）若本案在民事审理过程中转入刑事程序，且法院据此裁定中止审理或驳回起诉的，乙方已收取的基础代理费应按照本协议第7.1条约定的50%进行结算。超出部分，乙方应在收到法院出具的前述裁定后退还给甲方。</w:t>
      </w:r>
    </w:p>
    <w:p w14:paraId="08BEBDFB">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（2）在前款所述情形下，若此后案件恢复民事审理，或甲方决定委托乙方就本案另行提起新的诉讼的，甲方应补足本协议第7.1条约定的全部基础代理费。</w:t>
      </w:r>
    </w:p>
    <w:p w14:paraId="7993DEF0">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（3）若本案始终未经法院民事立案，则甲方无须支付任何基础代理费，已支付的应当退还。</w:t>
      </w:r>
    </w:p>
    <w:p w14:paraId="41711706">
      <w:pPr>
        <w:autoSpaceDE w:val="0"/>
        <w:autoSpaceDN w:val="0"/>
        <w:adjustRightInd w:val="0"/>
        <w:spacing w:line="520" w:lineRule="exact"/>
        <w:ind w:firstLine="480" w:firstLineChars="200"/>
        <w:rPr>
          <w:snapToGrid w:val="0"/>
          <w:sz w:val="24"/>
        </w:rPr>
      </w:pPr>
      <w:r>
        <w:rPr>
          <w:snapToGrid w:val="0"/>
          <w:sz w:val="24"/>
        </w:rPr>
        <w:t>7.3  付款方式</w:t>
      </w:r>
    </w:p>
    <w:p w14:paraId="2A8D0F55">
      <w:pPr>
        <w:spacing w:line="520" w:lineRule="exact"/>
        <w:ind w:firstLine="480" w:firstLineChars="200"/>
        <w:rPr>
          <w:snapToGrid w:val="0"/>
          <w:sz w:val="24"/>
        </w:rPr>
      </w:pPr>
      <w:r>
        <w:rPr>
          <w:snapToGrid w:val="0"/>
          <w:sz w:val="24"/>
        </w:rPr>
        <w:t>律师代理费的支付方式为现金、支票或银行转账。采用现金或支票方式支付的，以乙方财务部门收讫为准。采用银行转账方式支付的，以下列账号为乙方收款账号：</w:t>
      </w:r>
    </w:p>
    <w:p w14:paraId="0091F4AB">
      <w:pPr>
        <w:spacing w:line="520" w:lineRule="exact"/>
        <w:ind w:firstLine="482" w:firstLineChars="200"/>
        <w:rPr>
          <w:b/>
          <w:bCs/>
          <w:snapToGrid w:val="0"/>
          <w:sz w:val="24"/>
          <w:u w:val="single"/>
        </w:rPr>
      </w:pPr>
      <w:r>
        <w:rPr>
          <w:b/>
          <w:bCs/>
          <w:snapToGrid w:val="0"/>
          <w:sz w:val="24"/>
          <w:u w:val="single"/>
        </w:rPr>
        <w:t xml:space="preserve">户  名：                           </w:t>
      </w:r>
    </w:p>
    <w:p w14:paraId="7A63EDDA">
      <w:pPr>
        <w:spacing w:line="520" w:lineRule="exact"/>
        <w:ind w:firstLine="482" w:firstLineChars="200"/>
        <w:rPr>
          <w:b/>
          <w:bCs/>
          <w:snapToGrid w:val="0"/>
          <w:sz w:val="24"/>
          <w:u w:val="single"/>
        </w:rPr>
      </w:pPr>
      <w:r>
        <w:rPr>
          <w:b/>
          <w:bCs/>
          <w:snapToGrid w:val="0"/>
          <w:sz w:val="24"/>
          <w:u w:val="single"/>
        </w:rPr>
        <w:t xml:space="preserve">开户行：                           </w:t>
      </w:r>
    </w:p>
    <w:p w14:paraId="66A8CB11">
      <w:pPr>
        <w:spacing w:line="520" w:lineRule="exact"/>
        <w:ind w:firstLine="482" w:firstLineChars="200"/>
        <w:rPr>
          <w:b/>
          <w:bCs/>
          <w:snapToGrid w:val="0"/>
          <w:sz w:val="24"/>
          <w:u w:val="single"/>
        </w:rPr>
      </w:pPr>
      <w:r>
        <w:rPr>
          <w:b/>
          <w:bCs/>
          <w:snapToGrid w:val="0"/>
          <w:sz w:val="24"/>
          <w:u w:val="single"/>
        </w:rPr>
        <w:t xml:space="preserve">账  号：                           </w:t>
      </w:r>
    </w:p>
    <w:p w14:paraId="74832EC1">
      <w:pPr>
        <w:spacing w:line="520" w:lineRule="exact"/>
        <w:ind w:firstLine="482" w:firstLineChars="200"/>
        <w:rPr>
          <w:b/>
          <w:bCs/>
          <w:snapToGrid w:val="0"/>
          <w:sz w:val="24"/>
        </w:rPr>
      </w:pPr>
      <w:r>
        <w:rPr>
          <w:b/>
          <w:bCs/>
          <w:snapToGrid w:val="0"/>
          <w:sz w:val="24"/>
        </w:rPr>
        <w:t>八、通知、送达与签收</w:t>
      </w:r>
    </w:p>
    <w:p w14:paraId="67A58B4F">
      <w:pPr>
        <w:keepNext w:val="0"/>
        <w:keepLines w:val="0"/>
        <w:pageBreakBefore w:val="0"/>
        <w:kinsoku/>
        <w:wordWrap/>
        <w:overflowPunct/>
        <w:topLinePunct w:val="0"/>
        <w:bidi w:val="0"/>
        <w:snapToGrid/>
        <w:spacing w:line="480" w:lineRule="exact"/>
        <w:ind w:firstLine="480" w:firstLineChars="200"/>
        <w:textAlignment w:val="auto"/>
        <w:rPr>
          <w:snapToGrid w:val="0"/>
          <w:sz w:val="24"/>
        </w:rPr>
      </w:pPr>
      <w:r>
        <w:rPr>
          <w:snapToGrid w:val="0"/>
          <w:sz w:val="24"/>
        </w:rPr>
        <w:t>8.1  甲乙双方因履行本合同相互发出或者提供的所有通知、文件、资料，均应由对方签收，或按合同所列地址送达。一方如果迁址或者变更电话，应当书面通知对方，否则，邮件寄出之日视为送达。</w:t>
      </w:r>
    </w:p>
    <w:p w14:paraId="54DE56CD">
      <w:pPr>
        <w:keepNext w:val="0"/>
        <w:keepLines w:val="0"/>
        <w:pageBreakBefore w:val="0"/>
        <w:kinsoku/>
        <w:wordWrap/>
        <w:overflowPunct/>
        <w:topLinePunct w:val="0"/>
        <w:bidi w:val="0"/>
        <w:snapToGrid/>
        <w:spacing w:line="480" w:lineRule="exact"/>
        <w:ind w:firstLine="480" w:firstLineChars="200"/>
        <w:textAlignment w:val="auto"/>
        <w:rPr>
          <w:snapToGrid w:val="0"/>
          <w:sz w:val="24"/>
        </w:rPr>
      </w:pPr>
      <w:r>
        <w:rPr>
          <w:snapToGrid w:val="0"/>
          <w:sz w:val="24"/>
        </w:rPr>
        <w:t>8.2  甲乙双方的文件往来应执行签收制度，因文件缺失导致的不利后果将根据签收记录确定双方责任。</w:t>
      </w:r>
    </w:p>
    <w:p w14:paraId="70B4CF09">
      <w:pPr>
        <w:keepNext w:val="0"/>
        <w:keepLines w:val="0"/>
        <w:pageBreakBefore w:val="0"/>
        <w:kinsoku/>
        <w:wordWrap/>
        <w:overflowPunct/>
        <w:topLinePunct w:val="0"/>
        <w:bidi w:val="0"/>
        <w:snapToGrid/>
        <w:spacing w:line="480" w:lineRule="exact"/>
        <w:ind w:firstLine="482" w:firstLineChars="200"/>
        <w:textAlignment w:val="auto"/>
        <w:rPr>
          <w:b/>
          <w:snapToGrid w:val="0"/>
          <w:sz w:val="24"/>
        </w:rPr>
      </w:pPr>
      <w:r>
        <w:rPr>
          <w:b/>
          <w:snapToGrid w:val="0"/>
          <w:sz w:val="24"/>
        </w:rPr>
        <w:t>九、违约责任</w:t>
      </w:r>
    </w:p>
    <w:p w14:paraId="637780EE">
      <w:pPr>
        <w:keepNext w:val="0"/>
        <w:keepLines w:val="0"/>
        <w:pageBreakBefore w:val="0"/>
        <w:kinsoku/>
        <w:wordWrap/>
        <w:overflowPunct/>
        <w:topLinePunct w:val="0"/>
        <w:bidi w:val="0"/>
        <w:snapToGrid/>
        <w:spacing w:line="480" w:lineRule="exact"/>
        <w:ind w:firstLine="480" w:firstLineChars="200"/>
        <w:textAlignment w:val="auto"/>
        <w:rPr>
          <w:snapToGrid w:val="0"/>
          <w:sz w:val="24"/>
        </w:rPr>
      </w:pPr>
      <w:r>
        <w:rPr>
          <w:snapToGrid w:val="0"/>
          <w:sz w:val="24"/>
        </w:rPr>
        <w:t>9.1  本合同履行中，乙方律师存在重大过错，甲方单方解除本合同的，乙方应退还已收取的全部律师代理费；因乙方律师过错造成甲方损失的，乙方应赔偿甲方遭受的损失。</w:t>
      </w:r>
    </w:p>
    <w:p w14:paraId="7A9A239E">
      <w:pPr>
        <w:keepNext w:val="0"/>
        <w:keepLines w:val="0"/>
        <w:pageBreakBefore w:val="0"/>
        <w:kinsoku/>
        <w:wordWrap/>
        <w:overflowPunct/>
        <w:topLinePunct w:val="0"/>
        <w:bidi w:val="0"/>
        <w:snapToGrid/>
        <w:spacing w:line="480" w:lineRule="exact"/>
        <w:ind w:firstLine="525"/>
        <w:textAlignment w:val="auto"/>
        <w:rPr>
          <w:snapToGrid w:val="0"/>
          <w:sz w:val="24"/>
        </w:rPr>
      </w:pPr>
      <w:r>
        <w:rPr>
          <w:snapToGrid w:val="0"/>
          <w:sz w:val="24"/>
        </w:rPr>
        <w:t>9.2  甲方无过错而乙方要求解除合同的，乙方需将收取的律师代理费全额退还给甲方；因乙方解除合同给甲方造成损失的，乙方应向甲方予以赔偿。</w:t>
      </w:r>
    </w:p>
    <w:p w14:paraId="06555997">
      <w:pPr>
        <w:keepNext w:val="0"/>
        <w:keepLines w:val="0"/>
        <w:pageBreakBefore w:val="0"/>
        <w:kinsoku/>
        <w:wordWrap/>
        <w:overflowPunct/>
        <w:topLinePunct w:val="0"/>
        <w:bidi w:val="0"/>
        <w:snapToGrid/>
        <w:spacing w:line="480" w:lineRule="exact"/>
        <w:ind w:firstLine="525"/>
        <w:textAlignment w:val="auto"/>
        <w:rPr>
          <w:snapToGrid w:val="0"/>
          <w:sz w:val="24"/>
        </w:rPr>
      </w:pPr>
      <w:r>
        <w:rPr>
          <w:snapToGrid w:val="0"/>
          <w:sz w:val="24"/>
        </w:rPr>
        <w:t>9.3  甲方未能按本协议约定按期支付律师代理费的，乙方有权拒绝继续为甲方提供法律服务；甲方逾期支付律师代理费超过60日的，乙方有权单方解除合同。</w:t>
      </w:r>
    </w:p>
    <w:p w14:paraId="135AACA2">
      <w:pPr>
        <w:keepNext w:val="0"/>
        <w:keepLines w:val="0"/>
        <w:pageBreakBefore w:val="0"/>
        <w:kinsoku/>
        <w:wordWrap/>
        <w:overflowPunct/>
        <w:topLinePunct w:val="0"/>
        <w:bidi w:val="0"/>
        <w:snapToGrid/>
        <w:spacing w:line="480" w:lineRule="exact"/>
        <w:ind w:firstLine="482" w:firstLineChars="200"/>
        <w:textAlignment w:val="auto"/>
        <w:rPr>
          <w:b/>
          <w:snapToGrid w:val="0"/>
          <w:sz w:val="24"/>
        </w:rPr>
      </w:pPr>
      <w:r>
        <w:rPr>
          <w:b/>
          <w:snapToGrid w:val="0"/>
          <w:sz w:val="24"/>
        </w:rPr>
        <w:t>十、纠纷解决</w:t>
      </w:r>
    </w:p>
    <w:p w14:paraId="189D6DDD">
      <w:pPr>
        <w:keepNext w:val="0"/>
        <w:keepLines w:val="0"/>
        <w:pageBreakBefore w:val="0"/>
        <w:kinsoku/>
        <w:wordWrap/>
        <w:overflowPunct/>
        <w:topLinePunct w:val="0"/>
        <w:bidi w:val="0"/>
        <w:snapToGrid/>
        <w:spacing w:line="480" w:lineRule="exact"/>
        <w:ind w:firstLine="480" w:firstLineChars="200"/>
        <w:textAlignment w:val="auto"/>
        <w:rPr>
          <w:snapToGrid w:val="0"/>
          <w:sz w:val="24"/>
        </w:rPr>
      </w:pPr>
      <w:r>
        <w:rPr>
          <w:snapToGrid w:val="0"/>
          <w:sz w:val="24"/>
        </w:rPr>
        <w:t>甲乙因本合同或履行本合同过程中产生争议的，应友好协商解决。协商不成的，任何一方均有权将本合同争议提交至成都仲裁委仲裁解决。因仲裁产生的仲裁费、律师费、保全费、保全保险费、公告费、邮寄费、公证费等相关费用均由违约方承担。</w:t>
      </w:r>
    </w:p>
    <w:p w14:paraId="6A8C74CD">
      <w:pPr>
        <w:keepNext w:val="0"/>
        <w:keepLines w:val="0"/>
        <w:pageBreakBefore w:val="0"/>
        <w:kinsoku/>
        <w:wordWrap/>
        <w:overflowPunct/>
        <w:topLinePunct w:val="0"/>
        <w:bidi w:val="0"/>
        <w:snapToGrid/>
        <w:spacing w:line="480" w:lineRule="exact"/>
        <w:ind w:firstLine="482" w:firstLineChars="200"/>
        <w:textAlignment w:val="auto"/>
        <w:rPr>
          <w:b/>
          <w:snapToGrid w:val="0"/>
          <w:sz w:val="24"/>
        </w:rPr>
      </w:pPr>
      <w:r>
        <w:rPr>
          <w:b/>
          <w:snapToGrid w:val="0"/>
          <w:sz w:val="24"/>
        </w:rPr>
        <w:t>十一、其他</w:t>
      </w:r>
    </w:p>
    <w:p w14:paraId="2969BB2F">
      <w:pPr>
        <w:keepNext w:val="0"/>
        <w:keepLines w:val="0"/>
        <w:pageBreakBefore w:val="0"/>
        <w:widowControl/>
        <w:kinsoku/>
        <w:wordWrap/>
        <w:overflowPunct/>
        <w:topLinePunct w:val="0"/>
        <w:bidi w:val="0"/>
        <w:snapToGrid/>
        <w:spacing w:line="480" w:lineRule="exact"/>
        <w:ind w:firstLine="480" w:firstLineChars="200"/>
        <w:jc w:val="left"/>
        <w:textAlignment w:val="auto"/>
        <w:rPr>
          <w:color w:val="000000"/>
          <w:sz w:val="24"/>
          <w:szCs w:val="22"/>
        </w:rPr>
      </w:pPr>
      <w:r>
        <w:rPr>
          <w:snapToGrid w:val="0"/>
          <w:sz w:val="24"/>
        </w:rPr>
        <w:t>本合同一式伍份，甲方持叁份，乙方持贰份，自双方加盖公章或合同专用章后生效。</w:t>
      </w:r>
    </w:p>
    <w:p w14:paraId="583EC454">
      <w:pPr>
        <w:keepNext w:val="0"/>
        <w:keepLines w:val="0"/>
        <w:pageBreakBefore w:val="0"/>
        <w:kinsoku/>
        <w:wordWrap/>
        <w:overflowPunct/>
        <w:topLinePunct w:val="0"/>
        <w:bidi w:val="0"/>
        <w:snapToGrid/>
        <w:spacing w:line="480" w:lineRule="exact"/>
        <w:ind w:left="5542" w:hanging="5542" w:hangingChars="2300"/>
        <w:textAlignment w:val="auto"/>
        <w:rPr>
          <w:b/>
          <w:bCs/>
          <w:snapToGrid w:val="0"/>
          <w:sz w:val="24"/>
        </w:rPr>
      </w:pPr>
      <w:r>
        <w:rPr>
          <w:b/>
          <w:bCs/>
          <w:snapToGrid w:val="0"/>
          <w:sz w:val="24"/>
        </w:rPr>
        <w:t xml:space="preserve">甲方：四川蜀物广润物流有限公司                 </w:t>
      </w:r>
    </w:p>
    <w:p w14:paraId="7AFEA493">
      <w:pPr>
        <w:keepNext w:val="0"/>
        <w:keepLines w:val="0"/>
        <w:pageBreakBefore w:val="0"/>
        <w:kinsoku/>
        <w:wordWrap/>
        <w:overflowPunct/>
        <w:topLinePunct w:val="0"/>
        <w:bidi w:val="0"/>
        <w:snapToGrid/>
        <w:spacing w:line="480" w:lineRule="exact"/>
        <w:textAlignment w:val="auto"/>
        <w:rPr>
          <w:b/>
          <w:bCs/>
          <w:snapToGrid w:val="0"/>
          <w:sz w:val="24"/>
        </w:rPr>
      </w:pPr>
    </w:p>
    <w:p w14:paraId="15FCA858">
      <w:pPr>
        <w:keepNext w:val="0"/>
        <w:keepLines w:val="0"/>
        <w:pageBreakBefore w:val="0"/>
        <w:widowControl/>
        <w:kinsoku/>
        <w:wordWrap/>
        <w:overflowPunct/>
        <w:topLinePunct w:val="0"/>
        <w:bidi w:val="0"/>
        <w:snapToGrid/>
        <w:spacing w:line="480" w:lineRule="exact"/>
        <w:ind w:left="5542" w:hanging="5542" w:hangingChars="2300"/>
        <w:jc w:val="left"/>
        <w:textAlignment w:val="auto"/>
        <w:rPr>
          <w:snapToGrid w:val="0"/>
          <w:color w:val="000000"/>
          <w:sz w:val="24"/>
        </w:rPr>
      </w:pPr>
      <w:r>
        <w:rPr>
          <w:b/>
          <w:bCs/>
          <w:snapToGrid w:val="0"/>
          <w:sz w:val="24"/>
        </w:rPr>
        <w:t>乙方： XX律师事务所</w:t>
      </w:r>
    </w:p>
    <w:p w14:paraId="5C0D5A89">
      <w:pPr>
        <w:keepNext w:val="0"/>
        <w:keepLines w:val="0"/>
        <w:pageBreakBefore w:val="0"/>
        <w:kinsoku/>
        <w:wordWrap/>
        <w:overflowPunct/>
        <w:topLinePunct w:val="0"/>
        <w:autoSpaceDE w:val="0"/>
        <w:autoSpaceDN w:val="0"/>
        <w:bidi w:val="0"/>
        <w:adjustRightInd w:val="0"/>
        <w:snapToGrid/>
        <w:spacing w:line="480" w:lineRule="exact"/>
        <w:textAlignment w:val="auto"/>
        <w:rPr>
          <w:rFonts w:eastAsia="仿宋_GB2312"/>
          <w:sz w:val="28"/>
          <w:szCs w:val="36"/>
        </w:rPr>
      </w:pPr>
      <w:r>
        <w:rPr>
          <w:snapToGrid w:val="0"/>
          <w:color w:val="000000"/>
          <w:sz w:val="24"/>
        </w:rPr>
        <w:t>签订时间：二〇二</w:t>
      </w:r>
      <w:r>
        <w:rPr>
          <w:rFonts w:hint="eastAsia"/>
          <w:snapToGrid w:val="0"/>
          <w:color w:val="000000"/>
          <w:sz w:val="24"/>
          <w:lang w:val="en-US" w:eastAsia="zh-CN"/>
        </w:rPr>
        <w:t>六</w:t>
      </w:r>
      <w:r>
        <w:rPr>
          <w:snapToGrid w:val="0"/>
          <w:color w:val="000000"/>
          <w:sz w:val="24"/>
        </w:rPr>
        <w:t xml:space="preserve">年   月   日             </w:t>
      </w:r>
    </w:p>
    <w:p w14:paraId="25FCAD9C">
      <w:pPr>
        <w:keepNext w:val="0"/>
        <w:keepLines w:val="0"/>
        <w:pageBreakBefore w:val="0"/>
        <w:kinsoku/>
        <w:wordWrap/>
        <w:overflowPunct/>
        <w:topLinePunct w:val="0"/>
        <w:bidi w:val="0"/>
        <w:snapToGrid/>
        <w:spacing w:line="480" w:lineRule="exact"/>
        <w:textAlignment w:val="auto"/>
        <w:rPr>
          <w:rFonts w:hint="eastAsia" w:eastAsia="仿宋_GB2312"/>
          <w:sz w:val="28"/>
          <w:szCs w:val="36"/>
        </w:rPr>
      </w:pPr>
    </w:p>
    <w:p w14:paraId="789AA89A">
      <w:pPr>
        <w:keepNext w:val="0"/>
        <w:keepLines w:val="0"/>
        <w:pageBreakBefore w:val="0"/>
        <w:kinsoku/>
        <w:wordWrap/>
        <w:overflowPunct/>
        <w:topLinePunct w:val="0"/>
        <w:bidi w:val="0"/>
        <w:snapToGrid/>
        <w:spacing w:line="480" w:lineRule="exact"/>
        <w:textAlignment w:val="auto"/>
        <w:rPr>
          <w:rFonts w:eastAsia="仿宋_GB2312"/>
          <w:sz w:val="28"/>
          <w:szCs w:val="36"/>
        </w:rPr>
      </w:pPr>
      <w:r>
        <w:rPr>
          <w:rFonts w:hint="eastAsia" w:eastAsia="仿宋_GB2312"/>
          <w:sz w:val="28"/>
          <w:szCs w:val="36"/>
        </w:rPr>
        <w:t>附件：律所</w:t>
      </w:r>
      <w:r>
        <w:rPr>
          <w:rFonts w:hint="eastAsia" w:eastAsia="仿宋_GB2312"/>
          <w:sz w:val="28"/>
          <w:szCs w:val="36"/>
          <w:lang w:val="en-US" w:eastAsia="zh-CN"/>
        </w:rPr>
        <w:t>执业许可证</w:t>
      </w:r>
      <w:r>
        <w:rPr>
          <w:rFonts w:hint="eastAsia" w:eastAsia="仿宋_GB2312"/>
          <w:sz w:val="28"/>
          <w:szCs w:val="36"/>
        </w:rPr>
        <w:t>及身份证明材料</w:t>
      </w:r>
    </w:p>
    <w:p w14:paraId="0757114A">
      <w:pPr>
        <w:rPr>
          <w:rFonts w:eastAsia="仿宋_GB2312"/>
          <w:sz w:val="28"/>
          <w:szCs w:val="36"/>
        </w:rPr>
      </w:pPr>
      <w:r>
        <w:rPr>
          <w:rFonts w:eastAsia="仿宋_GB2312"/>
          <w:sz w:val="28"/>
          <w:szCs w:val="36"/>
        </w:rPr>
        <w:br w:type="page"/>
      </w:r>
    </w:p>
    <w:p w14:paraId="0AAB367C">
      <w:pPr>
        <w:numPr>
          <w:ilvl w:val="-1"/>
          <w:numId w:val="0"/>
        </w:numPr>
        <w:jc w:val="both"/>
        <w:rPr>
          <w:rFonts w:hint="default" w:ascii="Times New Roman" w:hAnsi="Times New Roman" w:eastAsia="黑体" w:cs="Times New Roman"/>
          <w:b/>
          <w:color w:val="auto"/>
          <w:sz w:val="36"/>
          <w:lang w:eastAsia="zh-CN"/>
        </w:rPr>
      </w:pPr>
    </w:p>
    <w:p w14:paraId="77E2E5EE">
      <w:pPr>
        <w:pStyle w:val="2"/>
        <w:bidi w:val="0"/>
        <w:jc w:val="center"/>
        <w:rPr>
          <w:rFonts w:hint="default"/>
          <w:lang w:val="en-US" w:eastAsia="zh-CN"/>
        </w:rPr>
      </w:pPr>
      <w:r>
        <w:rPr>
          <w:rFonts w:hint="default"/>
          <w:lang w:eastAsia="zh-CN"/>
        </w:rPr>
        <w:t>第</w:t>
      </w:r>
      <w:r>
        <w:rPr>
          <w:rFonts w:hint="default"/>
          <w:lang w:val="en-US" w:eastAsia="zh-CN"/>
        </w:rPr>
        <w:t>五</w:t>
      </w:r>
      <w:r>
        <w:rPr>
          <w:rFonts w:hint="default"/>
          <w:lang w:eastAsia="zh-CN"/>
        </w:rPr>
        <w:t>章</w:t>
      </w:r>
      <w:r>
        <w:rPr>
          <w:rFonts w:hint="default"/>
        </w:rPr>
        <w:t xml:space="preserve"> 比选申请书</w:t>
      </w:r>
      <w:r>
        <w:rPr>
          <w:rFonts w:hint="default"/>
          <w:lang w:val="en-US" w:eastAsia="zh-CN"/>
        </w:rPr>
        <w:t>格式</w:t>
      </w:r>
    </w:p>
    <w:p w14:paraId="695776A2">
      <w:pPr>
        <w:keepNext/>
        <w:keepLines/>
        <w:widowControl w:val="0"/>
        <w:numPr>
          <w:ilvl w:val="-1"/>
          <w:numId w:val="0"/>
        </w:numPr>
        <w:spacing w:before="260" w:after="260" w:line="240" w:lineRule="auto"/>
        <w:jc w:val="center"/>
        <w:outlineLvl w:val="1"/>
        <w:rPr>
          <w:rFonts w:hint="default" w:ascii="Times New Roman" w:hAnsi="Times New Roman" w:eastAsia="黑体" w:cs="Times New Roman"/>
          <w:b w:val="0"/>
          <w:color w:val="auto"/>
          <w:kern w:val="2"/>
          <w:sz w:val="36"/>
          <w:szCs w:val="36"/>
          <w:lang w:val="en-US" w:eastAsia="zh-CN" w:bidi="ar-SA"/>
        </w:rPr>
      </w:pPr>
      <w:r>
        <w:rPr>
          <w:rFonts w:hint="default" w:ascii="Times New Roman" w:hAnsi="Times New Roman" w:eastAsia="黑体" w:cs="Times New Roman"/>
          <w:b w:val="0"/>
          <w:color w:val="auto"/>
          <w:kern w:val="2"/>
          <w:sz w:val="36"/>
          <w:szCs w:val="36"/>
          <w:lang w:val="en-US" w:eastAsia="zh-CN" w:bidi="ar-SA"/>
        </w:rPr>
        <w:t>（正本/副本）</w:t>
      </w:r>
    </w:p>
    <w:p w14:paraId="4651BD41">
      <w:pPr>
        <w:spacing w:line="360" w:lineRule="auto"/>
        <w:jc w:val="center"/>
        <w:rPr>
          <w:rFonts w:hint="default" w:ascii="Times New Roman" w:hAnsi="Times New Roman" w:eastAsia="仿宋_GB2312" w:cs="Times New Roman"/>
          <w:b/>
          <w:color w:val="auto"/>
          <w:sz w:val="32"/>
          <w:szCs w:val="32"/>
        </w:rPr>
      </w:pPr>
    </w:p>
    <w:p w14:paraId="6E8D0895">
      <w:pPr>
        <w:jc w:val="center"/>
        <w:rPr>
          <w:rFonts w:hint="default" w:ascii="Times New Roman" w:hAnsi="Times New Roman" w:eastAsia="黑体" w:cs="Times New Roman"/>
          <w:b w:val="0"/>
          <w:bCs/>
          <w:color w:val="auto"/>
          <w:sz w:val="40"/>
          <w:szCs w:val="40"/>
          <w:lang w:eastAsia="zh-CN"/>
        </w:rPr>
      </w:pPr>
      <w:r>
        <w:rPr>
          <w:rFonts w:hint="default" w:ascii="Times New Roman" w:hAnsi="Times New Roman" w:eastAsia="黑体" w:cs="Times New Roman"/>
          <w:b w:val="0"/>
          <w:bCs/>
          <w:color w:val="auto"/>
          <w:sz w:val="40"/>
          <w:szCs w:val="40"/>
          <w:lang w:eastAsia="zh-CN"/>
        </w:rPr>
        <w:t>四川蜀物广润物流有限公司</w:t>
      </w:r>
    </w:p>
    <w:p w14:paraId="1D3FD50A">
      <w:pPr>
        <w:spacing w:line="360" w:lineRule="auto"/>
        <w:jc w:val="center"/>
        <w:rPr>
          <w:rFonts w:hint="default" w:ascii="Times New Roman" w:hAnsi="Times New Roman" w:eastAsia="宋体" w:cs="Times New Roman"/>
          <w:b w:val="0"/>
          <w:bCs/>
          <w:color w:val="auto"/>
          <w:spacing w:val="-6"/>
          <w:sz w:val="44"/>
          <w:szCs w:val="44"/>
          <w:lang w:eastAsia="zh-CN"/>
        </w:rPr>
      </w:pPr>
      <w:r>
        <w:rPr>
          <w:rFonts w:hint="default" w:ascii="Times New Roman" w:hAnsi="Times New Roman" w:eastAsia="黑体" w:cs="Times New Roman"/>
          <w:bCs/>
          <w:color w:val="auto"/>
          <w:sz w:val="40"/>
          <w:szCs w:val="40"/>
          <w:lang w:val="en-US" w:eastAsia="zh-CN"/>
        </w:rPr>
        <w:t>选聘</w:t>
      </w:r>
      <w:r>
        <w:rPr>
          <w:rFonts w:hint="eastAsia" w:eastAsia="黑体" w:cs="Times New Roman"/>
          <w:bCs/>
          <w:color w:val="auto"/>
          <w:sz w:val="40"/>
          <w:szCs w:val="40"/>
          <w:lang w:val="en-US" w:eastAsia="zh-CN"/>
        </w:rPr>
        <w:t>某项目</w:t>
      </w:r>
      <w:r>
        <w:rPr>
          <w:rFonts w:hint="default" w:ascii="Times New Roman" w:hAnsi="Times New Roman" w:eastAsia="黑体" w:cs="Times New Roman"/>
          <w:bCs/>
          <w:color w:val="auto"/>
          <w:sz w:val="40"/>
          <w:szCs w:val="40"/>
          <w:lang w:val="en-US" w:eastAsia="zh-CN"/>
        </w:rPr>
        <w:t>专项法律服务中介机构</w:t>
      </w:r>
    </w:p>
    <w:p w14:paraId="3BC7CAFF">
      <w:pPr>
        <w:spacing w:line="360" w:lineRule="auto"/>
        <w:jc w:val="center"/>
        <w:rPr>
          <w:rFonts w:hint="default" w:ascii="Times New Roman" w:hAnsi="Times New Roman" w:eastAsia="宋体" w:cs="Times New Roman"/>
          <w:b/>
          <w:color w:val="auto"/>
          <w:spacing w:val="-6"/>
          <w:sz w:val="32"/>
          <w:szCs w:val="32"/>
          <w:u w:val="single"/>
        </w:rPr>
      </w:pPr>
    </w:p>
    <w:p w14:paraId="6CCF8DE3">
      <w:pPr>
        <w:jc w:val="center"/>
        <w:rPr>
          <w:rFonts w:hint="default" w:ascii="Times New Roman" w:hAnsi="Times New Roman" w:eastAsia="宋体" w:cs="Times New Roman"/>
          <w:b/>
          <w:color w:val="auto"/>
          <w:sz w:val="32"/>
          <w:szCs w:val="32"/>
        </w:rPr>
      </w:pPr>
    </w:p>
    <w:p w14:paraId="0AA8BD26">
      <w:pPr>
        <w:jc w:val="center"/>
        <w:rPr>
          <w:rFonts w:hint="default" w:ascii="Times New Roman" w:hAnsi="Times New Roman" w:eastAsia="宋体" w:cs="Times New Roman"/>
          <w:b/>
          <w:color w:val="auto"/>
          <w:sz w:val="72"/>
        </w:rPr>
      </w:pPr>
    </w:p>
    <w:p w14:paraId="733B1F58">
      <w:pPr>
        <w:jc w:val="center"/>
        <w:rPr>
          <w:rFonts w:hint="default" w:ascii="Times New Roman" w:hAnsi="Times New Roman" w:eastAsia="宋体" w:cs="Times New Roman"/>
          <w:b/>
          <w:color w:val="auto"/>
          <w:sz w:val="72"/>
        </w:rPr>
      </w:pPr>
    </w:p>
    <w:p w14:paraId="486EA46E">
      <w:pPr>
        <w:spacing w:line="520" w:lineRule="exact"/>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比选申请书</w:t>
      </w:r>
    </w:p>
    <w:p w14:paraId="40D67502">
      <w:pPr>
        <w:spacing w:line="520" w:lineRule="exact"/>
        <w:jc w:val="center"/>
        <w:rPr>
          <w:rFonts w:hint="default" w:ascii="Times New Roman" w:hAnsi="Times New Roman" w:eastAsia="宋体" w:cs="Times New Roman"/>
          <w:b/>
          <w:color w:val="auto"/>
          <w:sz w:val="36"/>
          <w:szCs w:val="36"/>
        </w:rPr>
      </w:pPr>
    </w:p>
    <w:p w14:paraId="180C8067">
      <w:pPr>
        <w:spacing w:line="520" w:lineRule="exact"/>
        <w:jc w:val="both"/>
        <w:rPr>
          <w:rFonts w:hint="default" w:ascii="Times New Roman" w:hAnsi="Times New Roman" w:eastAsia="宋体" w:cs="Times New Roman"/>
          <w:b/>
          <w:color w:val="auto"/>
          <w:sz w:val="36"/>
          <w:szCs w:val="36"/>
        </w:rPr>
      </w:pPr>
    </w:p>
    <w:p w14:paraId="5458D2BE">
      <w:pPr>
        <w:ind w:firstLine="2393" w:firstLineChars="745"/>
        <w:rPr>
          <w:rFonts w:hint="default" w:ascii="Times New Roman" w:hAnsi="Times New Roman" w:eastAsia="宋体" w:cs="Times New Roman"/>
          <w:b/>
          <w:color w:val="auto"/>
          <w:sz w:val="32"/>
          <w:szCs w:val="32"/>
        </w:rPr>
      </w:pPr>
    </w:p>
    <w:p w14:paraId="556E5DDD">
      <w:pPr>
        <w:jc w:val="center"/>
        <w:rPr>
          <w:rFonts w:hint="default" w:ascii="Times New Roman" w:hAnsi="Times New Roman" w:eastAsia="宋体" w:cs="Times New Roman"/>
          <w:b/>
          <w:color w:val="auto"/>
          <w:sz w:val="32"/>
          <w:szCs w:val="32"/>
        </w:rPr>
      </w:pPr>
    </w:p>
    <w:p w14:paraId="166B44E2">
      <w:pPr>
        <w:pStyle w:val="4"/>
        <w:rPr>
          <w:rFonts w:hint="default" w:ascii="Times New Roman" w:hAnsi="Times New Roman" w:cs="Times New Roman"/>
          <w:color w:val="auto"/>
        </w:rPr>
      </w:pPr>
    </w:p>
    <w:p w14:paraId="2B328D6E">
      <w:pPr>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2"/>
          <w:szCs w:val="32"/>
          <w:lang w:eastAsia="zh-CN"/>
        </w:rPr>
        <w:t>比选申请人</w:t>
      </w:r>
      <w:r>
        <w:rPr>
          <w:rFonts w:hint="default" w:ascii="Times New Roman" w:hAnsi="Times New Roman" w:eastAsia="宋体" w:cs="Times New Roman"/>
          <w:b/>
          <w:color w:val="auto"/>
          <w:sz w:val="30"/>
          <w:szCs w:val="30"/>
        </w:rPr>
        <w:t>：</w:t>
      </w:r>
      <w:r>
        <w:rPr>
          <w:rFonts w:hint="default" w:ascii="Times New Roman" w:hAnsi="Times New Roman" w:eastAsia="宋体" w:cs="Times New Roman"/>
          <w:b/>
          <w:color w:val="auto"/>
          <w:sz w:val="30"/>
          <w:szCs w:val="30"/>
          <w:lang w:val="en-US" w:eastAsia="zh-CN"/>
        </w:rPr>
        <w:t xml:space="preserve">                     （盖章）</w:t>
      </w:r>
    </w:p>
    <w:p w14:paraId="1AE9B0C9">
      <w:pPr>
        <w:spacing w:line="520" w:lineRule="exact"/>
        <w:jc w:val="center"/>
        <w:rPr>
          <w:rFonts w:hint="default" w:ascii="Times New Roman" w:hAnsi="Times New Roman" w:eastAsia="宋体" w:cs="Times New Roman"/>
          <w:b/>
          <w:color w:val="auto"/>
          <w:sz w:val="36"/>
          <w:lang w:val="zh-CN"/>
        </w:rPr>
      </w:pPr>
      <w:r>
        <w:rPr>
          <w:rFonts w:hint="default" w:ascii="Times New Roman" w:hAnsi="Times New Roman" w:eastAsia="宋体" w:cs="Times New Roman"/>
          <w:b/>
          <w:color w:val="auto"/>
          <w:sz w:val="32"/>
          <w:szCs w:val="32"/>
          <w:lang w:val="zh-CN"/>
        </w:rPr>
        <w:t>二Ｏ</w:t>
      </w:r>
      <w:r>
        <w:rPr>
          <w:rFonts w:hint="eastAsia" w:cs="Times New Roman"/>
          <w:b/>
          <w:color w:val="auto"/>
          <w:sz w:val="32"/>
          <w:szCs w:val="32"/>
          <w:lang w:val="zh-CN"/>
        </w:rPr>
        <w:t>二六年四月</w:t>
      </w:r>
    </w:p>
    <w:p w14:paraId="4E361697">
      <w:pPr>
        <w:numPr>
          <w:ilvl w:val="-1"/>
          <w:numId w:val="0"/>
        </w:numPr>
        <w:ind w:left="0"/>
        <w:jc w:val="both"/>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color w:val="auto"/>
          <w:sz w:val="24"/>
        </w:rPr>
        <w:br w:type="page"/>
      </w:r>
    </w:p>
    <w:p w14:paraId="579B772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20" w:lineRule="exact"/>
        <w:ind w:firstLine="0" w:firstLineChars="0"/>
        <w:jc w:val="center"/>
        <w:textAlignment w:val="auto"/>
        <w:rPr>
          <w:rFonts w:hint="eastAsia" w:ascii="仿宋_GB2312" w:hAnsi="仿宋_GB2312" w:eastAsia="仿宋_GB2312" w:cs="仿宋_GB2312"/>
          <w:color w:val="auto"/>
          <w:sz w:val="30"/>
          <w:szCs w:val="30"/>
          <w:lang w:eastAsia="zh-CN"/>
        </w:rPr>
      </w:pPr>
      <w:r>
        <w:rPr>
          <w:rFonts w:hint="eastAsia" w:cs="Times New Roman"/>
          <w:b/>
          <w:color w:val="auto"/>
          <w:sz w:val="36"/>
          <w:szCs w:val="36"/>
          <w:lang w:val="en-US" w:eastAsia="zh-CN"/>
        </w:rPr>
        <w:t>一</w:t>
      </w:r>
      <w:r>
        <w:rPr>
          <w:rFonts w:hint="eastAsia" w:ascii="Times New Roman" w:hAnsi="Times New Roman" w:eastAsia="宋体" w:cs="Times New Roman"/>
          <w:b/>
          <w:color w:val="auto"/>
          <w:sz w:val="36"/>
          <w:szCs w:val="36"/>
          <w:lang w:eastAsia="zh-CN"/>
        </w:rPr>
        <w:t>、比选申请函</w:t>
      </w:r>
    </w:p>
    <w:p w14:paraId="03D11777">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lang w:eastAsia="zh-CN"/>
        </w:rPr>
        <w:t>四川蜀物广润物流有限公司</w:t>
      </w:r>
      <w:r>
        <w:rPr>
          <w:rFonts w:hint="eastAsia" w:ascii="仿宋_GB2312" w:hAnsi="仿宋_GB2312" w:eastAsia="仿宋_GB2312" w:cs="仿宋_GB2312"/>
          <w:color w:val="auto"/>
          <w:sz w:val="30"/>
          <w:szCs w:val="30"/>
        </w:rPr>
        <w:t>：</w:t>
      </w:r>
    </w:p>
    <w:p w14:paraId="460E6728">
      <w:pPr>
        <w:keepNext w:val="0"/>
        <w:keepLines w:val="0"/>
        <w:pageBreakBefore w:val="0"/>
        <w:numPr>
          <w:ilvl w:val="-1"/>
          <w:numId w:val="0"/>
        </w:numPr>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pacing w:val="0"/>
          <w:sz w:val="30"/>
          <w:szCs w:val="30"/>
          <w:u w:val="none"/>
          <w:lang w:val="en-US" w:eastAsia="zh-CN"/>
        </w:rPr>
      </w:pPr>
      <w:r>
        <w:rPr>
          <w:rFonts w:hint="eastAsia" w:ascii="仿宋_GB2312" w:hAnsi="仿宋_GB2312" w:eastAsia="仿宋_GB2312" w:cs="仿宋_GB2312"/>
          <w:color w:val="auto"/>
          <w:spacing w:val="0"/>
          <w:sz w:val="30"/>
          <w:szCs w:val="30"/>
        </w:rPr>
        <w:t>我方全面研究了</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u w:val="none"/>
          <w:lang w:val="en-US" w:eastAsia="zh-CN"/>
        </w:rPr>
        <w:t>选聘某项目专项法律服务中介机构</w:t>
      </w:r>
      <w:r>
        <w:rPr>
          <w:rFonts w:hint="eastAsia" w:ascii="仿宋_GB2312" w:hAnsi="仿宋_GB2312" w:eastAsia="仿宋_GB2312" w:cs="仿宋_GB2312"/>
          <w:color w:val="auto"/>
          <w:spacing w:val="0"/>
          <w:sz w:val="30"/>
          <w:szCs w:val="30"/>
          <w:lang w:eastAsia="zh-CN"/>
        </w:rPr>
        <w:t>”公开比选</w:t>
      </w:r>
      <w:r>
        <w:rPr>
          <w:rFonts w:hint="eastAsia" w:ascii="仿宋_GB2312" w:hAnsi="仿宋_GB2312" w:eastAsia="仿宋_GB2312" w:cs="仿宋_GB2312"/>
          <w:color w:val="auto"/>
          <w:spacing w:val="0"/>
          <w:sz w:val="30"/>
          <w:szCs w:val="30"/>
        </w:rPr>
        <w:t>文件</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rPr>
        <w:t>决定参加贵单位组织的本项目</w:t>
      </w:r>
      <w:r>
        <w:rPr>
          <w:rFonts w:hint="eastAsia" w:ascii="仿宋_GB2312" w:hAnsi="仿宋_GB2312" w:eastAsia="仿宋_GB2312" w:cs="仿宋_GB2312"/>
          <w:color w:val="auto"/>
          <w:spacing w:val="0"/>
          <w:sz w:val="30"/>
          <w:szCs w:val="30"/>
          <w:lang w:val="en-US" w:eastAsia="zh-CN"/>
        </w:rPr>
        <w:t>比选活动</w:t>
      </w:r>
      <w:r>
        <w:rPr>
          <w:rFonts w:hint="eastAsia" w:ascii="仿宋_GB2312" w:hAnsi="仿宋_GB2312" w:eastAsia="仿宋_GB2312" w:cs="仿宋_GB2312"/>
          <w:color w:val="auto"/>
          <w:spacing w:val="0"/>
          <w:sz w:val="30"/>
          <w:szCs w:val="30"/>
        </w:rPr>
        <w:t>。我方授权</w:t>
      </w:r>
      <w:r>
        <w:rPr>
          <w:rFonts w:hint="eastAsia" w:ascii="仿宋_GB2312" w:hAnsi="仿宋_GB2312" w:eastAsia="仿宋_GB2312" w:cs="仿宋_GB2312"/>
          <w:color w:val="auto"/>
          <w:spacing w:val="0"/>
          <w:sz w:val="30"/>
          <w:szCs w:val="30"/>
          <w:u w:val="single"/>
        </w:rPr>
        <w:t xml:space="preserve">       </w:t>
      </w:r>
    </w:p>
    <w:p w14:paraId="554564DE">
      <w:pPr>
        <w:keepNext w:val="0"/>
        <w:keepLines w:val="0"/>
        <w:pageBreakBefore w:val="0"/>
        <w:numPr>
          <w:ilvl w:val="-1"/>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（姓名、职务）代表我方</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（比选申请人单位的名称）全权处理本项目比选活动的有关事宜。</w:t>
      </w:r>
    </w:p>
    <w:p w14:paraId="3F528F84">
      <w:pPr>
        <w:keepNext w:val="0"/>
        <w:keepLines w:val="0"/>
        <w:pageBreakBefore w:val="0"/>
        <w:numPr>
          <w:ilvl w:val="-1"/>
          <w:numId w:val="0"/>
        </w:numPr>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pacing w:val="0"/>
          <w:sz w:val="30"/>
          <w:szCs w:val="30"/>
          <w:lang w:val="en-US" w:eastAsia="zh-CN"/>
        </w:rPr>
      </w:pPr>
      <w:r>
        <w:rPr>
          <w:rFonts w:hint="eastAsia" w:ascii="仿宋_GB2312" w:hAnsi="仿宋_GB2312" w:eastAsia="仿宋_GB2312" w:cs="仿宋_GB2312"/>
          <w:color w:val="auto"/>
          <w:spacing w:val="0"/>
          <w:sz w:val="30"/>
          <w:szCs w:val="30"/>
          <w:lang w:val="en-US" w:eastAsia="zh-CN"/>
        </w:rPr>
        <w:t>一、我方报价采用采用半风险代理模式。总费用不超过</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万元，其中基础代理费不超过</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万元，在代理合同签订后</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日内支付</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万元，若以其他案由再次起诉并经法院受理后，另行支付</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万元，未发生再次起诉的，该部分费用不予支付。前述两部分基础代理费均在对应支付条件达成后先行支付60%，待合同约定事项全部履行完毕后，再支付剩余40%；风险代理费不超过</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万元，在协助贵单位取得本案胜诉生效法律文书后，按照不超过实际收到对方回款金额的</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lang w:val="en-US" w:eastAsia="zh-CN"/>
        </w:rPr>
        <w:t>%向我方支付。</w:t>
      </w:r>
    </w:p>
    <w:p w14:paraId="62D0A5C8">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rPr>
        <w:t>一旦我方</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我方将严格履行合同规定的责任和义务</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保证于要求内完成项目的服务。</w:t>
      </w:r>
    </w:p>
    <w:p w14:paraId="09B1EDEB">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rPr>
        <w:t>我方为本项目提交的</w:t>
      </w:r>
      <w:r>
        <w:rPr>
          <w:rFonts w:hint="eastAsia" w:ascii="仿宋_GB2312" w:hAnsi="仿宋_GB2312" w:eastAsia="仿宋_GB2312" w:cs="仿宋_GB2312"/>
          <w:color w:val="auto"/>
          <w:sz w:val="30"/>
          <w:szCs w:val="30"/>
          <w:lang w:eastAsia="zh-CN"/>
        </w:rPr>
        <w:t>比选文件</w:t>
      </w:r>
      <w:r>
        <w:rPr>
          <w:rFonts w:hint="eastAsia" w:ascii="仿宋_GB2312" w:hAnsi="仿宋_GB2312" w:eastAsia="仿宋_GB2312" w:cs="仿宋_GB2312"/>
          <w:color w:val="auto"/>
          <w:sz w:val="30"/>
          <w:szCs w:val="30"/>
        </w:rPr>
        <w:t>正本1份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副本</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份。</w:t>
      </w:r>
    </w:p>
    <w:p w14:paraId="3F37F1DC">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四、</w:t>
      </w:r>
      <w:r>
        <w:rPr>
          <w:rFonts w:hint="eastAsia" w:ascii="仿宋_GB2312" w:hAnsi="仿宋_GB2312" w:eastAsia="仿宋_GB2312" w:cs="仿宋_GB2312"/>
          <w:color w:val="auto"/>
          <w:sz w:val="30"/>
          <w:szCs w:val="30"/>
        </w:rPr>
        <w:t>我方承诺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有效期为：</w:t>
      </w:r>
      <w:r>
        <w:rPr>
          <w:rFonts w:hint="eastAsia" w:ascii="仿宋_GB2312" w:hAnsi="仿宋_GB2312" w:eastAsia="仿宋_GB2312" w:cs="仿宋_GB2312"/>
          <w:color w:val="auto"/>
          <w:sz w:val="30"/>
          <w:szCs w:val="30"/>
          <w:lang w:eastAsia="zh-CN"/>
        </w:rPr>
        <w:t>比选申请书</w:t>
      </w:r>
      <w:r>
        <w:rPr>
          <w:rFonts w:hint="eastAsia" w:ascii="仿宋_GB2312" w:hAnsi="仿宋_GB2312" w:eastAsia="仿宋_GB2312" w:cs="仿宋_GB2312"/>
          <w:color w:val="auto"/>
          <w:sz w:val="30"/>
          <w:szCs w:val="30"/>
        </w:rPr>
        <w:t>递交截止后90天。</w:t>
      </w:r>
    </w:p>
    <w:p w14:paraId="51FEDADA">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我方愿意提供贵公司可能另外要求的</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有关的文件资料</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并保证我方已提供和将要提供的文件资料是真实、准确的。</w:t>
      </w:r>
    </w:p>
    <w:p w14:paraId="2E76AE00">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p>
    <w:p w14:paraId="666E6438">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比选申请人</w:t>
      </w:r>
      <w:r>
        <w:rPr>
          <w:rFonts w:hint="eastAsia" w:ascii="仿宋_GB2312" w:hAnsi="仿宋_GB2312" w:eastAsia="仿宋_GB2312" w:cs="仿宋_GB2312"/>
          <w:color w:val="auto"/>
          <w:sz w:val="30"/>
          <w:szCs w:val="30"/>
        </w:rPr>
        <w:t xml:space="preserve">名称：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盖章</w:t>
      </w:r>
      <w:r>
        <w:rPr>
          <w:rFonts w:hint="eastAsia" w:ascii="仿宋_GB2312" w:hAnsi="仿宋_GB2312" w:eastAsia="仿宋_GB2312" w:cs="仿宋_GB2312"/>
          <w:color w:val="auto"/>
          <w:sz w:val="30"/>
          <w:szCs w:val="30"/>
          <w:lang w:eastAsia="zh-CN"/>
        </w:rPr>
        <w:t>）</w:t>
      </w:r>
    </w:p>
    <w:p w14:paraId="1E381690">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单位负责人</w:t>
      </w:r>
      <w:r>
        <w:rPr>
          <w:rFonts w:hint="eastAsia" w:ascii="仿宋_GB2312" w:hAnsi="仿宋_GB2312" w:eastAsia="仿宋_GB2312" w:cs="仿宋_GB2312"/>
          <w:color w:val="auto"/>
          <w:sz w:val="30"/>
          <w:szCs w:val="30"/>
        </w:rPr>
        <w:t>或授权代理人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签字</w:t>
      </w:r>
      <w:r>
        <w:rPr>
          <w:rFonts w:hint="eastAsia" w:ascii="仿宋_GB2312" w:hAnsi="仿宋_GB2312" w:eastAsia="仿宋_GB2312" w:cs="仿宋_GB2312"/>
          <w:color w:val="auto"/>
          <w:sz w:val="30"/>
          <w:szCs w:val="30"/>
          <w:lang w:val="en-US" w:eastAsia="zh-CN"/>
        </w:rPr>
        <w:t>/签章</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p>
    <w:p w14:paraId="4D7829AC">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通讯地址：</w:t>
      </w:r>
    </w:p>
    <w:p w14:paraId="4F53A98C">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联系电话：</w:t>
      </w:r>
    </w:p>
    <w:p w14:paraId="1989258C">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color w:val="auto"/>
          <w:sz w:val="30"/>
          <w:szCs w:val="30"/>
        </w:rPr>
        <w:t>日    期：</w:t>
      </w:r>
    </w:p>
    <w:p w14:paraId="0AFCE7DB">
      <w:pPr>
        <w:keepNext w:val="0"/>
        <w:keepLines w:val="0"/>
        <w:pageBreakBefore w:val="0"/>
        <w:numPr>
          <w:ilvl w:val="-1"/>
          <w:numId w:val="0"/>
        </w:numPr>
        <w:kinsoku/>
        <w:wordWrap/>
        <w:overflowPunct/>
        <w:topLinePunct w:val="0"/>
        <w:autoSpaceDE/>
        <w:autoSpaceDN/>
        <w:bidi w:val="0"/>
        <w:adjustRightInd/>
        <w:snapToGrid/>
        <w:spacing w:line="420" w:lineRule="exact"/>
        <w:ind w:left="720" w:hanging="720" w:hangingChars="300"/>
        <w:jc w:val="both"/>
        <w:textAlignment w:val="auto"/>
        <w:rPr>
          <w:rFonts w:hint="default" w:ascii="Times New Roman" w:hAnsi="Times New Roman" w:eastAsia="仿宋_GB2312" w:cs="Times New Roman"/>
          <w:color w:val="auto"/>
          <w:sz w:val="24"/>
          <w:szCs w:val="32"/>
          <w:u w:val="none"/>
        </w:rPr>
      </w:pPr>
      <w:r>
        <w:rPr>
          <w:rFonts w:hint="default" w:ascii="Times New Roman" w:hAnsi="Times New Roman" w:eastAsia="仿宋_GB2312" w:cs="Times New Roman"/>
          <w:color w:val="auto"/>
          <w:sz w:val="24"/>
          <w:szCs w:val="32"/>
          <w:u w:val="none"/>
          <w:lang w:eastAsia="zh-CN"/>
        </w:rPr>
        <w:t>注</w:t>
      </w:r>
      <w:r>
        <w:rPr>
          <w:rFonts w:hint="default" w:ascii="Times New Roman" w:hAnsi="Times New Roman" w:eastAsia="仿宋_GB2312" w:cs="Times New Roman"/>
          <w:color w:val="auto"/>
          <w:sz w:val="24"/>
          <w:szCs w:val="32"/>
          <w:u w:val="none"/>
        </w:rPr>
        <w:t>：</w:t>
      </w:r>
      <w:r>
        <w:rPr>
          <w:rFonts w:hint="default" w:eastAsia="仿宋_GB2312" w:cs="Times New Roman"/>
          <w:color w:val="auto"/>
          <w:sz w:val="24"/>
          <w:szCs w:val="32"/>
          <w:u w:val="none"/>
          <w:lang w:val="en-US" w:eastAsia="zh-CN"/>
        </w:rPr>
        <w:t>1.申请查阅案件材料的比选申请函中不填写报价，</w:t>
      </w:r>
      <w:r>
        <w:rPr>
          <w:rFonts w:hint="default" w:ascii="Times New Roman" w:hAnsi="Times New Roman" w:eastAsia="仿宋_GB2312" w:cs="Times New Roman"/>
          <w:color w:val="auto"/>
          <w:sz w:val="24"/>
          <w:szCs w:val="32"/>
          <w:u w:val="none"/>
        </w:rPr>
        <w:fldChar w:fldCharType="begin"/>
      </w:r>
      <w:r>
        <w:rPr>
          <w:rFonts w:hint="default" w:ascii="Times New Roman" w:hAnsi="Times New Roman" w:eastAsia="仿宋_GB2312" w:cs="Times New Roman"/>
          <w:color w:val="auto"/>
          <w:sz w:val="24"/>
          <w:szCs w:val="32"/>
          <w:u w:val="none"/>
        </w:rPr>
        <w:instrText xml:space="preserve"> HYPERLINK "mailto:投标意向确认书请以书面形式（传真、电子邮件（扫描件）并加盖公章）回复至1983976718@qq.com，现场报价时提交原件。" </w:instrText>
      </w:r>
      <w:r>
        <w:rPr>
          <w:rFonts w:hint="default" w:ascii="Times New Roman" w:hAnsi="Times New Roman" w:eastAsia="仿宋_GB2312" w:cs="Times New Roman"/>
          <w:color w:val="auto"/>
          <w:sz w:val="24"/>
          <w:szCs w:val="32"/>
          <w:u w:val="none"/>
        </w:rPr>
        <w:fldChar w:fldCharType="separate"/>
      </w:r>
      <w:r>
        <w:rPr>
          <w:rFonts w:hint="default" w:ascii="Times New Roman" w:hAnsi="Times New Roman" w:eastAsia="仿宋_GB2312" w:cs="Times New Roman"/>
          <w:color w:val="auto"/>
          <w:sz w:val="24"/>
          <w:szCs w:val="32"/>
          <w:u w:val="none"/>
        </w:rPr>
        <w:t>请以书面形式（电子邮件（扫描件）并加盖公章）</w:t>
      </w:r>
      <w:r>
        <w:rPr>
          <w:rFonts w:hint="default" w:eastAsia="仿宋_GB2312" w:cs="Times New Roman"/>
          <w:color w:val="auto"/>
          <w:sz w:val="24"/>
          <w:szCs w:val="32"/>
          <w:u w:val="none"/>
          <w:lang w:val="en-US" w:eastAsia="zh-CN"/>
        </w:rPr>
        <w:t>发送</w:t>
      </w:r>
      <w:r>
        <w:rPr>
          <w:rFonts w:hint="default" w:ascii="Times New Roman" w:hAnsi="Times New Roman" w:eastAsia="仿宋_GB2312" w:cs="Times New Roman"/>
          <w:color w:val="auto"/>
          <w:sz w:val="24"/>
          <w:szCs w:val="32"/>
          <w:u w:val="none"/>
          <w:lang w:eastAsia="zh-CN"/>
        </w:rPr>
        <w:t>至grwlfw@scgrwl.com</w:t>
      </w:r>
      <w:r>
        <w:rPr>
          <w:rFonts w:hint="default" w:eastAsia="仿宋_GB2312" w:cs="Times New Roman"/>
          <w:color w:val="auto"/>
          <w:sz w:val="24"/>
          <w:szCs w:val="32"/>
          <w:u w:val="none"/>
          <w:lang w:eastAsia="zh-CN"/>
        </w:rPr>
        <w:t>，</w:t>
      </w:r>
      <w:r>
        <w:rPr>
          <w:rFonts w:hint="default" w:ascii="Times New Roman" w:hAnsi="Times New Roman" w:eastAsia="仿宋_GB2312" w:cs="Times New Roman"/>
          <w:color w:val="auto"/>
          <w:sz w:val="24"/>
          <w:szCs w:val="32"/>
          <w:u w:val="none"/>
          <w:lang w:eastAsia="zh-CN"/>
        </w:rPr>
        <w:t>现场</w:t>
      </w:r>
      <w:r>
        <w:rPr>
          <w:rFonts w:hint="default" w:eastAsia="仿宋_GB2312" w:cs="Times New Roman"/>
          <w:color w:val="auto"/>
          <w:sz w:val="24"/>
          <w:szCs w:val="32"/>
          <w:u w:val="none"/>
          <w:lang w:val="en-US" w:eastAsia="zh-CN"/>
        </w:rPr>
        <w:t>递交比选申请书</w:t>
      </w:r>
      <w:r>
        <w:rPr>
          <w:rFonts w:hint="default" w:ascii="Times New Roman" w:hAnsi="Times New Roman" w:eastAsia="仿宋_GB2312" w:cs="Times New Roman"/>
          <w:color w:val="auto"/>
          <w:sz w:val="24"/>
          <w:szCs w:val="32"/>
          <w:u w:val="none"/>
          <w:lang w:eastAsia="zh-CN"/>
        </w:rPr>
        <w:t>时</w:t>
      </w:r>
      <w:r>
        <w:rPr>
          <w:rFonts w:hint="default" w:eastAsia="仿宋_GB2312" w:cs="Times New Roman"/>
          <w:color w:val="auto"/>
          <w:sz w:val="24"/>
          <w:szCs w:val="32"/>
          <w:u w:val="none"/>
          <w:lang w:val="en-US" w:eastAsia="zh-CN"/>
        </w:rPr>
        <w:t>递</w:t>
      </w:r>
      <w:r>
        <w:rPr>
          <w:rFonts w:hint="default" w:ascii="Times New Roman" w:hAnsi="Times New Roman" w:eastAsia="仿宋_GB2312" w:cs="Times New Roman"/>
          <w:color w:val="auto"/>
          <w:sz w:val="24"/>
          <w:szCs w:val="32"/>
          <w:u w:val="none"/>
          <w:lang w:eastAsia="zh-CN"/>
        </w:rPr>
        <w:t>交原件</w:t>
      </w:r>
      <w:r>
        <w:rPr>
          <w:rFonts w:hint="default" w:ascii="Times New Roman" w:hAnsi="Times New Roman" w:eastAsia="仿宋_GB2312" w:cs="Times New Roman"/>
          <w:color w:val="auto"/>
          <w:sz w:val="24"/>
          <w:szCs w:val="32"/>
          <w:u w:val="none"/>
        </w:rPr>
        <w:t>。</w:t>
      </w:r>
      <w:r>
        <w:rPr>
          <w:rFonts w:hint="default" w:ascii="Times New Roman" w:hAnsi="Times New Roman" w:eastAsia="仿宋_GB2312" w:cs="Times New Roman"/>
          <w:color w:val="auto"/>
          <w:sz w:val="24"/>
          <w:szCs w:val="32"/>
          <w:u w:val="none"/>
        </w:rPr>
        <w:fldChar w:fldCharType="end"/>
      </w:r>
    </w:p>
    <w:p w14:paraId="0766540E">
      <w:pPr>
        <w:keepNext w:val="0"/>
        <w:keepLines w:val="0"/>
        <w:pageBreakBefore w:val="0"/>
        <w:numPr>
          <w:ilvl w:val="-1"/>
          <w:numId w:val="0"/>
        </w:numPr>
        <w:kinsoku/>
        <w:wordWrap/>
        <w:overflowPunct/>
        <w:topLinePunct w:val="0"/>
        <w:autoSpaceDE/>
        <w:autoSpaceDN/>
        <w:bidi w:val="0"/>
        <w:adjustRightInd/>
        <w:snapToGrid/>
        <w:spacing w:line="420" w:lineRule="exact"/>
        <w:ind w:left="765" w:leftChars="250" w:hanging="240" w:hangingChars="100"/>
        <w:jc w:val="both"/>
        <w:textAlignment w:val="auto"/>
        <w:rPr>
          <w:rFonts w:hint="default" w:ascii="Times New Roman" w:hAnsi="Times New Roman" w:eastAsia="仿宋_GB2312" w:cs="Times New Roman"/>
          <w:color w:val="auto"/>
          <w:sz w:val="24"/>
          <w:szCs w:val="32"/>
          <w:u w:val="none"/>
          <w:lang w:val="en-US"/>
        </w:rPr>
      </w:pPr>
      <w:r>
        <w:rPr>
          <w:rFonts w:hint="default" w:eastAsia="仿宋_GB2312" w:cs="Times New Roman"/>
          <w:color w:val="auto"/>
          <w:sz w:val="24"/>
          <w:szCs w:val="32"/>
          <w:u w:val="none"/>
          <w:lang w:val="en-US" w:eastAsia="zh-CN"/>
        </w:rPr>
        <w:t>2.比选申请书中的比选申请函，需填写报价，密封后递交。</w:t>
      </w:r>
    </w:p>
    <w:p w14:paraId="4B40B755">
      <w:pPr>
        <w:keepNext w:val="0"/>
        <w:keepLines w:val="0"/>
        <w:pageBreakBefore w:val="0"/>
        <w:widowControl/>
        <w:numPr>
          <w:ilvl w:val="-1"/>
          <w:numId w:val="0"/>
        </w:numPr>
        <w:kinsoku/>
        <w:wordWrap/>
        <w:overflowPunct/>
        <w:topLinePunct w:val="0"/>
        <w:autoSpaceDE/>
        <w:autoSpaceDN/>
        <w:bidi w:val="0"/>
        <w:adjustRightInd/>
        <w:snapToGrid/>
        <w:spacing w:before="0" w:after="0" w:line="420" w:lineRule="exact"/>
        <w:ind w:left="720" w:hanging="720" w:hangingChars="300"/>
        <w:jc w:val="both"/>
        <w:textAlignment w:val="auto"/>
        <w:outlineLvl w:val="9"/>
        <w:rPr>
          <w:rFonts w:hint="default" w:eastAsia="仿宋_GB2312" w:cs="Times New Roman"/>
          <w:b w:val="0"/>
          <w:color w:val="auto"/>
          <w:sz w:val="24"/>
          <w:szCs w:val="32"/>
          <w:u w:val="none"/>
          <w:lang w:val="en-US" w:eastAsia="zh-CN"/>
        </w:rPr>
      </w:pPr>
      <w:r>
        <w:rPr>
          <w:rFonts w:hint="default" w:eastAsia="仿宋_GB2312" w:cs="Times New Roman"/>
          <w:b w:val="0"/>
          <w:color w:val="auto"/>
          <w:sz w:val="24"/>
          <w:szCs w:val="32"/>
          <w:u w:val="none"/>
          <w:lang w:val="en-US" w:eastAsia="zh-CN"/>
        </w:rPr>
        <w:br w:type="page"/>
      </w:r>
    </w:p>
    <w:p w14:paraId="533FEC7D">
      <w:pPr>
        <w:keepNext w:val="0"/>
        <w:keepLines w:val="0"/>
        <w:widowControl/>
        <w:numPr>
          <w:ilvl w:val="0"/>
          <w:numId w:val="0"/>
        </w:numPr>
        <w:spacing w:before="0" w:after="0" w:line="240" w:lineRule="auto"/>
        <w:jc w:val="center"/>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t>二</w:t>
      </w:r>
      <w:r>
        <w:rPr>
          <w:rFonts w:hint="eastAsia" w:ascii="Times New Roman" w:hAnsi="Times New Roman" w:eastAsia="宋体" w:cs="Times New Roman"/>
          <w:b/>
          <w:bCs w:val="0"/>
          <w:color w:val="auto"/>
          <w:kern w:val="2"/>
          <w:sz w:val="36"/>
          <w:szCs w:val="36"/>
          <w:lang w:val="en-US" w:eastAsia="zh-CN" w:bidi="ar-SA"/>
        </w:rPr>
        <w:t>、</w:t>
      </w:r>
      <w:r>
        <w:rPr>
          <w:rFonts w:hint="eastAsia" w:cs="Times New Roman"/>
          <w:b/>
          <w:bCs w:val="0"/>
          <w:color w:val="auto"/>
          <w:kern w:val="2"/>
          <w:sz w:val="36"/>
          <w:szCs w:val="36"/>
          <w:lang w:val="en-US" w:eastAsia="zh-CN" w:bidi="ar-SA"/>
        </w:rPr>
        <w:t>单位负责人身份证明</w:t>
      </w:r>
    </w:p>
    <w:p w14:paraId="2D6387F1">
      <w:pPr>
        <w:rPr>
          <w:rFonts w:hint="eastAsia" w:ascii="仿宋_GB2312" w:hAnsi="宋体" w:eastAsia="仿宋_GB2312"/>
          <w:szCs w:val="21"/>
        </w:rPr>
      </w:pPr>
    </w:p>
    <w:p w14:paraId="77ECE44F">
      <w:pPr>
        <w:rPr>
          <w:rFonts w:hint="eastAsia" w:ascii="仿宋_GB2312" w:hAnsi="宋体" w:eastAsia="仿宋_GB2312"/>
          <w:sz w:val="28"/>
          <w:szCs w:val="28"/>
        </w:rPr>
      </w:pPr>
      <w:r>
        <w:rPr>
          <w:rFonts w:hint="eastAsia" w:ascii="仿宋_GB2312" w:hAnsi="宋体" w:eastAsia="仿宋_GB2312"/>
          <w:sz w:val="28"/>
          <w:szCs w:val="28"/>
          <w:lang w:val="en-US" w:eastAsia="zh-CN"/>
        </w:rPr>
        <w:t>比选申请</w:t>
      </w:r>
      <w:r>
        <w:rPr>
          <w:rFonts w:hint="eastAsia" w:ascii="仿宋_GB2312" w:hAnsi="宋体" w:eastAsia="仿宋_GB2312"/>
          <w:sz w:val="28"/>
          <w:szCs w:val="28"/>
        </w:rPr>
        <w:t>人名称：</w:t>
      </w:r>
      <w:r>
        <w:rPr>
          <w:rFonts w:hint="eastAsia" w:ascii="仿宋_GB2312" w:hAnsi="宋体" w:eastAsia="仿宋_GB2312"/>
          <w:sz w:val="28"/>
          <w:szCs w:val="28"/>
          <w:u w:val="single"/>
        </w:rPr>
        <w:t xml:space="preserve">                          </w:t>
      </w:r>
    </w:p>
    <w:p w14:paraId="51477FF5">
      <w:pPr>
        <w:rPr>
          <w:rFonts w:hint="eastAsia"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p>
    <w:p w14:paraId="2D64D2E0">
      <w:pPr>
        <w:rPr>
          <w:rFonts w:hint="eastAsia" w:ascii="仿宋_GB2312" w:hAnsi="宋体" w:eastAsia="仿宋_GB2312"/>
          <w:sz w:val="28"/>
          <w:szCs w:val="28"/>
        </w:rPr>
      </w:pPr>
      <w:r>
        <w:rPr>
          <w:rFonts w:hint="eastAsia" w:ascii="仿宋_GB2312" w:hAnsi="宋体" w:eastAsia="仿宋_GB2312"/>
          <w:sz w:val="28"/>
          <w:szCs w:val="28"/>
        </w:rPr>
        <w:t>成立时间：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65C2FA5C">
      <w:pPr>
        <w:rPr>
          <w:rFonts w:hint="eastAsia" w:ascii="仿宋_GB2312" w:hAnsi="宋体" w:eastAsia="仿宋_GB2312"/>
          <w:sz w:val="28"/>
          <w:szCs w:val="28"/>
        </w:rPr>
      </w:pPr>
    </w:p>
    <w:p w14:paraId="26CD8F83">
      <w:pPr>
        <w:rPr>
          <w:rFonts w:hint="eastAsia" w:ascii="仿宋_GB2312" w:hAnsi="宋体" w:eastAsia="仿宋_GB2312"/>
          <w:sz w:val="28"/>
          <w:szCs w:val="28"/>
        </w:rPr>
      </w:pPr>
      <w:r>
        <w:rPr>
          <w:rFonts w:hint="eastAsia" w:ascii="仿宋_GB2312" w:hAnsi="宋体" w:eastAsia="仿宋_GB2312"/>
          <w:sz w:val="28"/>
          <w:szCs w:val="28"/>
        </w:rPr>
        <w:t>姓名：</w:t>
      </w:r>
      <w:r>
        <w:rPr>
          <w:rFonts w:hint="eastAsia" w:ascii="仿宋_GB2312" w:hAnsi="宋体" w:eastAsia="仿宋_GB2312"/>
          <w:sz w:val="28"/>
          <w:szCs w:val="28"/>
          <w:u w:val="single"/>
        </w:rPr>
        <w:t xml:space="preserve">             </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（投标人名称）的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人（职务：</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26092199">
      <w:pPr>
        <w:rPr>
          <w:rFonts w:ascii="仿宋_GB2312" w:hAnsi="宋体" w:eastAsia="仿宋_GB2312"/>
          <w:sz w:val="28"/>
          <w:szCs w:val="28"/>
        </w:rPr>
      </w:pPr>
    </w:p>
    <w:p w14:paraId="3B2E0B73">
      <w:pPr>
        <w:rPr>
          <w:rFonts w:hint="eastAsia" w:ascii="仿宋_GB2312" w:hAnsi="宋体" w:eastAsia="仿宋_GB2312"/>
          <w:sz w:val="28"/>
          <w:szCs w:val="28"/>
        </w:rPr>
      </w:pPr>
      <w:r>
        <w:rPr>
          <w:rFonts w:hint="eastAsia" w:ascii="仿宋_GB2312" w:hAnsi="宋体" w:eastAsia="仿宋_GB2312"/>
          <w:sz w:val="28"/>
          <w:szCs w:val="28"/>
        </w:rPr>
        <w:t xml:space="preserve">    特此证明。</w:t>
      </w:r>
    </w:p>
    <w:p w14:paraId="128EA345">
      <w:pPr>
        <w:rPr>
          <w:rFonts w:hint="eastAsia" w:ascii="仿宋_GB2312" w:hAnsi="宋体" w:eastAsia="仿宋_GB2312"/>
          <w:sz w:val="28"/>
          <w:szCs w:val="28"/>
        </w:rPr>
      </w:pPr>
    </w:p>
    <w:p w14:paraId="2F3BDE61">
      <w:pPr>
        <w:rPr>
          <w:rFonts w:hint="eastAsia" w:ascii="仿宋_GB2312" w:hAnsi="宋体" w:eastAsia="仿宋_GB2312"/>
          <w:sz w:val="28"/>
          <w:szCs w:val="28"/>
        </w:rPr>
      </w:pPr>
      <w:r>
        <w:rPr>
          <w:rFonts w:hint="eastAsia" w:ascii="仿宋_GB2312" w:hAnsi="宋体" w:eastAsia="仿宋_GB2312"/>
          <w:sz w:val="28"/>
          <w:szCs w:val="28"/>
        </w:rPr>
        <w:t xml:space="preserve">    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人身份证复印件</w:t>
      </w:r>
    </w:p>
    <w:p w14:paraId="3530F095">
      <w:pPr>
        <w:rPr>
          <w:rFonts w:ascii="仿宋_GB2312" w:hAnsi="宋体" w:eastAsia="仿宋_GB2312"/>
          <w:sz w:val="28"/>
          <w:szCs w:val="28"/>
        </w:rPr>
      </w:pPr>
    </w:p>
    <w:p w14:paraId="00027384">
      <w:pPr>
        <w:rPr>
          <w:rFonts w:hint="eastAsia" w:ascii="仿宋_GB2312" w:hAnsi="宋体" w:eastAsia="仿宋_GB2312"/>
          <w:sz w:val="28"/>
          <w:szCs w:val="28"/>
        </w:rPr>
      </w:pPr>
      <w:r>
        <w:rPr>
          <w:rFonts w:hint="eastAsia" w:ascii="仿宋_GB2312" w:hAnsi="宋体" w:eastAsia="仿宋_GB2312"/>
          <w:sz w:val="28"/>
          <w:szCs w:val="28"/>
        </w:rPr>
        <w:t xml:space="preserve">       投标人：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 盖单位章）</w:t>
      </w:r>
    </w:p>
    <w:p w14:paraId="67ECB73D">
      <w:pPr>
        <w:rPr>
          <w:rFonts w:hint="eastAsia" w:ascii="仿宋_GB2312" w:hAnsi="宋体" w:eastAsia="仿宋_GB2312"/>
          <w:sz w:val="28"/>
          <w:szCs w:val="28"/>
        </w:rPr>
      </w:pPr>
    </w:p>
    <w:p w14:paraId="6E59B837">
      <w:pP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日</w:t>
      </w:r>
    </w:p>
    <w:p w14:paraId="527BD344">
      <w:pPr>
        <w:rPr>
          <w:rFonts w:hint="eastAsia" w:ascii="仿宋_GB2312" w:eastAsia="仿宋_GB2312"/>
          <w:szCs w:val="21"/>
        </w:rPr>
      </w:pPr>
    </w:p>
    <w:p w14:paraId="757B8103">
      <w:pPr>
        <w:rPr>
          <w:rFonts w:hint="eastAsia" w:ascii="仿宋_GB2312" w:eastAsia="仿宋_GB2312"/>
          <w:szCs w:val="21"/>
        </w:rPr>
      </w:pPr>
    </w:p>
    <w:p w14:paraId="4AB320C5">
      <w:pPr>
        <w:rPr>
          <w:rFonts w:hint="eastAsia" w:ascii="仿宋_GB2312" w:eastAsia="仿宋_GB2312"/>
          <w:szCs w:val="21"/>
        </w:rPr>
      </w:pPr>
    </w:p>
    <w:p w14:paraId="07111604">
      <w:pPr>
        <w:rPr>
          <w:rFonts w:hint="eastAsia" w:ascii="仿宋_GB2312" w:eastAsia="仿宋_GB2312"/>
          <w:szCs w:val="21"/>
        </w:rPr>
      </w:pPr>
    </w:p>
    <w:p w14:paraId="135A55A2">
      <w:pPr>
        <w:rPr>
          <w:rFonts w:hint="eastAsia" w:ascii="仿宋_GB2312" w:hAnsi="宋体" w:eastAsia="仿宋_GB2312"/>
          <w:szCs w:val="21"/>
        </w:rPr>
      </w:pPr>
      <w:r>
        <w:rPr>
          <w:rFonts w:hint="eastAsia" w:ascii="仿宋_GB2312" w:hAnsi="宋体" w:eastAsia="仿宋_GB2312"/>
          <w:szCs w:val="21"/>
        </w:rPr>
        <w:t xml:space="preserve">    注：（1）</w:t>
      </w:r>
      <w:r>
        <w:rPr>
          <w:rFonts w:hint="eastAsia" w:ascii="仿宋_GB2312" w:hAnsi="宋体" w:eastAsia="仿宋_GB2312"/>
          <w:szCs w:val="21"/>
          <w:lang w:val="en-US" w:eastAsia="zh-CN"/>
        </w:rPr>
        <w:t>单位负责</w:t>
      </w:r>
      <w:r>
        <w:rPr>
          <w:rFonts w:hint="eastAsia" w:ascii="仿宋_GB2312" w:hAnsi="宋体" w:eastAsia="仿宋_GB2312"/>
          <w:szCs w:val="21"/>
        </w:rPr>
        <w:t>人亲自投标而不委托代理人投标适用。</w:t>
      </w:r>
    </w:p>
    <w:p w14:paraId="40F392D9">
      <w:pPr>
        <w:rPr>
          <w:rFonts w:hint="eastAsia" w:ascii="仿宋_GB2312" w:eastAsia="仿宋_GB2312"/>
          <w:szCs w:val="21"/>
        </w:rPr>
      </w:pPr>
      <w:r>
        <w:rPr>
          <w:rFonts w:hint="eastAsia" w:ascii="仿宋_GB2312" w:eastAsia="仿宋_GB2312"/>
          <w:szCs w:val="21"/>
        </w:rPr>
        <w:t xml:space="preserve">    （2）</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在递交投标文件时，应携带投标人企业法人营业执照副本原件、</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身份证原件备查。</w:t>
      </w:r>
    </w:p>
    <w:p w14:paraId="7D181F9C">
      <w:pPr>
        <w:rPr>
          <w:rFonts w:hint="eastAsia" w:ascii="仿宋_GB2312" w:eastAsia="仿宋_GB2312"/>
          <w:szCs w:val="21"/>
        </w:rPr>
      </w:pPr>
      <w:r>
        <w:rPr>
          <w:rFonts w:hint="eastAsia" w:ascii="仿宋_GB2312" w:eastAsia="仿宋_GB2312"/>
          <w:szCs w:val="21"/>
        </w:rPr>
        <w:t xml:space="preserve">    （3）</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提供的证件、证明不齐或不符合要求的，投标文件不予接收。</w:t>
      </w:r>
    </w:p>
    <w:p w14:paraId="1330DBEE">
      <w:pPr>
        <w:keepNext w:val="0"/>
        <w:keepLines w:val="0"/>
        <w:widowControl/>
        <w:numPr>
          <w:ilvl w:val="0"/>
          <w:numId w:val="0"/>
        </w:numPr>
        <w:spacing w:before="0" w:after="0" w:line="240" w:lineRule="auto"/>
        <w:jc w:val="left"/>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A9EFDE5">
      <w:pPr>
        <w:keepNext/>
        <w:keepLines/>
        <w:widowControl w:val="0"/>
        <w:spacing w:before="260" w:after="260" w:line="480" w:lineRule="exact"/>
        <w:jc w:val="center"/>
        <w:outlineLvl w:val="2"/>
        <w:rPr>
          <w:rFonts w:hint="default" w:ascii="Times New Roman" w:hAnsi="Times New Roman" w:eastAsia="宋体" w:cs="Times New Roman"/>
          <w:b/>
          <w:color w:val="auto"/>
          <w:kern w:val="2"/>
          <w:sz w:val="28"/>
          <w:szCs w:val="24"/>
          <w:lang w:val="en-US" w:eastAsia="zh-CN" w:bidi="ar-SA"/>
        </w:rPr>
      </w:pPr>
      <w:r>
        <w:rPr>
          <w:rFonts w:hint="default" w:ascii="Times New Roman" w:hAnsi="Times New Roman" w:eastAsia="宋体" w:cs="Times New Roman"/>
          <w:b/>
          <w:color w:val="auto"/>
          <w:kern w:val="2"/>
          <w:sz w:val="36"/>
          <w:szCs w:val="36"/>
          <w:lang w:val="en-US" w:eastAsia="zh-CN" w:bidi="ar-SA"/>
        </w:rPr>
        <w:t>授权委托书</w:t>
      </w:r>
    </w:p>
    <w:p w14:paraId="0E3C86B5">
      <w:pPr>
        <w:spacing w:line="480" w:lineRule="exact"/>
        <w:rPr>
          <w:rFonts w:hint="default" w:ascii="Times New Roman" w:hAnsi="Times New Roman" w:eastAsia="宋体" w:cs="Times New Roman"/>
          <w:color w:val="auto"/>
          <w:sz w:val="24"/>
        </w:rPr>
      </w:pPr>
    </w:p>
    <w:p w14:paraId="7680466B">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系</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u w:val="single"/>
          <w:lang w:eastAsia="zh-CN"/>
        </w:rPr>
        <w:t>）</w:t>
      </w:r>
      <w:r>
        <w:rPr>
          <w:rFonts w:hint="default" w:ascii="Times New Roman" w:hAnsi="Times New Roman" w:eastAsia="宋体" w:cs="Times New Roman"/>
          <w:color w:val="auto"/>
          <w:sz w:val="24"/>
        </w:rPr>
        <w:t>的</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现委托本单位人员</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(姓名)为我方代理人。代理人根据授权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以我方名义签署、澄清、说明、补正、递交、撤回、修改</w:t>
      </w:r>
      <w:r>
        <w:rPr>
          <w:rFonts w:hint="default" w:ascii="Times New Roman" w:hAnsi="Times New Roman" w:eastAsia="宋体" w:cs="Times New Roman"/>
          <w:color w:val="auto"/>
          <w:sz w:val="24"/>
          <w:u w:val="single"/>
          <w:lang w:eastAsia="zh-CN"/>
        </w:rPr>
        <w:t>四川蜀物广润物流有限公司</w:t>
      </w:r>
      <w:r>
        <w:rPr>
          <w:rFonts w:hint="default" w:ascii="Times New Roman" w:hAnsi="Times New Roman" w:cs="Times New Roman"/>
          <w:color w:val="auto"/>
          <w:sz w:val="24"/>
          <w:u w:val="single"/>
          <w:lang w:eastAsia="zh-CN"/>
        </w:rPr>
        <w:t>选聘</w:t>
      </w:r>
      <w:r>
        <w:rPr>
          <w:rFonts w:hint="eastAsia" w:cs="Times New Roman"/>
          <w:color w:val="auto"/>
          <w:sz w:val="24"/>
          <w:u w:val="single"/>
          <w:lang w:val="en-US" w:eastAsia="zh-CN"/>
        </w:rPr>
        <w:t>某</w:t>
      </w:r>
      <w:r>
        <w:rPr>
          <w:rFonts w:hint="eastAsia" w:cs="Times New Roman"/>
          <w:color w:val="auto"/>
          <w:sz w:val="24"/>
          <w:u w:val="single"/>
          <w:lang w:eastAsia="zh-CN"/>
        </w:rPr>
        <w:t>项目</w:t>
      </w:r>
      <w:r>
        <w:rPr>
          <w:rFonts w:hint="default" w:ascii="Times New Roman" w:hAnsi="Times New Roman" w:cs="Times New Roman"/>
          <w:color w:val="auto"/>
          <w:sz w:val="24"/>
          <w:u w:val="single"/>
          <w:lang w:eastAsia="zh-CN"/>
        </w:rPr>
        <w:t>专项法律服务中介机构</w:t>
      </w:r>
      <w:r>
        <w:rPr>
          <w:rFonts w:hint="default" w:ascii="Times New Roman" w:hAnsi="Times New Roman" w:eastAsia="宋体" w:cs="Times New Roman"/>
          <w:color w:val="auto"/>
          <w:sz w:val="24"/>
          <w:u w:val="none"/>
          <w:lang w:eastAsia="zh-CN"/>
        </w:rPr>
        <w:t>公开比选</w:t>
      </w:r>
      <w:r>
        <w:rPr>
          <w:rFonts w:hint="default" w:ascii="Times New Roman" w:hAnsi="Times New Roman" w:eastAsia="宋体" w:cs="Times New Roman"/>
          <w:color w:val="auto"/>
          <w:sz w:val="24"/>
          <w:lang w:eastAsia="zh-CN"/>
        </w:rPr>
        <w:t>响应性文件</w:t>
      </w:r>
      <w:r>
        <w:rPr>
          <w:rFonts w:hint="default" w:ascii="Times New Roman" w:hAnsi="Times New Roman" w:eastAsia="宋体" w:cs="Times New Roman"/>
          <w:color w:val="auto"/>
          <w:sz w:val="24"/>
        </w:rPr>
        <w:t>、签订合同和处理</w:t>
      </w:r>
      <w:r>
        <w:rPr>
          <w:rFonts w:hint="default" w:ascii="Times New Roman" w:hAnsi="Times New Roman" w:eastAsia="宋体" w:cs="Times New Roman"/>
          <w:color w:val="auto"/>
          <w:sz w:val="24"/>
          <w:lang w:eastAsia="zh-CN"/>
        </w:rPr>
        <w:t>本次招投标</w:t>
      </w:r>
      <w:r>
        <w:rPr>
          <w:rFonts w:hint="default" w:ascii="Times New Roman" w:hAnsi="Times New Roman" w:eastAsia="宋体" w:cs="Times New Roman"/>
          <w:color w:val="auto"/>
          <w:sz w:val="24"/>
        </w:rPr>
        <w:t>有关事宜（向有关行政监督部门投诉另行授权）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其法律后果由我方承担。</w:t>
      </w:r>
    </w:p>
    <w:p w14:paraId="5244ECDE">
      <w:pPr>
        <w:spacing w:line="48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委托期限：自本授权委托书签署之日起至</w:t>
      </w:r>
      <w:r>
        <w:rPr>
          <w:rFonts w:hint="default" w:ascii="Times New Roman" w:hAnsi="Times New Roman" w:eastAsia="宋体" w:cs="Times New Roman"/>
          <w:color w:val="auto"/>
          <w:kern w:val="0"/>
          <w:sz w:val="24"/>
          <w:lang w:eastAsia="zh-CN"/>
        </w:rPr>
        <w:t>招标</w:t>
      </w:r>
      <w:r>
        <w:rPr>
          <w:rFonts w:hint="default" w:ascii="Times New Roman" w:hAnsi="Times New Roman" w:eastAsia="宋体" w:cs="Times New Roman"/>
          <w:color w:val="auto"/>
          <w:kern w:val="0"/>
          <w:sz w:val="24"/>
        </w:rPr>
        <w:t>结束为止。</w:t>
      </w:r>
    </w:p>
    <w:p w14:paraId="169F1B74">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代理人无转委托权。</w:t>
      </w:r>
    </w:p>
    <w:p w14:paraId="180D8520">
      <w:pPr>
        <w:spacing w:line="480" w:lineRule="exact"/>
        <w:ind w:firstLine="482" w:firstLineChars="200"/>
        <w:rPr>
          <w:rFonts w:hint="default" w:ascii="Times New Roman" w:hAnsi="Times New Roman" w:eastAsia="宋体" w:cs="Times New Roman"/>
          <w:b/>
          <w:color w:val="auto"/>
          <w:kern w:val="0"/>
          <w:sz w:val="24"/>
        </w:rPr>
      </w:pPr>
    </w:p>
    <w:p w14:paraId="0D0AEC65">
      <w:pPr>
        <w:spacing w:line="480" w:lineRule="exact"/>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附：1</w:t>
      </w:r>
      <w:r>
        <w:rPr>
          <w:rFonts w:hint="eastAsia" w:cs="Times New Roman"/>
          <w:color w:val="auto"/>
          <w:sz w:val="24"/>
          <w:szCs w:val="22"/>
          <w:lang w:val="en-US" w:eastAsia="zh-CN"/>
        </w:rPr>
        <w:t>.单位</w:t>
      </w:r>
      <w:r>
        <w:rPr>
          <w:rFonts w:hint="default" w:ascii="Times New Roman" w:hAnsi="Times New Roman" w:eastAsia="宋体" w:cs="Times New Roman"/>
          <w:color w:val="auto"/>
          <w:sz w:val="24"/>
          <w:szCs w:val="22"/>
          <w:lang w:eastAsia="zh-CN"/>
        </w:rPr>
        <w:t>负责</w:t>
      </w:r>
      <w:r>
        <w:rPr>
          <w:rFonts w:hint="default" w:ascii="Times New Roman" w:hAnsi="Times New Roman" w:eastAsia="宋体" w:cs="Times New Roman"/>
          <w:color w:val="auto"/>
          <w:sz w:val="24"/>
          <w:szCs w:val="22"/>
        </w:rPr>
        <w:t>人身份证明原件</w:t>
      </w:r>
      <w:r>
        <w:rPr>
          <w:rFonts w:hint="eastAsia" w:cs="Times New Roman"/>
          <w:color w:val="auto"/>
          <w:sz w:val="24"/>
          <w:szCs w:val="22"/>
          <w:lang w:val="en-US" w:eastAsia="zh-CN"/>
        </w:rPr>
        <w:t>及单位负责人</w:t>
      </w:r>
      <w:r>
        <w:rPr>
          <w:rFonts w:hint="default" w:ascii="Times New Roman" w:hAnsi="Times New Roman" w:eastAsia="宋体" w:cs="Times New Roman"/>
          <w:color w:val="auto"/>
          <w:sz w:val="24"/>
          <w:szCs w:val="22"/>
        </w:rPr>
        <w:t>身份证复印件</w:t>
      </w:r>
      <w:r>
        <w:rPr>
          <w:rFonts w:hint="default" w:ascii="Times New Roman" w:hAnsi="Times New Roman" w:eastAsia="宋体" w:cs="Times New Roman"/>
          <w:color w:val="auto"/>
          <w:sz w:val="24"/>
          <w:szCs w:val="22"/>
          <w:lang w:eastAsia="zh-CN"/>
        </w:rPr>
        <w:t>（加盖单位鲜章）</w:t>
      </w:r>
    </w:p>
    <w:p w14:paraId="0E54EAA4">
      <w:pPr>
        <w:spacing w:line="480" w:lineRule="exact"/>
        <w:ind w:firstLine="960" w:firstLineChars="4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2</w:t>
      </w:r>
      <w:r>
        <w:rPr>
          <w:rFonts w:hint="eastAsia" w:cs="Times New Roman"/>
          <w:color w:val="auto"/>
          <w:sz w:val="24"/>
          <w:szCs w:val="22"/>
          <w:lang w:val="en-US" w:eastAsia="zh-CN"/>
        </w:rPr>
        <w:t>.</w:t>
      </w:r>
      <w:r>
        <w:rPr>
          <w:rFonts w:hint="default" w:ascii="Times New Roman" w:hAnsi="Times New Roman" w:eastAsia="宋体" w:cs="Times New Roman"/>
          <w:color w:val="auto"/>
          <w:sz w:val="24"/>
          <w:szCs w:val="22"/>
        </w:rPr>
        <w:t>委托代理人身份证复印件</w:t>
      </w:r>
      <w:r>
        <w:rPr>
          <w:rFonts w:hint="default" w:ascii="Times New Roman" w:hAnsi="Times New Roman" w:eastAsia="宋体" w:cs="Times New Roman"/>
          <w:color w:val="auto"/>
          <w:sz w:val="24"/>
          <w:szCs w:val="22"/>
          <w:lang w:eastAsia="zh-CN"/>
        </w:rPr>
        <w:t>（加盖单位鲜章）</w:t>
      </w:r>
    </w:p>
    <w:p w14:paraId="43ED24B8">
      <w:pPr>
        <w:spacing w:line="480" w:lineRule="exact"/>
        <w:rPr>
          <w:rFonts w:hint="default" w:ascii="Times New Roman" w:hAnsi="Times New Roman" w:eastAsia="宋体" w:cs="Times New Roman"/>
          <w:color w:val="auto"/>
          <w:szCs w:val="21"/>
        </w:rPr>
      </w:pPr>
    </w:p>
    <w:p w14:paraId="0BC906D8">
      <w:pPr>
        <w:spacing w:line="480" w:lineRule="exact"/>
        <w:ind w:firstLine="840" w:firstLineChars="400"/>
        <w:rPr>
          <w:rFonts w:hint="default" w:ascii="Times New Roman" w:hAnsi="Times New Roman" w:eastAsia="宋体" w:cs="Times New Roman"/>
          <w:color w:val="auto"/>
          <w:szCs w:val="21"/>
        </w:rPr>
      </w:pPr>
    </w:p>
    <w:p w14:paraId="2999A65E">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(盖单位章)</w:t>
      </w:r>
    </w:p>
    <w:p w14:paraId="7A8152F7">
      <w:pPr>
        <w:spacing w:line="480" w:lineRule="exact"/>
        <w:ind w:firstLine="840" w:firstLineChars="350"/>
        <w:jc w:val="right"/>
        <w:rPr>
          <w:rFonts w:hint="default" w:ascii="Times New Roman" w:hAnsi="Times New Roman" w:eastAsia="宋体" w:cs="Times New Roman"/>
          <w:color w:val="auto"/>
          <w:sz w:val="24"/>
        </w:rPr>
      </w:pPr>
      <w:r>
        <w:rPr>
          <w:rFonts w:hint="eastAsia" w:cs="Times New Roman"/>
          <w:color w:val="auto"/>
          <w:sz w:val="24"/>
          <w:lang w:val="en-US" w:eastAsia="zh-CN"/>
        </w:rPr>
        <w:t>单位</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(签字或</w:t>
      </w:r>
      <w:r>
        <w:rPr>
          <w:rFonts w:hint="default" w:ascii="Times New Roman" w:hAnsi="Times New Roman" w:eastAsia="宋体" w:cs="Times New Roman"/>
          <w:color w:val="auto"/>
          <w:sz w:val="24"/>
          <w:lang w:eastAsia="zh-CN"/>
        </w:rPr>
        <w:t>签</w:t>
      </w:r>
      <w:r>
        <w:rPr>
          <w:rFonts w:hint="default" w:ascii="Times New Roman" w:hAnsi="Times New Roman" w:eastAsia="宋体" w:cs="Times New Roman"/>
          <w:color w:val="auto"/>
          <w:sz w:val="24"/>
        </w:rPr>
        <w:t>章)</w:t>
      </w:r>
    </w:p>
    <w:p w14:paraId="4264BE0C">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委托代理人：</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(签字)</w:t>
      </w:r>
    </w:p>
    <w:p w14:paraId="34D49A57">
      <w:pPr>
        <w:spacing w:line="480" w:lineRule="exact"/>
        <w:ind w:firstLine="840" w:firstLineChars="350"/>
        <w:jc w:val="righ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(固定电话)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移动电话)</w:t>
      </w:r>
      <w:r>
        <w:rPr>
          <w:rFonts w:hint="default" w:ascii="Times New Roman" w:hAnsi="Times New Roman" w:eastAsia="宋体" w:cs="Times New Roman"/>
          <w:color w:val="auto"/>
          <w:sz w:val="24"/>
          <w:u w:val="single"/>
        </w:rPr>
        <w:t xml:space="preserve">   </w:t>
      </w:r>
    </w:p>
    <w:p w14:paraId="048D81A1">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p>
    <w:p w14:paraId="61773316">
      <w:pPr>
        <w:spacing w:line="480" w:lineRule="exact"/>
        <w:ind w:firstLine="5760" w:firstLineChars="240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201B1D4C">
      <w:pPr>
        <w:spacing w:line="480" w:lineRule="exact"/>
        <w:ind w:firstLine="5760" w:firstLineChars="2400"/>
        <w:jc w:val="right"/>
        <w:rPr>
          <w:rFonts w:hint="default" w:ascii="Times New Roman" w:hAnsi="Times New Roman" w:eastAsia="宋体" w:cs="Times New Roman"/>
          <w:color w:val="auto"/>
          <w:sz w:val="24"/>
        </w:rPr>
      </w:pPr>
    </w:p>
    <w:p w14:paraId="5AF6625F">
      <w:pPr>
        <w:spacing w:line="480" w:lineRule="exact"/>
        <w:ind w:firstLine="5760" w:firstLineChars="2400"/>
        <w:jc w:val="right"/>
        <w:rPr>
          <w:rFonts w:hint="default" w:ascii="Times New Roman" w:hAnsi="Times New Roman" w:eastAsia="宋体" w:cs="Times New Roman"/>
          <w:color w:val="auto"/>
          <w:sz w:val="24"/>
        </w:rPr>
      </w:pPr>
    </w:p>
    <w:p w14:paraId="7066CC36">
      <w:pPr>
        <w:spacing w:line="480" w:lineRule="exact"/>
        <w:jc w:val="both"/>
        <w:rPr>
          <w:rFonts w:hint="default" w:ascii="Times New Roman" w:hAnsi="Times New Roman" w:eastAsia="宋体" w:cs="Times New Roman"/>
          <w:color w:val="auto"/>
          <w:sz w:val="24"/>
        </w:rPr>
      </w:pPr>
    </w:p>
    <w:p w14:paraId="02C01D48">
      <w:pPr>
        <w:spacing w:line="480" w:lineRule="exact"/>
        <w:jc w:val="both"/>
        <w:rPr>
          <w:rFonts w:hint="default" w:ascii="Times New Roman" w:hAnsi="Times New Roman" w:eastAsia="宋体" w:cs="Times New Roman"/>
          <w:color w:val="auto"/>
          <w:sz w:val="24"/>
        </w:rPr>
      </w:pPr>
    </w:p>
    <w:p w14:paraId="7D9A868B">
      <w:pPr>
        <w:rPr>
          <w:rFonts w:hint="eastAsia" w:ascii="仿宋_GB2312" w:hAnsi="宋体" w:eastAsia="仿宋_GB2312"/>
          <w:szCs w:val="21"/>
        </w:rPr>
      </w:pPr>
      <w:r>
        <w:rPr>
          <w:rFonts w:hint="eastAsia" w:ascii="仿宋_GB2312" w:hAnsi="宋体" w:eastAsia="仿宋_GB2312"/>
          <w:szCs w:val="21"/>
        </w:rPr>
        <w:t>注：（1）法定代表人不亲自投标而委托代理人投标适用。</w:t>
      </w:r>
    </w:p>
    <w:p w14:paraId="3783F0C3">
      <w:pPr>
        <w:rPr>
          <w:rFonts w:hint="eastAsia" w:ascii="仿宋_GB2312" w:hAnsi="宋体" w:eastAsia="仿宋_GB2312"/>
          <w:szCs w:val="21"/>
        </w:rPr>
      </w:pPr>
      <w:r>
        <w:rPr>
          <w:rFonts w:hint="eastAsia" w:ascii="仿宋_GB2312" w:hAnsi="宋体" w:eastAsia="仿宋_GB2312"/>
          <w:szCs w:val="21"/>
        </w:rPr>
        <w:t xml:space="preserve">    （2）法定代表人委托他人投标的，委托代理人应是投标人本单位的人员。</w:t>
      </w:r>
    </w:p>
    <w:p w14:paraId="7AE1C151">
      <w:pPr>
        <w:spacing w:line="240" w:lineRule="auto"/>
        <w:ind w:firstLine="0" w:firstLineChars="0"/>
        <w:jc w:val="left"/>
        <w:rPr>
          <w:rFonts w:hint="eastAsia" w:ascii="仿宋_GB2312" w:hAnsi="宋体" w:eastAsia="仿宋_GB2312" w:cs="Times New Roman"/>
          <w:sz w:val="21"/>
          <w:szCs w:val="21"/>
        </w:rPr>
      </w:pPr>
      <w:r>
        <w:rPr>
          <w:rFonts w:hint="eastAsia" w:ascii="仿宋_GB2312" w:hAnsi="宋体" w:eastAsia="仿宋_GB2312"/>
          <w:szCs w:val="21"/>
        </w:rPr>
        <w:t xml:space="preserve">    （</w:t>
      </w:r>
      <w:r>
        <w:rPr>
          <w:rFonts w:hint="eastAsia" w:ascii="仿宋_GB2312" w:hAnsi="宋体" w:eastAsia="仿宋_GB2312"/>
          <w:szCs w:val="21"/>
          <w:lang w:eastAsia="zh-CN"/>
        </w:rPr>
        <w:t>3</w:t>
      </w:r>
      <w:r>
        <w:rPr>
          <w:rFonts w:hint="eastAsia" w:ascii="仿宋_GB2312" w:hAnsi="宋体" w:eastAsia="仿宋_GB2312"/>
          <w:szCs w:val="21"/>
        </w:rPr>
        <w:t>）委托代理人提供的证件、证明不齐或不符合要求的，投标文件不予接收。</w:t>
      </w:r>
    </w:p>
    <w:p w14:paraId="340A955A">
      <w:pPr>
        <w:spacing w:line="480" w:lineRule="exact"/>
        <w:jc w:val="both"/>
        <w:rPr>
          <w:rFonts w:hint="default" w:ascii="Times New Roman" w:hAnsi="Times New Roman" w:eastAsia="方正小标宋_GBK" w:cs="Times New Roman"/>
          <w:b w:val="0"/>
          <w:color w:val="auto"/>
          <w:kern w:val="2"/>
          <w:sz w:val="36"/>
          <w:szCs w:val="36"/>
          <w:lang w:val="en-US" w:eastAsia="zh-CN" w:bidi="ar-SA"/>
        </w:rPr>
        <w:sectPr>
          <w:footerReference r:id="rId5" w:type="default"/>
          <w:pgSz w:w="11906" w:h="16838"/>
          <w:pgMar w:top="2098" w:right="1474" w:bottom="1984" w:left="1588" w:header="851" w:footer="1587" w:gutter="0"/>
          <w:pgNumType w:fmt="decimal" w:start="1"/>
          <w:cols w:space="425" w:num="1"/>
          <w:docGrid w:type="lines" w:linePitch="312" w:charSpace="0"/>
        </w:sectPr>
      </w:pPr>
      <w:r>
        <w:rPr>
          <w:rFonts w:hint="default" w:ascii="Times New Roman" w:hAnsi="Times New Roman" w:eastAsia="宋体" w:cs="Times New Roman"/>
          <w:b/>
          <w:color w:val="auto"/>
          <w:kern w:val="2"/>
          <w:sz w:val="28"/>
          <w:szCs w:val="24"/>
          <w:lang w:val="en-US" w:eastAsia="zh-CN" w:bidi="ar-SA"/>
        </w:rPr>
        <w:br w:type="page"/>
      </w:r>
    </w:p>
    <w:p w14:paraId="01CB28E5">
      <w:pPr>
        <w:numPr>
          <w:ilvl w:val="-1"/>
          <w:numId w:val="0"/>
        </w:numPr>
        <w:ind w:left="0"/>
        <w:jc w:val="center"/>
        <w:rPr>
          <w:rFonts w:hint="default" w:ascii="Times New Roman" w:hAnsi="Times New Roman" w:eastAsia="宋体" w:cs="Times New Roman"/>
          <w:b/>
          <w:bCs w:val="0"/>
          <w:color w:val="auto"/>
          <w:sz w:val="36"/>
          <w:szCs w:val="36"/>
          <w:lang w:eastAsia="zh-CN"/>
        </w:rPr>
      </w:pPr>
      <w:r>
        <w:rPr>
          <w:rFonts w:hint="eastAsia" w:cs="Times New Roman"/>
          <w:b/>
          <w:bCs w:val="0"/>
          <w:color w:val="auto"/>
          <w:sz w:val="36"/>
          <w:szCs w:val="36"/>
          <w:lang w:val="en-US" w:eastAsia="zh-CN"/>
        </w:rPr>
        <w:t>三</w:t>
      </w:r>
      <w:r>
        <w:rPr>
          <w:rFonts w:hint="default" w:ascii="Times New Roman" w:hAnsi="Times New Roman" w:eastAsia="宋体" w:cs="Times New Roman"/>
          <w:b/>
          <w:bCs w:val="0"/>
          <w:color w:val="auto"/>
          <w:sz w:val="36"/>
          <w:szCs w:val="36"/>
          <w:lang w:eastAsia="zh-CN"/>
        </w:rPr>
        <w:t>、比选申请人资质证明</w:t>
      </w:r>
    </w:p>
    <w:p w14:paraId="61CF6D09">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p>
    <w:p w14:paraId="24C88879">
      <w:pPr>
        <w:keepNext/>
        <w:keepLines/>
        <w:spacing w:line="480" w:lineRule="exact"/>
        <w:jc w:val="center"/>
        <w:outlineLvl w:val="3"/>
        <w:rPr>
          <w:rFonts w:hint="eastAsia" w:ascii="仿宋_GB2312" w:hAnsi="仿宋_GB2312" w:eastAsia="仿宋_GB2312" w:cs="仿宋_GB2312"/>
          <w:color w:val="auto"/>
          <w:sz w:val="32"/>
          <w:szCs w:val="32"/>
          <w:lang w:eastAsia="zh-CN"/>
        </w:rPr>
      </w:pPr>
      <w:r>
        <w:rPr>
          <w:rFonts w:hint="default" w:ascii="Times New Roman" w:hAnsi="Times New Roman" w:eastAsia="宋体" w:cs="Times New Roman"/>
          <w:b/>
          <w:color w:val="auto"/>
          <w:kern w:val="2"/>
          <w:sz w:val="32"/>
          <w:szCs w:val="28"/>
          <w:lang w:val="en-US" w:eastAsia="zh-CN" w:bidi="ar-SA"/>
        </w:rPr>
        <w:t>（一）比选申请人基本情况</w:t>
      </w:r>
    </w:p>
    <w:p w14:paraId="586F5B7D">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p>
    <w:p w14:paraId="1789A66C">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请</w:t>
      </w:r>
      <w:r>
        <w:rPr>
          <w:rFonts w:hint="eastAsia" w:ascii="仿宋_GB2312" w:hAnsi="仿宋_GB2312" w:eastAsia="仿宋_GB2312" w:cs="仿宋_GB2312"/>
          <w:color w:val="auto"/>
          <w:sz w:val="28"/>
          <w:szCs w:val="28"/>
          <w:lang w:val="en-US" w:eastAsia="zh-CN"/>
        </w:rPr>
        <w:t>按照第一章比选公告第二条比选申请人资质要求，依次提供</w:t>
      </w:r>
      <w:r>
        <w:rPr>
          <w:rFonts w:hint="eastAsia" w:ascii="仿宋_GB2312" w:hAnsi="仿宋_GB2312" w:eastAsia="仿宋_GB2312" w:cs="仿宋_GB2312"/>
          <w:color w:val="auto"/>
          <w:sz w:val="28"/>
          <w:szCs w:val="28"/>
          <w:lang w:eastAsia="zh-CN"/>
        </w:rPr>
        <w:t>律所简介（</w:t>
      </w:r>
      <w:r>
        <w:rPr>
          <w:rFonts w:hint="eastAsia" w:ascii="仿宋_GB2312" w:hAnsi="仿宋_GB2312" w:eastAsia="仿宋_GB2312" w:cs="仿宋_GB2312"/>
          <w:color w:val="auto"/>
          <w:sz w:val="28"/>
          <w:szCs w:val="28"/>
          <w:lang w:val="en-US" w:eastAsia="zh-CN"/>
        </w:rPr>
        <w:t>包括但不限于</w:t>
      </w:r>
      <w:r>
        <w:rPr>
          <w:rFonts w:hint="eastAsia" w:ascii="仿宋_GB2312" w:hAnsi="仿宋_GB2312" w:eastAsia="仿宋_GB2312" w:cs="仿宋_GB2312"/>
          <w:color w:val="auto"/>
          <w:sz w:val="28"/>
          <w:szCs w:val="28"/>
          <w:lang w:eastAsia="zh-CN"/>
        </w:rPr>
        <w:t>成立时间、</w:t>
      </w:r>
      <w:r>
        <w:rPr>
          <w:rFonts w:hint="eastAsia" w:ascii="仿宋_GB2312" w:hAnsi="仿宋_GB2312" w:eastAsia="仿宋_GB2312" w:cs="仿宋_GB2312"/>
          <w:color w:val="auto"/>
          <w:sz w:val="28"/>
          <w:szCs w:val="28"/>
          <w:lang w:val="en-US" w:eastAsia="zh-CN"/>
        </w:rPr>
        <w:t>执业律师人数、</w:t>
      </w:r>
      <w:r>
        <w:rPr>
          <w:rFonts w:hint="eastAsia" w:ascii="仿宋_GB2312" w:hAnsi="仿宋_GB2312" w:eastAsia="仿宋_GB2312" w:cs="仿宋_GB2312"/>
          <w:color w:val="auto"/>
          <w:sz w:val="28"/>
          <w:szCs w:val="28"/>
          <w:lang w:eastAsia="zh-CN"/>
        </w:rPr>
        <w:t>事务所近3年的业绩、荣誉</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律师事务所执业许可证</w:t>
      </w:r>
      <w:r>
        <w:rPr>
          <w:rFonts w:hint="eastAsia" w:ascii="仿宋_GB2312" w:hAnsi="仿宋_GB2312" w:eastAsia="仿宋_GB2312" w:cs="仿宋_GB2312"/>
          <w:color w:val="auto"/>
          <w:sz w:val="28"/>
          <w:szCs w:val="28"/>
          <w:lang w:eastAsia="zh-CN"/>
        </w:rPr>
        <w:t>正</w:t>
      </w:r>
      <w:r>
        <w:rPr>
          <w:rFonts w:hint="eastAsia" w:ascii="仿宋_GB2312" w:hAnsi="仿宋_GB2312" w:eastAsia="仿宋_GB2312" w:cs="仿宋_GB2312"/>
          <w:color w:val="auto"/>
          <w:sz w:val="28"/>
          <w:szCs w:val="28"/>
          <w:lang w:val="en-US" w:eastAsia="zh-CN"/>
        </w:rPr>
        <w:t>本和</w:t>
      </w:r>
      <w:r>
        <w:rPr>
          <w:rFonts w:hint="eastAsia" w:ascii="仿宋_GB2312" w:hAnsi="仿宋_GB2312" w:eastAsia="仿宋_GB2312" w:cs="仿宋_GB2312"/>
          <w:color w:val="auto"/>
          <w:sz w:val="28"/>
          <w:szCs w:val="28"/>
          <w:lang w:eastAsia="zh-CN"/>
        </w:rPr>
        <w:t>副本复印件、司法部门</w:t>
      </w:r>
      <w:r>
        <w:rPr>
          <w:rFonts w:hint="eastAsia" w:ascii="仿宋_GB2312" w:hAnsi="仿宋_GB2312" w:eastAsia="仿宋_GB2312" w:cs="仿宋_GB2312"/>
          <w:color w:val="auto"/>
          <w:sz w:val="28"/>
          <w:szCs w:val="28"/>
        </w:rPr>
        <w:t>律所注册执业律师人数</w:t>
      </w:r>
      <w:r>
        <w:rPr>
          <w:rFonts w:hint="eastAsia" w:ascii="仿宋_GB2312" w:hAnsi="仿宋_GB2312" w:eastAsia="仿宋_GB2312" w:cs="仿宋_GB2312"/>
          <w:color w:val="auto"/>
          <w:sz w:val="28"/>
          <w:szCs w:val="28"/>
          <w:lang w:eastAsia="zh-CN"/>
        </w:rPr>
        <w:t>证明、本次服务团队成员情况表、</w:t>
      </w:r>
      <w:r>
        <w:rPr>
          <w:rFonts w:hint="eastAsia" w:ascii="仿宋_GB2312" w:hAnsi="仿宋_GB2312" w:eastAsia="仿宋_GB2312" w:cs="仿宋_GB2312"/>
          <w:color w:val="auto"/>
          <w:sz w:val="28"/>
          <w:szCs w:val="28"/>
          <w:lang w:val="en-US" w:eastAsia="zh-CN"/>
        </w:rPr>
        <w:t>承诺函等。</w:t>
      </w:r>
    </w:p>
    <w:p w14:paraId="1181C131">
      <w:pPr>
        <w:spacing w:line="480" w:lineRule="exact"/>
        <w:jc w:val="center"/>
        <w:rPr>
          <w:rFonts w:hint="default" w:ascii="Times New Roman" w:hAnsi="Times New Roman" w:eastAsia="宋体" w:cs="Times New Roman"/>
          <w:color w:val="auto"/>
          <w:sz w:val="32"/>
          <w:szCs w:val="32"/>
          <w:lang w:eastAsia="zh-CN"/>
        </w:rPr>
      </w:pPr>
    </w:p>
    <w:p w14:paraId="06246ED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3ED4FC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4BD9DEF">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D887E4B">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B01DDF8">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C4346C1">
      <w:pPr>
        <w:rPr>
          <w:rFonts w:hint="default" w:ascii="Times New Roman" w:hAnsi="Times New Roman" w:eastAsia="宋体" w:cs="Times New Roman"/>
          <w:color w:val="auto"/>
          <w:sz w:val="28"/>
          <w:szCs w:val="22"/>
          <w:lang w:val="en-US" w:eastAsia="zh-CN" w:bidi="ar-SA"/>
        </w:rPr>
      </w:pPr>
      <w:r>
        <w:rPr>
          <w:rFonts w:hint="default" w:ascii="Times New Roman" w:hAnsi="Times New Roman" w:eastAsia="宋体" w:cs="Times New Roman"/>
          <w:color w:val="auto"/>
          <w:sz w:val="28"/>
          <w:szCs w:val="22"/>
          <w:lang w:val="en-US" w:eastAsia="zh-CN" w:bidi="ar-SA"/>
        </w:rPr>
        <w:br w:type="page"/>
      </w:r>
    </w:p>
    <w:p w14:paraId="222EA9DE">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（二）本次服务团队成员情况表</w:t>
      </w:r>
    </w:p>
    <w:p w14:paraId="1560D7AA">
      <w:pPr>
        <w:spacing w:line="360" w:lineRule="auto"/>
        <w:jc w:val="both"/>
        <w:rPr>
          <w:rFonts w:hint="default" w:ascii="Times New Roman" w:hAnsi="Times New Roman" w:eastAsia="宋体" w:cs="Times New Roman"/>
          <w:color w:val="auto"/>
          <w:vertAlign w:val="baseline"/>
          <w:lang w:eastAsia="zh-CN"/>
        </w:rPr>
      </w:pPr>
    </w:p>
    <w:tbl>
      <w:tblPr>
        <w:tblStyle w:val="7"/>
        <w:tblpPr w:leftFromText="180" w:rightFromText="180" w:vertAnchor="text" w:horzAnchor="page" w:tblpX="1700" w:tblpY="39"/>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17"/>
        <w:gridCol w:w="783"/>
        <w:gridCol w:w="1000"/>
        <w:gridCol w:w="1767"/>
        <w:gridCol w:w="1591"/>
        <w:gridCol w:w="1764"/>
      </w:tblGrid>
      <w:tr w14:paraId="2A6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83" w:type="dxa"/>
            <w:vMerge w:val="restart"/>
            <w:vAlign w:val="center"/>
          </w:tcPr>
          <w:p w14:paraId="13CA81B9">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姓名</w:t>
            </w:r>
          </w:p>
        </w:tc>
        <w:tc>
          <w:tcPr>
            <w:tcW w:w="817" w:type="dxa"/>
            <w:vMerge w:val="restart"/>
            <w:vAlign w:val="center"/>
          </w:tcPr>
          <w:p w14:paraId="5E4484AB">
            <w:pPr>
              <w:spacing w:line="360" w:lineRule="auto"/>
              <w:jc w:val="center"/>
              <w:rPr>
                <w:rFonts w:hint="default" w:ascii="Times New Roman" w:hAnsi="Times New Roman" w:eastAsia="宋体" w:cs="Times New Roman"/>
                <w:b/>
                <w:color w:val="auto"/>
              </w:rPr>
            </w:pPr>
            <w:r>
              <w:rPr>
                <w:rFonts w:hint="eastAsia" w:cs="Times New Roman"/>
                <w:b/>
                <w:color w:val="auto"/>
                <w:sz w:val="20"/>
                <w:szCs w:val="18"/>
                <w:lang w:val="en-US" w:eastAsia="zh-CN"/>
              </w:rPr>
              <w:t>团队分工</w:t>
            </w:r>
          </w:p>
        </w:tc>
        <w:tc>
          <w:tcPr>
            <w:tcW w:w="783" w:type="dxa"/>
            <w:vMerge w:val="restart"/>
            <w:vAlign w:val="center"/>
          </w:tcPr>
          <w:p w14:paraId="248DDEEF">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执业年限</w:t>
            </w:r>
          </w:p>
        </w:tc>
        <w:tc>
          <w:tcPr>
            <w:tcW w:w="1000" w:type="dxa"/>
            <w:vMerge w:val="restart"/>
            <w:vAlign w:val="center"/>
          </w:tcPr>
          <w:p w14:paraId="1939691E">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学历</w:t>
            </w:r>
          </w:p>
        </w:tc>
        <w:tc>
          <w:tcPr>
            <w:tcW w:w="1767" w:type="dxa"/>
            <w:vMerge w:val="restart"/>
            <w:vAlign w:val="center"/>
          </w:tcPr>
          <w:p w14:paraId="1F680031">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常住地</w:t>
            </w:r>
            <w:r>
              <w:rPr>
                <w:rFonts w:hint="default" w:ascii="Times New Roman" w:hAnsi="Times New Roman" w:eastAsia="宋体" w:cs="Times New Roman"/>
                <w:b/>
                <w:color w:val="auto"/>
              </w:rPr>
              <w:br w:type="textWrapping"/>
            </w:r>
            <w:r>
              <w:rPr>
                <w:rFonts w:hint="default" w:ascii="Times New Roman" w:hAnsi="Times New Roman" w:eastAsia="宋体" w:cs="Times New Roman"/>
                <w:b/>
                <w:color w:val="auto"/>
              </w:rPr>
              <w:t>（区、县）</w:t>
            </w:r>
          </w:p>
        </w:tc>
        <w:tc>
          <w:tcPr>
            <w:tcW w:w="3355" w:type="dxa"/>
            <w:gridSpan w:val="2"/>
            <w:vAlign w:val="center"/>
          </w:tcPr>
          <w:p w14:paraId="7008BD3A">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sz w:val="20"/>
                <w:szCs w:val="18"/>
              </w:rPr>
              <w:t>资格证明（</w:t>
            </w:r>
            <w:r>
              <w:rPr>
                <w:rFonts w:hint="default" w:ascii="Times New Roman" w:hAnsi="Times New Roman" w:eastAsia="宋体" w:cs="Times New Roman"/>
                <w:b/>
                <w:color w:val="auto"/>
                <w:sz w:val="20"/>
                <w:szCs w:val="18"/>
                <w:lang w:eastAsia="zh-CN"/>
              </w:rPr>
              <w:t>本表后</w:t>
            </w:r>
            <w:r>
              <w:rPr>
                <w:rFonts w:hint="default" w:ascii="Times New Roman" w:hAnsi="Times New Roman" w:eastAsia="宋体" w:cs="Times New Roman"/>
                <w:b/>
                <w:color w:val="auto"/>
                <w:sz w:val="20"/>
                <w:szCs w:val="18"/>
              </w:rPr>
              <w:t>附复印件）</w:t>
            </w:r>
          </w:p>
        </w:tc>
      </w:tr>
      <w:tr w14:paraId="06B7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83" w:type="dxa"/>
            <w:vMerge w:val="continue"/>
            <w:vAlign w:val="center"/>
          </w:tcPr>
          <w:p w14:paraId="43C5689A">
            <w:pPr>
              <w:spacing w:line="360" w:lineRule="auto"/>
              <w:jc w:val="center"/>
              <w:rPr>
                <w:rFonts w:hint="default" w:ascii="Times New Roman" w:hAnsi="Times New Roman" w:eastAsia="宋体" w:cs="Times New Roman"/>
                <w:b/>
                <w:color w:val="auto"/>
              </w:rPr>
            </w:pPr>
          </w:p>
        </w:tc>
        <w:tc>
          <w:tcPr>
            <w:tcW w:w="817" w:type="dxa"/>
            <w:vMerge w:val="continue"/>
            <w:vAlign w:val="center"/>
          </w:tcPr>
          <w:p w14:paraId="3C366D61">
            <w:pPr>
              <w:spacing w:line="360" w:lineRule="auto"/>
              <w:jc w:val="center"/>
              <w:rPr>
                <w:rFonts w:hint="default" w:ascii="Times New Roman" w:hAnsi="Times New Roman" w:eastAsia="宋体" w:cs="Times New Roman"/>
                <w:b/>
                <w:color w:val="auto"/>
              </w:rPr>
            </w:pPr>
          </w:p>
        </w:tc>
        <w:tc>
          <w:tcPr>
            <w:tcW w:w="783" w:type="dxa"/>
            <w:vMerge w:val="continue"/>
            <w:vAlign w:val="center"/>
          </w:tcPr>
          <w:p w14:paraId="45F9409E">
            <w:pPr>
              <w:spacing w:line="360" w:lineRule="auto"/>
              <w:jc w:val="center"/>
              <w:rPr>
                <w:rFonts w:hint="default" w:ascii="Times New Roman" w:hAnsi="Times New Roman" w:eastAsia="宋体" w:cs="Times New Roman"/>
                <w:b/>
                <w:color w:val="auto"/>
              </w:rPr>
            </w:pPr>
          </w:p>
        </w:tc>
        <w:tc>
          <w:tcPr>
            <w:tcW w:w="1000" w:type="dxa"/>
            <w:vMerge w:val="continue"/>
            <w:vAlign w:val="center"/>
          </w:tcPr>
          <w:p w14:paraId="56406BE8">
            <w:pPr>
              <w:spacing w:line="360" w:lineRule="auto"/>
              <w:jc w:val="center"/>
              <w:rPr>
                <w:rFonts w:hint="default" w:ascii="Times New Roman" w:hAnsi="Times New Roman" w:eastAsia="宋体" w:cs="Times New Roman"/>
                <w:b/>
                <w:color w:val="auto"/>
              </w:rPr>
            </w:pPr>
          </w:p>
        </w:tc>
        <w:tc>
          <w:tcPr>
            <w:tcW w:w="1767" w:type="dxa"/>
            <w:vMerge w:val="continue"/>
            <w:vAlign w:val="center"/>
          </w:tcPr>
          <w:p w14:paraId="6E4FC52B">
            <w:pPr>
              <w:spacing w:line="360" w:lineRule="auto"/>
              <w:jc w:val="center"/>
              <w:rPr>
                <w:rFonts w:hint="default" w:ascii="Times New Roman" w:hAnsi="Times New Roman" w:eastAsia="宋体" w:cs="Times New Roman"/>
                <w:b/>
                <w:color w:val="auto"/>
              </w:rPr>
            </w:pPr>
          </w:p>
        </w:tc>
        <w:tc>
          <w:tcPr>
            <w:tcW w:w="1591" w:type="dxa"/>
            <w:vAlign w:val="center"/>
          </w:tcPr>
          <w:p w14:paraId="2C637F0C">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证书名称</w:t>
            </w:r>
          </w:p>
        </w:tc>
        <w:tc>
          <w:tcPr>
            <w:tcW w:w="1764" w:type="dxa"/>
            <w:vAlign w:val="center"/>
          </w:tcPr>
          <w:p w14:paraId="1FFB89D6">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证号</w:t>
            </w:r>
          </w:p>
        </w:tc>
      </w:tr>
      <w:tr w14:paraId="6E7F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2D958693">
            <w:pPr>
              <w:spacing w:line="360" w:lineRule="auto"/>
              <w:jc w:val="both"/>
              <w:rPr>
                <w:rFonts w:hint="default" w:ascii="Times New Roman" w:hAnsi="Times New Roman" w:eastAsia="宋体" w:cs="Times New Roman"/>
                <w:b/>
                <w:color w:val="auto"/>
                <w:sz w:val="28"/>
              </w:rPr>
            </w:pPr>
          </w:p>
        </w:tc>
        <w:tc>
          <w:tcPr>
            <w:tcW w:w="817" w:type="dxa"/>
          </w:tcPr>
          <w:p w14:paraId="3693191D">
            <w:pPr>
              <w:spacing w:line="360" w:lineRule="auto"/>
              <w:jc w:val="both"/>
              <w:rPr>
                <w:rFonts w:hint="default" w:ascii="Times New Roman" w:hAnsi="Times New Roman" w:eastAsia="宋体" w:cs="Times New Roman"/>
                <w:b/>
                <w:color w:val="auto"/>
                <w:sz w:val="28"/>
              </w:rPr>
            </w:pPr>
          </w:p>
        </w:tc>
        <w:tc>
          <w:tcPr>
            <w:tcW w:w="783" w:type="dxa"/>
          </w:tcPr>
          <w:p w14:paraId="1950D00D">
            <w:pPr>
              <w:spacing w:line="360" w:lineRule="auto"/>
              <w:jc w:val="both"/>
              <w:rPr>
                <w:rFonts w:hint="default" w:ascii="Times New Roman" w:hAnsi="Times New Roman" w:eastAsia="宋体" w:cs="Times New Roman"/>
                <w:b/>
                <w:color w:val="auto"/>
                <w:sz w:val="28"/>
              </w:rPr>
            </w:pPr>
          </w:p>
        </w:tc>
        <w:tc>
          <w:tcPr>
            <w:tcW w:w="1000" w:type="dxa"/>
          </w:tcPr>
          <w:p w14:paraId="7FA6BC59">
            <w:pPr>
              <w:spacing w:line="360" w:lineRule="auto"/>
              <w:jc w:val="both"/>
              <w:rPr>
                <w:rFonts w:hint="default" w:ascii="Times New Roman" w:hAnsi="Times New Roman" w:eastAsia="宋体" w:cs="Times New Roman"/>
                <w:b/>
                <w:color w:val="auto"/>
                <w:sz w:val="28"/>
              </w:rPr>
            </w:pPr>
          </w:p>
        </w:tc>
        <w:tc>
          <w:tcPr>
            <w:tcW w:w="1767" w:type="dxa"/>
          </w:tcPr>
          <w:p w14:paraId="21301A62">
            <w:pPr>
              <w:spacing w:line="360" w:lineRule="auto"/>
              <w:jc w:val="both"/>
              <w:rPr>
                <w:rFonts w:hint="default" w:ascii="Times New Roman" w:hAnsi="Times New Roman" w:eastAsia="宋体" w:cs="Times New Roman"/>
                <w:b/>
                <w:color w:val="auto"/>
                <w:sz w:val="28"/>
              </w:rPr>
            </w:pPr>
          </w:p>
        </w:tc>
        <w:tc>
          <w:tcPr>
            <w:tcW w:w="1591" w:type="dxa"/>
          </w:tcPr>
          <w:p w14:paraId="088CCB03">
            <w:pPr>
              <w:spacing w:line="360" w:lineRule="auto"/>
              <w:jc w:val="both"/>
              <w:rPr>
                <w:rFonts w:hint="default" w:ascii="Times New Roman" w:hAnsi="Times New Roman" w:eastAsia="宋体" w:cs="Times New Roman"/>
                <w:b/>
                <w:color w:val="auto"/>
                <w:sz w:val="28"/>
              </w:rPr>
            </w:pPr>
          </w:p>
        </w:tc>
        <w:tc>
          <w:tcPr>
            <w:tcW w:w="1764" w:type="dxa"/>
          </w:tcPr>
          <w:p w14:paraId="3CA95BF7">
            <w:pPr>
              <w:spacing w:line="360" w:lineRule="auto"/>
              <w:jc w:val="both"/>
              <w:rPr>
                <w:rFonts w:hint="default" w:ascii="Times New Roman" w:hAnsi="Times New Roman" w:eastAsia="宋体" w:cs="Times New Roman"/>
                <w:b/>
                <w:color w:val="auto"/>
                <w:sz w:val="28"/>
              </w:rPr>
            </w:pPr>
          </w:p>
        </w:tc>
      </w:tr>
      <w:tr w14:paraId="467E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3975A8CE">
            <w:pPr>
              <w:spacing w:line="360" w:lineRule="auto"/>
              <w:jc w:val="both"/>
              <w:rPr>
                <w:rFonts w:hint="default" w:ascii="Times New Roman" w:hAnsi="Times New Roman" w:eastAsia="宋体" w:cs="Times New Roman"/>
                <w:b/>
                <w:color w:val="auto"/>
                <w:sz w:val="28"/>
              </w:rPr>
            </w:pPr>
          </w:p>
        </w:tc>
        <w:tc>
          <w:tcPr>
            <w:tcW w:w="817" w:type="dxa"/>
          </w:tcPr>
          <w:p w14:paraId="638FAC35">
            <w:pPr>
              <w:spacing w:line="360" w:lineRule="auto"/>
              <w:jc w:val="both"/>
              <w:rPr>
                <w:rFonts w:hint="default" w:ascii="Times New Roman" w:hAnsi="Times New Roman" w:eastAsia="宋体" w:cs="Times New Roman"/>
                <w:b/>
                <w:color w:val="auto"/>
                <w:sz w:val="28"/>
              </w:rPr>
            </w:pPr>
          </w:p>
        </w:tc>
        <w:tc>
          <w:tcPr>
            <w:tcW w:w="783" w:type="dxa"/>
          </w:tcPr>
          <w:p w14:paraId="60D87952">
            <w:pPr>
              <w:spacing w:line="360" w:lineRule="auto"/>
              <w:jc w:val="both"/>
              <w:rPr>
                <w:rFonts w:hint="default" w:ascii="Times New Roman" w:hAnsi="Times New Roman" w:eastAsia="宋体" w:cs="Times New Roman"/>
                <w:b/>
                <w:color w:val="auto"/>
                <w:sz w:val="28"/>
              </w:rPr>
            </w:pPr>
          </w:p>
        </w:tc>
        <w:tc>
          <w:tcPr>
            <w:tcW w:w="1000" w:type="dxa"/>
          </w:tcPr>
          <w:p w14:paraId="329765CA">
            <w:pPr>
              <w:spacing w:line="360" w:lineRule="auto"/>
              <w:jc w:val="both"/>
              <w:rPr>
                <w:rFonts w:hint="default" w:ascii="Times New Roman" w:hAnsi="Times New Roman" w:eastAsia="宋体" w:cs="Times New Roman"/>
                <w:b/>
                <w:color w:val="auto"/>
                <w:sz w:val="28"/>
              </w:rPr>
            </w:pPr>
          </w:p>
        </w:tc>
        <w:tc>
          <w:tcPr>
            <w:tcW w:w="1767" w:type="dxa"/>
          </w:tcPr>
          <w:p w14:paraId="1BE6EB4A">
            <w:pPr>
              <w:spacing w:line="360" w:lineRule="auto"/>
              <w:jc w:val="both"/>
              <w:rPr>
                <w:rFonts w:hint="default" w:ascii="Times New Roman" w:hAnsi="Times New Roman" w:eastAsia="宋体" w:cs="Times New Roman"/>
                <w:b/>
                <w:color w:val="auto"/>
                <w:sz w:val="28"/>
              </w:rPr>
            </w:pPr>
          </w:p>
        </w:tc>
        <w:tc>
          <w:tcPr>
            <w:tcW w:w="1591" w:type="dxa"/>
          </w:tcPr>
          <w:p w14:paraId="2EA2E6B3">
            <w:pPr>
              <w:spacing w:line="360" w:lineRule="auto"/>
              <w:jc w:val="both"/>
              <w:rPr>
                <w:rFonts w:hint="default" w:ascii="Times New Roman" w:hAnsi="Times New Roman" w:eastAsia="宋体" w:cs="Times New Roman"/>
                <w:b/>
                <w:color w:val="auto"/>
                <w:sz w:val="28"/>
              </w:rPr>
            </w:pPr>
          </w:p>
        </w:tc>
        <w:tc>
          <w:tcPr>
            <w:tcW w:w="1764" w:type="dxa"/>
          </w:tcPr>
          <w:p w14:paraId="7433B0B1">
            <w:pPr>
              <w:spacing w:line="360" w:lineRule="auto"/>
              <w:jc w:val="both"/>
              <w:rPr>
                <w:rFonts w:hint="default" w:ascii="Times New Roman" w:hAnsi="Times New Roman" w:eastAsia="宋体" w:cs="Times New Roman"/>
                <w:b/>
                <w:color w:val="auto"/>
                <w:sz w:val="28"/>
              </w:rPr>
            </w:pPr>
          </w:p>
        </w:tc>
      </w:tr>
      <w:tr w14:paraId="1FA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65FCCCA1">
            <w:pPr>
              <w:spacing w:line="360" w:lineRule="auto"/>
              <w:jc w:val="both"/>
              <w:rPr>
                <w:rFonts w:hint="default" w:ascii="Times New Roman" w:hAnsi="Times New Roman" w:eastAsia="宋体" w:cs="Times New Roman"/>
                <w:b/>
                <w:color w:val="auto"/>
                <w:sz w:val="28"/>
              </w:rPr>
            </w:pPr>
          </w:p>
        </w:tc>
        <w:tc>
          <w:tcPr>
            <w:tcW w:w="817" w:type="dxa"/>
          </w:tcPr>
          <w:p w14:paraId="27B10CED">
            <w:pPr>
              <w:spacing w:line="360" w:lineRule="auto"/>
              <w:jc w:val="both"/>
              <w:rPr>
                <w:rFonts w:hint="default" w:ascii="Times New Roman" w:hAnsi="Times New Roman" w:eastAsia="宋体" w:cs="Times New Roman"/>
                <w:b/>
                <w:color w:val="auto"/>
                <w:sz w:val="28"/>
              </w:rPr>
            </w:pPr>
          </w:p>
        </w:tc>
        <w:tc>
          <w:tcPr>
            <w:tcW w:w="783" w:type="dxa"/>
          </w:tcPr>
          <w:p w14:paraId="44647C53">
            <w:pPr>
              <w:spacing w:line="360" w:lineRule="auto"/>
              <w:jc w:val="both"/>
              <w:rPr>
                <w:rFonts w:hint="default" w:ascii="Times New Roman" w:hAnsi="Times New Roman" w:eastAsia="宋体" w:cs="Times New Roman"/>
                <w:b/>
                <w:color w:val="auto"/>
                <w:sz w:val="28"/>
              </w:rPr>
            </w:pPr>
          </w:p>
        </w:tc>
        <w:tc>
          <w:tcPr>
            <w:tcW w:w="1000" w:type="dxa"/>
          </w:tcPr>
          <w:p w14:paraId="64EE22C9">
            <w:pPr>
              <w:spacing w:line="360" w:lineRule="auto"/>
              <w:jc w:val="both"/>
              <w:rPr>
                <w:rFonts w:hint="default" w:ascii="Times New Roman" w:hAnsi="Times New Roman" w:eastAsia="宋体" w:cs="Times New Roman"/>
                <w:b/>
                <w:color w:val="auto"/>
                <w:sz w:val="28"/>
              </w:rPr>
            </w:pPr>
          </w:p>
        </w:tc>
        <w:tc>
          <w:tcPr>
            <w:tcW w:w="1767" w:type="dxa"/>
          </w:tcPr>
          <w:p w14:paraId="5AA2ECFA">
            <w:pPr>
              <w:spacing w:line="360" w:lineRule="auto"/>
              <w:jc w:val="both"/>
              <w:rPr>
                <w:rFonts w:hint="default" w:ascii="Times New Roman" w:hAnsi="Times New Roman" w:eastAsia="宋体" w:cs="Times New Roman"/>
                <w:b/>
                <w:color w:val="auto"/>
                <w:sz w:val="28"/>
              </w:rPr>
            </w:pPr>
          </w:p>
        </w:tc>
        <w:tc>
          <w:tcPr>
            <w:tcW w:w="1591" w:type="dxa"/>
          </w:tcPr>
          <w:p w14:paraId="1988A4D2">
            <w:pPr>
              <w:spacing w:line="360" w:lineRule="auto"/>
              <w:jc w:val="both"/>
              <w:rPr>
                <w:rFonts w:hint="default" w:ascii="Times New Roman" w:hAnsi="Times New Roman" w:eastAsia="宋体" w:cs="Times New Roman"/>
                <w:b/>
                <w:color w:val="auto"/>
                <w:sz w:val="28"/>
              </w:rPr>
            </w:pPr>
          </w:p>
        </w:tc>
        <w:tc>
          <w:tcPr>
            <w:tcW w:w="1764" w:type="dxa"/>
          </w:tcPr>
          <w:p w14:paraId="67525B2E">
            <w:pPr>
              <w:spacing w:line="360" w:lineRule="auto"/>
              <w:jc w:val="both"/>
              <w:rPr>
                <w:rFonts w:hint="default" w:ascii="Times New Roman" w:hAnsi="Times New Roman" w:eastAsia="宋体" w:cs="Times New Roman"/>
                <w:b/>
                <w:color w:val="auto"/>
                <w:sz w:val="28"/>
              </w:rPr>
            </w:pPr>
          </w:p>
        </w:tc>
      </w:tr>
      <w:tr w14:paraId="3B4A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4CE0BD19">
            <w:pPr>
              <w:spacing w:line="360" w:lineRule="auto"/>
              <w:jc w:val="both"/>
              <w:rPr>
                <w:rFonts w:hint="default" w:ascii="Times New Roman" w:hAnsi="Times New Roman" w:eastAsia="宋体" w:cs="Times New Roman"/>
                <w:b/>
                <w:color w:val="auto"/>
                <w:sz w:val="28"/>
              </w:rPr>
            </w:pPr>
          </w:p>
        </w:tc>
        <w:tc>
          <w:tcPr>
            <w:tcW w:w="817" w:type="dxa"/>
          </w:tcPr>
          <w:p w14:paraId="5EF26B9C">
            <w:pPr>
              <w:spacing w:line="360" w:lineRule="auto"/>
              <w:jc w:val="both"/>
              <w:rPr>
                <w:rFonts w:hint="default" w:ascii="Times New Roman" w:hAnsi="Times New Roman" w:eastAsia="宋体" w:cs="Times New Roman"/>
                <w:b/>
                <w:color w:val="auto"/>
                <w:sz w:val="28"/>
              </w:rPr>
            </w:pPr>
          </w:p>
        </w:tc>
        <w:tc>
          <w:tcPr>
            <w:tcW w:w="783" w:type="dxa"/>
          </w:tcPr>
          <w:p w14:paraId="338084E9">
            <w:pPr>
              <w:spacing w:line="360" w:lineRule="auto"/>
              <w:jc w:val="both"/>
              <w:rPr>
                <w:rFonts w:hint="default" w:ascii="Times New Roman" w:hAnsi="Times New Roman" w:eastAsia="宋体" w:cs="Times New Roman"/>
                <w:b/>
                <w:color w:val="auto"/>
                <w:sz w:val="28"/>
              </w:rPr>
            </w:pPr>
          </w:p>
        </w:tc>
        <w:tc>
          <w:tcPr>
            <w:tcW w:w="1000" w:type="dxa"/>
          </w:tcPr>
          <w:p w14:paraId="4DD14979">
            <w:pPr>
              <w:spacing w:line="360" w:lineRule="auto"/>
              <w:jc w:val="both"/>
              <w:rPr>
                <w:rFonts w:hint="default" w:ascii="Times New Roman" w:hAnsi="Times New Roman" w:eastAsia="宋体" w:cs="Times New Roman"/>
                <w:b/>
                <w:color w:val="auto"/>
                <w:sz w:val="28"/>
              </w:rPr>
            </w:pPr>
          </w:p>
        </w:tc>
        <w:tc>
          <w:tcPr>
            <w:tcW w:w="1767" w:type="dxa"/>
          </w:tcPr>
          <w:p w14:paraId="14E20BA4">
            <w:pPr>
              <w:spacing w:line="360" w:lineRule="auto"/>
              <w:jc w:val="both"/>
              <w:rPr>
                <w:rFonts w:hint="default" w:ascii="Times New Roman" w:hAnsi="Times New Roman" w:eastAsia="宋体" w:cs="Times New Roman"/>
                <w:b/>
                <w:color w:val="auto"/>
                <w:sz w:val="28"/>
              </w:rPr>
            </w:pPr>
          </w:p>
        </w:tc>
        <w:tc>
          <w:tcPr>
            <w:tcW w:w="1591" w:type="dxa"/>
          </w:tcPr>
          <w:p w14:paraId="4041A108">
            <w:pPr>
              <w:spacing w:line="360" w:lineRule="auto"/>
              <w:jc w:val="both"/>
              <w:rPr>
                <w:rFonts w:hint="default" w:ascii="Times New Roman" w:hAnsi="Times New Roman" w:eastAsia="宋体" w:cs="Times New Roman"/>
                <w:b/>
                <w:color w:val="auto"/>
                <w:sz w:val="28"/>
              </w:rPr>
            </w:pPr>
          </w:p>
        </w:tc>
        <w:tc>
          <w:tcPr>
            <w:tcW w:w="1764" w:type="dxa"/>
          </w:tcPr>
          <w:p w14:paraId="23195B67">
            <w:pPr>
              <w:spacing w:line="360" w:lineRule="auto"/>
              <w:jc w:val="both"/>
              <w:rPr>
                <w:rFonts w:hint="default" w:ascii="Times New Roman" w:hAnsi="Times New Roman" w:eastAsia="宋体" w:cs="Times New Roman"/>
                <w:b/>
                <w:color w:val="auto"/>
                <w:sz w:val="28"/>
              </w:rPr>
            </w:pPr>
          </w:p>
        </w:tc>
      </w:tr>
      <w:tr w14:paraId="2F6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71709629">
            <w:pPr>
              <w:spacing w:line="360" w:lineRule="auto"/>
              <w:jc w:val="both"/>
              <w:rPr>
                <w:rFonts w:hint="default" w:ascii="Times New Roman" w:hAnsi="Times New Roman" w:eastAsia="宋体" w:cs="Times New Roman"/>
                <w:b/>
                <w:color w:val="auto"/>
                <w:sz w:val="28"/>
              </w:rPr>
            </w:pPr>
          </w:p>
        </w:tc>
        <w:tc>
          <w:tcPr>
            <w:tcW w:w="817" w:type="dxa"/>
          </w:tcPr>
          <w:p w14:paraId="6A5943D0">
            <w:pPr>
              <w:spacing w:line="360" w:lineRule="auto"/>
              <w:jc w:val="both"/>
              <w:rPr>
                <w:rFonts w:hint="default" w:ascii="Times New Roman" w:hAnsi="Times New Roman" w:eastAsia="宋体" w:cs="Times New Roman"/>
                <w:b/>
                <w:bCs/>
                <w:color w:val="auto"/>
                <w:sz w:val="28"/>
              </w:rPr>
            </w:pPr>
          </w:p>
        </w:tc>
        <w:tc>
          <w:tcPr>
            <w:tcW w:w="783" w:type="dxa"/>
          </w:tcPr>
          <w:p w14:paraId="2F3111BA">
            <w:pPr>
              <w:spacing w:line="360" w:lineRule="auto"/>
              <w:jc w:val="both"/>
              <w:rPr>
                <w:rFonts w:hint="default" w:ascii="Times New Roman" w:hAnsi="Times New Roman" w:eastAsia="宋体" w:cs="Times New Roman"/>
                <w:b/>
                <w:bCs/>
                <w:color w:val="auto"/>
                <w:sz w:val="28"/>
              </w:rPr>
            </w:pPr>
          </w:p>
        </w:tc>
        <w:tc>
          <w:tcPr>
            <w:tcW w:w="1000" w:type="dxa"/>
          </w:tcPr>
          <w:p w14:paraId="5DE23B18">
            <w:pPr>
              <w:spacing w:line="360" w:lineRule="auto"/>
              <w:jc w:val="both"/>
              <w:rPr>
                <w:rFonts w:hint="default" w:ascii="Times New Roman" w:hAnsi="Times New Roman" w:eastAsia="宋体" w:cs="Times New Roman"/>
                <w:b/>
                <w:bCs/>
                <w:color w:val="auto"/>
                <w:sz w:val="28"/>
              </w:rPr>
            </w:pPr>
          </w:p>
        </w:tc>
        <w:tc>
          <w:tcPr>
            <w:tcW w:w="1767" w:type="dxa"/>
          </w:tcPr>
          <w:p w14:paraId="7A4C0E40">
            <w:pPr>
              <w:spacing w:line="360" w:lineRule="auto"/>
              <w:jc w:val="both"/>
              <w:rPr>
                <w:rFonts w:hint="default" w:ascii="Times New Roman" w:hAnsi="Times New Roman" w:eastAsia="宋体" w:cs="Times New Roman"/>
                <w:b/>
                <w:bCs/>
                <w:color w:val="auto"/>
                <w:sz w:val="28"/>
              </w:rPr>
            </w:pPr>
          </w:p>
        </w:tc>
        <w:tc>
          <w:tcPr>
            <w:tcW w:w="1591" w:type="dxa"/>
          </w:tcPr>
          <w:p w14:paraId="439FAA13">
            <w:pPr>
              <w:spacing w:line="360" w:lineRule="auto"/>
              <w:jc w:val="both"/>
              <w:rPr>
                <w:rFonts w:hint="default" w:ascii="Times New Roman" w:hAnsi="Times New Roman" w:eastAsia="宋体" w:cs="Times New Roman"/>
                <w:b/>
                <w:bCs/>
                <w:color w:val="auto"/>
                <w:sz w:val="28"/>
              </w:rPr>
            </w:pPr>
          </w:p>
        </w:tc>
        <w:tc>
          <w:tcPr>
            <w:tcW w:w="1764" w:type="dxa"/>
          </w:tcPr>
          <w:p w14:paraId="5340DA7B">
            <w:pPr>
              <w:spacing w:line="360" w:lineRule="auto"/>
              <w:jc w:val="both"/>
              <w:rPr>
                <w:rFonts w:hint="default" w:ascii="Times New Roman" w:hAnsi="Times New Roman" w:eastAsia="宋体" w:cs="Times New Roman"/>
                <w:b/>
                <w:bCs/>
                <w:color w:val="auto"/>
                <w:sz w:val="28"/>
              </w:rPr>
            </w:pPr>
          </w:p>
        </w:tc>
      </w:tr>
      <w:tr w14:paraId="56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0F5EBF36">
            <w:pPr>
              <w:spacing w:line="360" w:lineRule="auto"/>
              <w:jc w:val="both"/>
              <w:rPr>
                <w:rFonts w:hint="default" w:ascii="Times New Roman" w:hAnsi="Times New Roman" w:eastAsia="宋体" w:cs="Times New Roman"/>
                <w:b/>
                <w:color w:val="auto"/>
                <w:sz w:val="28"/>
              </w:rPr>
            </w:pPr>
          </w:p>
        </w:tc>
        <w:tc>
          <w:tcPr>
            <w:tcW w:w="817" w:type="dxa"/>
          </w:tcPr>
          <w:p w14:paraId="6F9ABC73">
            <w:pPr>
              <w:spacing w:line="360" w:lineRule="auto"/>
              <w:jc w:val="both"/>
              <w:rPr>
                <w:rFonts w:hint="default" w:ascii="Times New Roman" w:hAnsi="Times New Roman" w:eastAsia="宋体" w:cs="Times New Roman"/>
                <w:b/>
                <w:bCs/>
                <w:color w:val="auto"/>
                <w:sz w:val="28"/>
              </w:rPr>
            </w:pPr>
          </w:p>
        </w:tc>
        <w:tc>
          <w:tcPr>
            <w:tcW w:w="783" w:type="dxa"/>
          </w:tcPr>
          <w:p w14:paraId="23003BFB">
            <w:pPr>
              <w:spacing w:line="360" w:lineRule="auto"/>
              <w:jc w:val="both"/>
              <w:rPr>
                <w:rFonts w:hint="default" w:ascii="Times New Roman" w:hAnsi="Times New Roman" w:eastAsia="宋体" w:cs="Times New Roman"/>
                <w:b/>
                <w:bCs/>
                <w:color w:val="auto"/>
                <w:sz w:val="28"/>
              </w:rPr>
            </w:pPr>
          </w:p>
        </w:tc>
        <w:tc>
          <w:tcPr>
            <w:tcW w:w="1000" w:type="dxa"/>
          </w:tcPr>
          <w:p w14:paraId="7F2729B8">
            <w:pPr>
              <w:spacing w:line="360" w:lineRule="auto"/>
              <w:jc w:val="both"/>
              <w:rPr>
                <w:rFonts w:hint="default" w:ascii="Times New Roman" w:hAnsi="Times New Roman" w:eastAsia="宋体" w:cs="Times New Roman"/>
                <w:b/>
                <w:bCs/>
                <w:color w:val="auto"/>
                <w:sz w:val="28"/>
              </w:rPr>
            </w:pPr>
          </w:p>
        </w:tc>
        <w:tc>
          <w:tcPr>
            <w:tcW w:w="1767" w:type="dxa"/>
          </w:tcPr>
          <w:p w14:paraId="0EACC052">
            <w:pPr>
              <w:spacing w:line="360" w:lineRule="auto"/>
              <w:jc w:val="both"/>
              <w:rPr>
                <w:rFonts w:hint="default" w:ascii="Times New Roman" w:hAnsi="Times New Roman" w:eastAsia="宋体" w:cs="Times New Roman"/>
                <w:b/>
                <w:bCs/>
                <w:color w:val="auto"/>
                <w:sz w:val="28"/>
              </w:rPr>
            </w:pPr>
          </w:p>
        </w:tc>
        <w:tc>
          <w:tcPr>
            <w:tcW w:w="1591" w:type="dxa"/>
          </w:tcPr>
          <w:p w14:paraId="67811882">
            <w:pPr>
              <w:spacing w:line="360" w:lineRule="auto"/>
              <w:jc w:val="both"/>
              <w:rPr>
                <w:rFonts w:hint="default" w:ascii="Times New Roman" w:hAnsi="Times New Roman" w:eastAsia="宋体" w:cs="Times New Roman"/>
                <w:b/>
                <w:bCs/>
                <w:color w:val="auto"/>
                <w:sz w:val="28"/>
              </w:rPr>
            </w:pPr>
          </w:p>
        </w:tc>
        <w:tc>
          <w:tcPr>
            <w:tcW w:w="1764" w:type="dxa"/>
          </w:tcPr>
          <w:p w14:paraId="2564F473">
            <w:pPr>
              <w:spacing w:line="360" w:lineRule="auto"/>
              <w:jc w:val="both"/>
              <w:rPr>
                <w:rFonts w:hint="default" w:ascii="Times New Roman" w:hAnsi="Times New Roman" w:eastAsia="宋体" w:cs="Times New Roman"/>
                <w:b/>
                <w:bCs/>
                <w:color w:val="auto"/>
                <w:sz w:val="28"/>
              </w:rPr>
            </w:pPr>
          </w:p>
        </w:tc>
      </w:tr>
    </w:tbl>
    <w:p w14:paraId="1B2D017B">
      <w:pPr>
        <w:spacing w:line="360" w:lineRule="auto"/>
        <w:jc w:val="both"/>
        <w:rPr>
          <w:rFonts w:hint="default" w:ascii="Times New Roman" w:hAnsi="Times New Roman" w:eastAsia="宋体" w:cs="Times New Roman"/>
          <w:color w:val="auto"/>
          <w:vertAlign w:val="baseline"/>
          <w:lang w:eastAsia="zh-CN"/>
        </w:rPr>
      </w:pPr>
      <w:r>
        <w:rPr>
          <w:rFonts w:hint="default" w:ascii="Times New Roman" w:hAnsi="Times New Roman" w:eastAsia="宋体" w:cs="Times New Roman"/>
          <w:color w:val="auto"/>
          <w:vertAlign w:val="baseline"/>
          <w:lang w:eastAsia="zh-CN"/>
        </w:rPr>
        <w:t>注：</w:t>
      </w:r>
      <w:r>
        <w:rPr>
          <w:rFonts w:hint="eastAsia" w:cs="Times New Roman"/>
          <w:color w:val="auto"/>
          <w:vertAlign w:val="baseline"/>
          <w:lang w:val="en-US" w:eastAsia="zh-CN"/>
        </w:rPr>
        <w:t>1.</w:t>
      </w:r>
      <w:r>
        <w:rPr>
          <w:rFonts w:hint="default" w:ascii="Times New Roman" w:hAnsi="Times New Roman" w:eastAsia="宋体" w:cs="Times New Roman"/>
          <w:color w:val="auto"/>
          <w:vertAlign w:val="baseline"/>
          <w:lang w:eastAsia="zh-CN"/>
        </w:rPr>
        <w:t>附</w:t>
      </w:r>
      <w:r>
        <w:rPr>
          <w:rFonts w:hint="eastAsia" w:cs="Times New Roman"/>
          <w:color w:val="auto"/>
          <w:vertAlign w:val="baseline"/>
          <w:lang w:val="en-US" w:eastAsia="zh-CN"/>
        </w:rPr>
        <w:t>本次</w:t>
      </w:r>
      <w:r>
        <w:rPr>
          <w:rFonts w:hint="default" w:ascii="Times New Roman" w:hAnsi="Times New Roman" w:eastAsia="宋体" w:cs="Times New Roman"/>
          <w:color w:val="auto"/>
          <w:vertAlign w:val="baseline"/>
          <w:lang w:eastAsia="zh-CN"/>
        </w:rPr>
        <w:t>服务团队</w:t>
      </w:r>
      <w:r>
        <w:rPr>
          <w:rFonts w:hint="eastAsia" w:cs="Times New Roman"/>
          <w:color w:val="auto"/>
          <w:vertAlign w:val="baseline"/>
          <w:lang w:val="en-US" w:eastAsia="zh-CN"/>
        </w:rPr>
        <w:t>成员</w:t>
      </w:r>
      <w:r>
        <w:rPr>
          <w:rFonts w:hint="default" w:ascii="Times New Roman" w:hAnsi="Times New Roman" w:eastAsia="宋体" w:cs="Times New Roman"/>
          <w:color w:val="auto"/>
          <w:vertAlign w:val="baseline"/>
          <w:lang w:eastAsia="zh-CN"/>
        </w:rPr>
        <w:t>执业证书复印件</w:t>
      </w:r>
      <w:r>
        <w:rPr>
          <w:rFonts w:hint="default" w:ascii="Times New Roman" w:hAnsi="Times New Roman" w:eastAsia="宋体" w:cs="Times New Roman"/>
          <w:color w:val="auto"/>
          <w:vertAlign w:val="baseline"/>
          <w:lang w:val="en-US" w:eastAsia="zh-CN"/>
        </w:rPr>
        <w:t>及团队业绩</w:t>
      </w:r>
      <w:r>
        <w:rPr>
          <w:rFonts w:hint="eastAsia" w:cs="Times New Roman"/>
          <w:color w:val="auto"/>
          <w:vertAlign w:val="baseline"/>
          <w:lang w:val="en-US" w:eastAsia="zh-CN"/>
        </w:rPr>
        <w:t>简介；</w:t>
      </w:r>
    </w:p>
    <w:p w14:paraId="4F195774">
      <w:pPr>
        <w:spacing w:line="360" w:lineRule="auto"/>
        <w:ind w:firstLine="420" w:firstLineChars="200"/>
        <w:jc w:val="both"/>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2.团队分工指本次服务团队中各成员在团队中的角色定位（团队负责人/主办律师/团队成员）。</w:t>
      </w:r>
    </w:p>
    <w:p w14:paraId="5B899B10">
      <w:pPr>
        <w:spacing w:line="360" w:lineRule="auto"/>
        <w:jc w:val="both"/>
        <w:rPr>
          <w:rFonts w:hint="default" w:ascii="Times New Roman" w:hAnsi="Times New Roman" w:eastAsia="宋体" w:cs="Times New Roman"/>
          <w:color w:val="auto"/>
          <w:sz w:val="28"/>
        </w:rPr>
      </w:pPr>
    </w:p>
    <w:p w14:paraId="08608025">
      <w:pPr>
        <w:jc w:val="right"/>
        <w:rPr>
          <w:rFonts w:hint="default" w:ascii="Times New Roman" w:hAnsi="Times New Roman" w:eastAsia="宋体" w:cs="Times New Roman"/>
          <w:color w:val="auto"/>
          <w:sz w:val="28"/>
        </w:rPr>
      </w:pPr>
    </w:p>
    <w:p w14:paraId="0CDB1112">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（盖单位章）</w:t>
      </w:r>
    </w:p>
    <w:p w14:paraId="79638E97">
      <w:pPr>
        <w:spacing w:line="360" w:lineRule="auto"/>
        <w:jc w:val="right"/>
        <w:rPr>
          <w:rFonts w:hint="default" w:ascii="Times New Roman" w:hAnsi="Times New Roman" w:eastAsia="宋体" w:cs="Times New Roman"/>
          <w:color w:val="auto"/>
          <w:sz w:val="24"/>
          <w:szCs w:val="24"/>
          <w:u w:val="single"/>
        </w:rPr>
      </w:pPr>
      <w:r>
        <w:rPr>
          <w:rFonts w:hint="eastAsia" w:cs="Times New Roman"/>
          <w:color w:val="auto"/>
          <w:sz w:val="24"/>
          <w:szCs w:val="24"/>
          <w:lang w:val="en-US" w:eastAsia="zh-CN"/>
        </w:rPr>
        <w:t>单位</w:t>
      </w:r>
      <w:r>
        <w:rPr>
          <w:rFonts w:hint="default" w:ascii="Times New Roman" w:hAnsi="Times New Roman" w:eastAsia="宋体" w:cs="Times New Roman"/>
          <w:color w:val="auto"/>
          <w:sz w:val="24"/>
          <w:szCs w:val="24"/>
          <w:lang w:eastAsia="zh-CN"/>
        </w:rPr>
        <w:t>负责</w:t>
      </w:r>
      <w:r>
        <w:rPr>
          <w:rFonts w:hint="default" w:ascii="Times New Roman" w:hAnsi="Times New Roman" w:eastAsia="宋体" w:cs="Times New Roman"/>
          <w:color w:val="auto"/>
          <w:sz w:val="24"/>
          <w:szCs w:val="24"/>
        </w:rPr>
        <w:t>人或其委托代理人：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（签字或盖章）</w:t>
      </w:r>
    </w:p>
    <w:p w14:paraId="063D8244">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7311DA6E">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50480663">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290F9D20">
      <w:pPr>
        <w:numPr>
          <w:ilvl w:val="-1"/>
          <w:numId w:val="0"/>
        </w:numPr>
        <w:jc w:val="left"/>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48DDAC5">
      <w:pPr>
        <w:widowControl/>
        <w:numPr>
          <w:ilvl w:val="0"/>
          <w:numId w:val="0"/>
        </w:numPr>
        <w:spacing w:after="0" w:line="240" w:lineRule="auto"/>
        <w:ind w:left="0" w:leftChars="0"/>
        <w:jc w:val="center"/>
        <w:rPr>
          <w:rFonts w:hint="default" w:ascii="Times New Roman" w:hAnsi="Times New Roman" w:eastAsia="宋体" w:cs="Times New Roman"/>
          <w:bCs/>
          <w:color w:val="auto"/>
          <w:kern w:val="2"/>
          <w:sz w:val="24"/>
          <w:szCs w:val="24"/>
          <w:lang w:val="en-US" w:eastAsia="zh-CN" w:bidi="ar-SA"/>
        </w:rPr>
      </w:pPr>
      <w:r>
        <w:rPr>
          <w:rFonts w:hint="eastAsia" w:cs="Times New Roman"/>
          <w:b/>
          <w:bCs w:val="0"/>
          <w:color w:val="auto"/>
          <w:kern w:val="2"/>
          <w:sz w:val="36"/>
          <w:szCs w:val="36"/>
          <w:lang w:val="en-US" w:eastAsia="zh-CN" w:bidi="ar-SA"/>
        </w:rPr>
        <w:t>（三）</w:t>
      </w:r>
      <w:r>
        <w:rPr>
          <w:rFonts w:hint="default" w:ascii="Times New Roman" w:hAnsi="Times New Roman" w:eastAsia="宋体" w:cs="Times New Roman"/>
          <w:b/>
          <w:color w:val="auto"/>
          <w:kern w:val="2"/>
          <w:sz w:val="36"/>
          <w:szCs w:val="36"/>
          <w:lang w:val="en-US" w:eastAsia="zh-CN" w:bidi="ar-SA"/>
        </w:rPr>
        <w:t>承诺函</w:t>
      </w:r>
    </w:p>
    <w:p w14:paraId="450451D3">
      <w:pPr>
        <w:keepNext w:val="0"/>
        <w:keepLines w:val="0"/>
        <w:pageBreakBefore w:val="0"/>
        <w:widowControl w:val="0"/>
        <w:kinsoku/>
        <w:wordWrap/>
        <w:overflowPunct/>
        <w:topLinePunct w:val="0"/>
        <w:autoSpaceDE/>
        <w:autoSpaceDN/>
        <w:bidi w:val="0"/>
        <w:adjustRightInd/>
        <w:snapToGrid/>
        <w:spacing w:after="120" w:line="400" w:lineRule="exact"/>
        <w:ind w:left="0" w:leftChars="0"/>
        <w:jc w:val="both"/>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致：</w:t>
      </w:r>
      <w:r>
        <w:rPr>
          <w:rFonts w:hint="eastAsia" w:ascii="仿宋_GB2312" w:hAnsi="仿宋_GB2312" w:eastAsia="仿宋_GB2312" w:cs="仿宋_GB2312"/>
          <w:bCs/>
          <w:color w:val="auto"/>
          <w:kern w:val="2"/>
          <w:sz w:val="24"/>
          <w:szCs w:val="24"/>
          <w:u w:val="single"/>
          <w:lang w:val="en-US" w:eastAsia="zh-CN" w:bidi="ar-SA"/>
        </w:rPr>
        <w:t>四川蜀物广润物流有限公司</w:t>
      </w:r>
      <w:r>
        <w:rPr>
          <w:rFonts w:hint="eastAsia" w:ascii="仿宋_GB2312" w:hAnsi="仿宋_GB2312" w:eastAsia="仿宋_GB2312" w:cs="仿宋_GB2312"/>
          <w:bCs/>
          <w:color w:val="auto"/>
          <w:kern w:val="2"/>
          <w:sz w:val="24"/>
          <w:szCs w:val="24"/>
          <w:lang w:val="en-US" w:eastAsia="zh-CN" w:bidi="ar-SA"/>
        </w:rPr>
        <w:t>：</w:t>
      </w:r>
    </w:p>
    <w:p w14:paraId="0AD86DE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本所参加贵公司</w:t>
      </w:r>
      <w:r>
        <w:rPr>
          <w:rFonts w:hint="eastAsia" w:ascii="仿宋_GB2312" w:hAnsi="仿宋_GB2312" w:eastAsia="仿宋_GB2312" w:cs="仿宋_GB2312"/>
          <w:color w:val="auto"/>
          <w:sz w:val="24"/>
          <w:u w:val="single"/>
          <w:lang w:eastAsia="zh-CN"/>
        </w:rPr>
        <w:t>选聘</w:t>
      </w:r>
      <w:r>
        <w:rPr>
          <w:rFonts w:hint="eastAsia" w:ascii="仿宋_GB2312" w:hAnsi="仿宋_GB2312" w:eastAsia="仿宋_GB2312" w:cs="仿宋_GB2312"/>
          <w:color w:val="auto"/>
          <w:sz w:val="24"/>
          <w:u w:val="single"/>
          <w:lang w:val="en-US" w:eastAsia="zh-CN"/>
        </w:rPr>
        <w:t>某</w:t>
      </w:r>
      <w:r>
        <w:rPr>
          <w:rFonts w:hint="eastAsia" w:ascii="仿宋_GB2312" w:hAnsi="仿宋_GB2312" w:eastAsia="仿宋_GB2312" w:cs="仿宋_GB2312"/>
          <w:color w:val="auto"/>
          <w:sz w:val="24"/>
          <w:u w:val="single"/>
          <w:lang w:eastAsia="zh-CN"/>
        </w:rPr>
        <w:t>项目专项法律服务中介机构</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公开比选</w:t>
      </w:r>
      <w:r>
        <w:rPr>
          <w:rFonts w:hint="eastAsia" w:ascii="仿宋_GB2312" w:hAnsi="仿宋_GB2312" w:eastAsia="仿宋_GB2312" w:cs="仿宋_GB2312"/>
          <w:color w:val="auto"/>
          <w:sz w:val="24"/>
          <w:lang w:eastAsia="zh-CN"/>
        </w:rPr>
        <w:t>活动，</w:t>
      </w:r>
      <w:r>
        <w:rPr>
          <w:rFonts w:hint="eastAsia" w:ascii="仿宋_GB2312" w:hAnsi="仿宋_GB2312" w:eastAsia="仿宋_GB2312" w:cs="仿宋_GB2312"/>
          <w:color w:val="auto"/>
          <w:sz w:val="24"/>
        </w:rPr>
        <w:t>现承诺：</w:t>
      </w:r>
    </w:p>
    <w:p w14:paraId="0CEF4A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一、本所是中华人民共和国境内依法设立的</w:t>
      </w:r>
      <w:r>
        <w:rPr>
          <w:rFonts w:hint="eastAsia" w:ascii="仿宋_GB2312" w:hAnsi="仿宋_GB2312" w:eastAsia="仿宋_GB2312" w:cs="仿宋_GB2312"/>
          <w:color w:val="auto"/>
          <w:sz w:val="24"/>
          <w:lang w:eastAsia="zh-CN"/>
        </w:rPr>
        <w:t>合伙企业，</w:t>
      </w:r>
      <w:r>
        <w:rPr>
          <w:rFonts w:hint="eastAsia" w:ascii="仿宋_GB2312" w:hAnsi="仿宋_GB2312" w:eastAsia="仿宋_GB2312" w:cs="仿宋_GB2312"/>
          <w:color w:val="auto"/>
          <w:sz w:val="24"/>
        </w:rPr>
        <w:t>合法经营、依法执业</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遵守法律法规、职业道德和执业准则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严格保守</w:t>
      </w:r>
      <w:r>
        <w:rPr>
          <w:rFonts w:hint="eastAsia" w:ascii="仿宋_GB2312" w:hAnsi="仿宋_GB2312" w:eastAsia="仿宋_GB2312" w:cs="仿宋_GB2312"/>
          <w:color w:val="auto"/>
          <w:sz w:val="24"/>
          <w:lang w:val="en-US" w:eastAsia="zh-CN"/>
        </w:rPr>
        <w:t>贵</w:t>
      </w:r>
      <w:r>
        <w:rPr>
          <w:rFonts w:hint="eastAsia" w:ascii="仿宋_GB2312" w:hAnsi="仿宋_GB2312" w:eastAsia="仿宋_GB2312" w:cs="仿宋_GB2312"/>
          <w:color w:val="auto"/>
          <w:sz w:val="24"/>
          <w:lang w:eastAsia="zh-CN"/>
        </w:rPr>
        <w:t>公司</w:t>
      </w:r>
      <w:r>
        <w:rPr>
          <w:rFonts w:hint="eastAsia" w:ascii="仿宋_GB2312" w:hAnsi="仿宋_GB2312" w:eastAsia="仿宋_GB2312" w:cs="仿宋_GB2312"/>
          <w:color w:val="auto"/>
          <w:sz w:val="24"/>
        </w:rPr>
        <w:t>的商业信息和秘密；</w:t>
      </w:r>
    </w:p>
    <w:p w14:paraId="28010AC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二、服务团队熟悉国有资产管理、监督方面的法律法规和政策</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具有</w:t>
      </w:r>
      <w:r>
        <w:rPr>
          <w:rFonts w:hint="eastAsia" w:ascii="仿宋_GB2312" w:hAnsi="仿宋_GB2312" w:eastAsia="仿宋_GB2312" w:cs="仿宋_GB2312"/>
          <w:color w:val="auto"/>
          <w:sz w:val="24"/>
          <w:lang w:eastAsia="zh-CN"/>
        </w:rPr>
        <w:t>大宗物资贸易业务</w:t>
      </w:r>
      <w:r>
        <w:rPr>
          <w:rFonts w:hint="eastAsia" w:ascii="仿宋_GB2312" w:hAnsi="仿宋_GB2312" w:eastAsia="仿宋_GB2312" w:cs="仿宋_GB2312"/>
          <w:color w:val="auto"/>
          <w:sz w:val="24"/>
        </w:rPr>
        <w:t>相关法律事务经验；</w:t>
      </w:r>
    </w:p>
    <w:p w14:paraId="6ED978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三、成立以来本所及执业律师不存在以下行为：</w:t>
      </w:r>
    </w:p>
    <w:p w14:paraId="0F179C4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1.弄虚作假、恶意串通、营私舞弊等严重不诚信行为。</w:t>
      </w:r>
    </w:p>
    <w:p w14:paraId="1F4556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2.出具虚假或重大失实的业务报告。</w:t>
      </w:r>
    </w:p>
    <w:p w14:paraId="737CE90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3.违反中介服务合同约定给委托方造成重大损失等情形</w:t>
      </w:r>
    </w:p>
    <w:p w14:paraId="0CD7CD5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4.因中介服务重大执业质量等问题受到省国资委等机构通报</w:t>
      </w:r>
    </w:p>
    <w:p w14:paraId="0730EEE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5.本所及服务团队成员有刑事犯罪记录。</w:t>
      </w:r>
    </w:p>
    <w:p w14:paraId="6928149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6.近3年内受过纪律处分、行政处罚或行业处分。</w:t>
      </w:r>
    </w:p>
    <w:p w14:paraId="4470CD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7.被列入失信被执行人、重大税收违法案件当事人名单、政府采购严重违法失信行为记录名单。</w:t>
      </w:r>
    </w:p>
    <w:p w14:paraId="7500D9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四、与贵公司不存在重大利益冲突情况。在为贵公司提供专项法律服务期间，不在涉及贵公司利益的诉讼案件或其他法律事务中担任对方当事人的代理人或为对方当事人提供法律服务。</w:t>
      </w:r>
    </w:p>
    <w:p w14:paraId="0678662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五</w:t>
      </w:r>
      <w:r>
        <w:rPr>
          <w:rFonts w:hint="eastAsia" w:ascii="仿宋_GB2312" w:hAnsi="仿宋_GB2312" w:eastAsia="仿宋_GB2312" w:cs="仿宋_GB2312"/>
          <w:color w:val="auto"/>
          <w:sz w:val="24"/>
        </w:rPr>
        <w:t>、所递交的</w:t>
      </w:r>
      <w:r>
        <w:rPr>
          <w:rFonts w:hint="eastAsia" w:ascii="仿宋_GB2312" w:hAnsi="仿宋_GB2312" w:eastAsia="仿宋_GB2312" w:cs="仿宋_GB2312"/>
          <w:color w:val="auto"/>
          <w:sz w:val="24"/>
          <w:lang w:eastAsia="zh-CN"/>
        </w:rPr>
        <w:t>申请文件</w:t>
      </w:r>
      <w:r>
        <w:rPr>
          <w:rFonts w:hint="eastAsia" w:ascii="仿宋_GB2312" w:hAnsi="仿宋_GB2312" w:eastAsia="仿宋_GB2312" w:cs="仿宋_GB2312"/>
          <w:color w:val="auto"/>
          <w:sz w:val="24"/>
        </w:rPr>
        <w:t>及证明材料均如实填写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并真实可靠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若</w:t>
      </w:r>
      <w:r>
        <w:rPr>
          <w:rFonts w:hint="eastAsia" w:ascii="仿宋_GB2312" w:hAnsi="仿宋_GB2312" w:eastAsia="仿宋_GB2312" w:cs="仿宋_GB2312"/>
          <w:color w:val="auto"/>
          <w:sz w:val="24"/>
          <w:lang w:val="en-US" w:eastAsia="zh-CN"/>
        </w:rPr>
        <w:t>贵公司</w:t>
      </w:r>
      <w:r>
        <w:rPr>
          <w:rFonts w:hint="eastAsia" w:ascii="仿宋_GB2312" w:hAnsi="仿宋_GB2312" w:eastAsia="仿宋_GB2312" w:cs="仿宋_GB2312"/>
          <w:color w:val="auto"/>
          <w:sz w:val="24"/>
        </w:rPr>
        <w:t>在</w:t>
      </w:r>
      <w:r>
        <w:rPr>
          <w:rFonts w:hint="eastAsia" w:ascii="仿宋_GB2312" w:hAnsi="仿宋_GB2312" w:eastAsia="仿宋_GB2312" w:cs="仿宋_GB2312"/>
          <w:color w:val="auto"/>
          <w:sz w:val="24"/>
          <w:lang w:eastAsia="zh-CN"/>
        </w:rPr>
        <w:t>公</w:t>
      </w:r>
      <w:r>
        <w:rPr>
          <w:rFonts w:hint="eastAsia" w:ascii="仿宋_GB2312" w:hAnsi="仿宋_GB2312" w:eastAsia="仿宋_GB2312" w:cs="仿宋_GB2312"/>
          <w:color w:val="auto"/>
          <w:sz w:val="24"/>
          <w:lang w:val="en-US" w:eastAsia="zh-CN"/>
        </w:rPr>
        <w:t>开</w:t>
      </w:r>
      <w:r>
        <w:rPr>
          <w:rFonts w:hint="eastAsia" w:ascii="仿宋_GB2312" w:hAnsi="仿宋_GB2312" w:eastAsia="仿宋_GB2312" w:cs="仿宋_GB2312"/>
          <w:color w:val="auto"/>
          <w:sz w:val="24"/>
          <w:lang w:eastAsia="zh-CN"/>
        </w:rPr>
        <w:t>招投标</w:t>
      </w:r>
      <w:r>
        <w:rPr>
          <w:rFonts w:hint="eastAsia" w:ascii="仿宋_GB2312" w:hAnsi="仿宋_GB2312" w:eastAsia="仿宋_GB2312" w:cs="仿宋_GB2312"/>
          <w:color w:val="auto"/>
          <w:sz w:val="24"/>
        </w:rPr>
        <w:t>过程中发现我方所提供的材料不真实</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则我方的</w:t>
      </w:r>
      <w:r>
        <w:rPr>
          <w:rFonts w:hint="eastAsia" w:ascii="仿宋_GB2312" w:hAnsi="仿宋_GB2312" w:eastAsia="仿宋_GB2312" w:cs="仿宋_GB2312"/>
          <w:color w:val="auto"/>
          <w:sz w:val="24"/>
          <w:lang w:eastAsia="zh-CN"/>
        </w:rPr>
        <w:t>报价</w:t>
      </w:r>
      <w:r>
        <w:rPr>
          <w:rFonts w:hint="eastAsia" w:ascii="仿宋_GB2312" w:hAnsi="仿宋_GB2312" w:eastAsia="仿宋_GB2312" w:cs="仿宋_GB2312"/>
          <w:color w:val="auto"/>
          <w:sz w:val="24"/>
        </w:rPr>
        <w:t>无效；若</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将取消我方的</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资格</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我方不会有异议。</w:t>
      </w:r>
    </w:p>
    <w:p w14:paraId="5682FE3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六</w:t>
      </w:r>
      <w:r>
        <w:rPr>
          <w:rFonts w:hint="eastAsia" w:ascii="仿宋_GB2312" w:hAnsi="仿宋_GB2312" w:eastAsia="仿宋_GB2312" w:cs="仿宋_GB2312"/>
          <w:color w:val="auto"/>
          <w:sz w:val="24"/>
        </w:rPr>
        <w:t>、我方承诺完全响应</w:t>
      </w:r>
      <w:r>
        <w:rPr>
          <w:rFonts w:hint="eastAsia" w:ascii="仿宋_GB2312" w:hAnsi="仿宋_GB2312" w:eastAsia="仿宋_GB2312" w:cs="仿宋_GB2312"/>
          <w:color w:val="auto"/>
          <w:sz w:val="24"/>
          <w:lang w:eastAsia="zh-CN"/>
        </w:rPr>
        <w:t>招标</w:t>
      </w:r>
      <w:r>
        <w:rPr>
          <w:rFonts w:hint="eastAsia" w:ascii="仿宋_GB2312" w:hAnsi="仿宋_GB2312" w:eastAsia="仿宋_GB2312" w:cs="仿宋_GB2312"/>
          <w:color w:val="auto"/>
          <w:sz w:val="24"/>
        </w:rPr>
        <w:t>文件中的所有要求。</w:t>
      </w:r>
    </w:p>
    <w:p w14:paraId="2183D4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七</w:t>
      </w:r>
      <w:r>
        <w:rPr>
          <w:rFonts w:hint="eastAsia" w:ascii="仿宋_GB2312" w:hAnsi="仿宋_GB2312" w:eastAsia="仿宋_GB2312" w:cs="仿宋_GB2312"/>
          <w:color w:val="auto"/>
          <w:sz w:val="24"/>
        </w:rPr>
        <w:t>、一旦我方</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我方将按</w:t>
      </w:r>
      <w:r>
        <w:rPr>
          <w:rFonts w:hint="eastAsia" w:ascii="仿宋_GB2312" w:hAnsi="仿宋_GB2312" w:eastAsia="仿宋_GB2312" w:cs="仿宋_GB2312"/>
          <w:color w:val="auto"/>
          <w:sz w:val="24"/>
          <w:lang w:eastAsia="zh-CN"/>
        </w:rPr>
        <w:t>招标文件</w:t>
      </w:r>
      <w:r>
        <w:rPr>
          <w:rFonts w:hint="eastAsia" w:ascii="仿宋_GB2312" w:hAnsi="仿宋_GB2312" w:eastAsia="仿宋_GB2312" w:cs="仿宋_GB2312"/>
          <w:color w:val="auto"/>
          <w:sz w:val="24"/>
        </w:rPr>
        <w:t>要求签订合同。若有异议</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则视为我方放弃</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w:t>
      </w:r>
    </w:p>
    <w:p w14:paraId="10780CA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八</w:t>
      </w:r>
      <w:r>
        <w:rPr>
          <w:rFonts w:hint="eastAsia" w:ascii="仿宋_GB2312" w:hAnsi="仿宋_GB2312" w:eastAsia="仿宋_GB2312" w:cs="仿宋_GB2312"/>
          <w:color w:val="auto"/>
          <w:sz w:val="24"/>
        </w:rPr>
        <w:t>、我方保证诚信参与本次投标。若中标，在中标后为贵司提供服务不侵犯第三方权利，若因我方的行为或提供的服务侵犯第三方知识产权等权利而使贵司遭至索赔的，我方应承担赔偿责任。</w:t>
      </w:r>
    </w:p>
    <w:p w14:paraId="2AF70AC4">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比选申请人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（盖单位章）</w:t>
      </w:r>
    </w:p>
    <w:p w14:paraId="05983428">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负责人：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（签字或盖章）</w:t>
      </w:r>
    </w:p>
    <w:p w14:paraId="3B48F61D">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14:paraId="5AE03176">
      <w:pPr>
        <w:keepNext w:val="0"/>
        <w:keepLines w:val="0"/>
        <w:pageBreakBefore w:val="0"/>
        <w:widowControl/>
        <w:suppressLineNumbers w:val="0"/>
        <w:kinsoku/>
        <w:wordWrap/>
        <w:overflowPunct/>
        <w:topLinePunct w:val="0"/>
        <w:autoSpaceDE/>
        <w:autoSpaceDN/>
        <w:bidi w:val="0"/>
        <w:adjustRightInd/>
        <w:snapToGrid/>
        <w:spacing w:after="0" w:afterAutospacing="0" w:line="400" w:lineRule="exact"/>
        <w:ind w:left="0" w:leftChars="0" w:firstLine="0" w:firstLineChars="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br w:type="page"/>
      </w:r>
    </w:p>
    <w:p w14:paraId="1CBBBA82">
      <w:pPr>
        <w:keepNext w:val="0"/>
        <w:keepLines w:val="0"/>
        <w:widowControl/>
        <w:numPr>
          <w:ilvl w:val="0"/>
          <w:numId w:val="0"/>
        </w:numPr>
        <w:spacing w:before="0" w:after="0" w:line="560" w:lineRule="exact"/>
        <w:jc w:val="center"/>
        <w:outlineLvl w:val="9"/>
        <w:rPr>
          <w:rFonts w:hint="eastAsia" w:cs="Times New Roman"/>
          <w:b/>
          <w:bCs w:val="0"/>
          <w:color w:val="auto"/>
          <w:kern w:val="2"/>
          <w:sz w:val="36"/>
          <w:szCs w:val="36"/>
          <w:lang w:val="en-US" w:eastAsia="zh-CN" w:bidi="ar-SA"/>
        </w:rPr>
      </w:pPr>
      <w:r>
        <w:rPr>
          <w:rFonts w:hint="eastAsia" w:cs="Times New Roman"/>
          <w:b/>
          <w:color w:val="auto"/>
          <w:sz w:val="36"/>
          <w:szCs w:val="36"/>
          <w:u w:val="none"/>
          <w:lang w:val="en-US" w:eastAsia="zh-CN"/>
        </w:rPr>
        <w:t>四</w:t>
      </w:r>
      <w:r>
        <w:rPr>
          <w:rFonts w:hint="eastAsia" w:eastAsia="宋体" w:cs="Times New Roman"/>
          <w:b/>
          <w:color w:val="auto"/>
          <w:sz w:val="36"/>
          <w:szCs w:val="36"/>
          <w:u w:val="none"/>
          <w:lang w:val="en-US" w:eastAsia="zh-CN"/>
        </w:rPr>
        <w:t>、详细评审资料</w:t>
      </w:r>
    </w:p>
    <w:p w14:paraId="0FBFD3A3">
      <w:pPr>
        <w:keepNext w:val="0"/>
        <w:keepLines w:val="0"/>
        <w:widowControl/>
        <w:spacing w:line="560" w:lineRule="exact"/>
        <w:jc w:val="center"/>
        <w:outlineLvl w:val="9"/>
        <w:rPr>
          <w:rFonts w:hint="eastAsia" w:eastAsia="仿宋_GB2312" w:cs="Times New Roman"/>
          <w:bCs w:val="0"/>
          <w:color w:val="auto"/>
          <w:sz w:val="28"/>
          <w:szCs w:val="28"/>
          <w:highlight w:val="none"/>
          <w:lang w:val="en-US" w:eastAsia="zh-CN"/>
        </w:rPr>
      </w:pPr>
      <w:r>
        <w:rPr>
          <w:rFonts w:hint="eastAsia" w:eastAsia="仿宋_GB2312" w:cs="Times New Roman"/>
          <w:bCs w:val="0"/>
          <w:color w:val="auto"/>
          <w:sz w:val="28"/>
          <w:szCs w:val="28"/>
          <w:highlight w:val="none"/>
          <w:lang w:val="en-US" w:eastAsia="zh-CN"/>
        </w:rPr>
        <w:t>（按照第三章第四条《评分标准表》要求依次提供，前序若已提供的资料，此处可不重复提供。）</w:t>
      </w:r>
    </w:p>
    <w:p w14:paraId="3919F42F">
      <w:pPr>
        <w:keepNext w:val="0"/>
        <w:keepLines w:val="0"/>
        <w:widowControl/>
        <w:spacing w:line="560" w:lineRule="exact"/>
        <w:jc w:val="both"/>
        <w:outlineLvl w:val="9"/>
        <w:rPr>
          <w:rFonts w:hint="default" w:ascii="Times New Roman" w:hAnsi="Times New Roman" w:eastAsia="宋体" w:cs="Times New Roman"/>
          <w:b/>
          <w:color w:val="auto"/>
          <w:kern w:val="2"/>
          <w:sz w:val="28"/>
          <w:szCs w:val="28"/>
          <w:lang w:val="en-US" w:eastAsia="zh-CN" w:bidi="ar-SA"/>
        </w:rPr>
      </w:pPr>
    </w:p>
    <w:p w14:paraId="20F91577">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（一）服务团队</w:t>
      </w:r>
    </w:p>
    <w:p w14:paraId="7FC3C936">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1.成立时间</w:t>
      </w:r>
    </w:p>
    <w:p w14:paraId="2440EBCA">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2.律师事务所业绩；</w:t>
      </w:r>
    </w:p>
    <w:p w14:paraId="2A8DADB0">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3.律师事务所荣誉。</w:t>
      </w:r>
    </w:p>
    <w:p w14:paraId="4BF97387">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（二）服务团队人员配备</w:t>
      </w:r>
    </w:p>
    <w:p w14:paraId="7F067726">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5.团队成员执业时间证明；</w:t>
      </w:r>
    </w:p>
    <w:p w14:paraId="036544E7">
      <w:pPr>
        <w:keepNext w:val="0"/>
        <w:keepLines w:val="0"/>
        <w:widowControl/>
        <w:spacing w:line="560" w:lineRule="exact"/>
        <w:ind w:firstLine="640"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6.团队负责人及主办律师荣誉。</w:t>
      </w:r>
    </w:p>
    <w:p w14:paraId="33D93F5C">
      <w:pPr>
        <w:keepNext w:val="0"/>
        <w:keepLines w:val="0"/>
        <w:widowControl/>
        <w:spacing w:line="560" w:lineRule="exact"/>
        <w:ind w:firstLine="643" w:firstLineChars="200"/>
        <w:jc w:val="both"/>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lang w:val="en-US" w:eastAsia="zh-CN" w:bidi="ar-SA"/>
        </w:rPr>
        <w:t>（三）团队业绩</w:t>
      </w:r>
    </w:p>
    <w:p w14:paraId="1B886CB1">
      <w:pPr>
        <w:keepNext w:val="0"/>
        <w:keepLines w:val="0"/>
        <w:widowControl/>
        <w:spacing w:line="560" w:lineRule="exact"/>
        <w:ind w:firstLine="640" w:firstLineChars="200"/>
        <w:jc w:val="left"/>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7.团队业绩证明</w:t>
      </w:r>
    </w:p>
    <w:p w14:paraId="60914AE9">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（四）服务方案</w:t>
      </w:r>
    </w:p>
    <w:p w14:paraId="1FDA9FAD">
      <w:pPr>
        <w:widowControl/>
        <w:spacing w:line="560" w:lineRule="exact"/>
        <w:jc w:val="left"/>
        <w:outlineLvl w:val="9"/>
        <w:rPr>
          <w:rFonts w:hint="eastAsia" w:ascii="仿宋_GB2312" w:hAnsi="仿宋_GB2312" w:eastAsia="仿宋_GB2312" w:cs="仿宋_GB2312"/>
          <w:sz w:val="32"/>
          <w:szCs w:val="32"/>
        </w:rPr>
      </w:pPr>
    </w:p>
    <w:p w14:paraId="215A3AE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79B563-9F9F-4B89-8691-36735E6BC3FA}"/>
  </w:font>
  <w:font w:name="黑体">
    <w:panose1 w:val="02010609060101010101"/>
    <w:charset w:val="86"/>
    <w:family w:val="auto"/>
    <w:pitch w:val="default"/>
    <w:sig w:usb0="800002BF" w:usb1="38CF7CFA" w:usb2="00000016" w:usb3="00000000" w:csb0="00040001" w:csb1="00000000"/>
    <w:embedRegular r:id="rId2" w:fontKey="{D83854D8-93FD-4940-B4AF-C552CCC48B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3F03B84A-293E-415A-A1C1-222285293503}"/>
  </w:font>
  <w:font w:name="仿宋_GB2312">
    <w:panose1 w:val="02010609030101010101"/>
    <w:charset w:val="86"/>
    <w:family w:val="modern"/>
    <w:pitch w:val="default"/>
    <w:sig w:usb0="00000001" w:usb1="080E0000" w:usb2="00000000" w:usb3="00000000" w:csb0="00040000" w:csb1="00000000"/>
    <w:embedRegular r:id="rId4" w:fontKey="{5EED7CB2-C338-4080-A47E-71A5C7575E35}"/>
  </w:font>
  <w:font w:name="楷体_GB2312">
    <w:panose1 w:val="02010609030101010101"/>
    <w:charset w:val="86"/>
    <w:family w:val="modern"/>
    <w:pitch w:val="default"/>
    <w:sig w:usb0="00000001" w:usb1="080E0000" w:usb2="00000000" w:usb3="00000000" w:csb0="00040000" w:csb1="00000000"/>
    <w:embedRegular r:id="rId5" w:fontKey="{131844F7-6255-49D8-9BFB-63AC088921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84C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47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C8B8">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055A1">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055A1">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C6D36"/>
    <w:multiLevelType w:val="singleLevel"/>
    <w:tmpl w:val="E2BC6D3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2115A"/>
    <w:rsid w:val="16D2115A"/>
    <w:rsid w:val="178F7A9B"/>
    <w:rsid w:val="197B7B7C"/>
    <w:rsid w:val="2ACE55AC"/>
    <w:rsid w:val="46296775"/>
    <w:rsid w:val="50372415"/>
    <w:rsid w:val="662F5543"/>
    <w:rsid w:val="67A07D7A"/>
    <w:rsid w:val="6EF27F28"/>
    <w:rsid w:val="7E35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_GBK" w:hAnsi="方正小标宋_GBK" w:eastAsia="方正小标宋_GBK" w:cs="方正小标宋_GBK"/>
      <w:sz w:val="36"/>
      <w:szCs w:val="36"/>
      <w:lang w:val="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3"/>
    <w:qFormat/>
    <w:uiPriority w:val="1"/>
    <w:rPr>
      <w:rFonts w:ascii="仿宋_GB2312" w:hAnsi="仿宋_GB2312" w:eastAsia="仿宋_GB2312" w:cs="仿宋_GB2312"/>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5954</Words>
  <Characters>6412</Characters>
  <Lines>1</Lines>
  <Paragraphs>1</Paragraphs>
  <TotalTime>4</TotalTime>
  <ScaleCrop>false</ScaleCrop>
  <LinksUpToDate>false</LinksUpToDate>
  <CharactersWithSpaces>6477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2026-02-24T06:59:00Z</dcterms:created>
  <dc:creator>ZJM</dc:creator>
  <cp:lastModifiedBy>陈敏奇</cp:lastModifiedBy>
  <cp:lastPrinted>2026-02-24T08:30:00Z</cp:lastPrinted>
  <dcterms:modified xsi:type="dcterms:W3CDTF">2026-04-28T08:39:18Z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CF46914C7FE64D6DA061244887F97B0D_11</vt:lpwstr>
  </property>
  <property fmtid="{D5CDD505-2E9C-101B-9397-08002B2CF9AE}" pid="4" name="KSOTemplateDocerSaveRecord">
    <vt:lpwstr>eyJoZGlkIjoiNGJkZDFkN2M3ZDVkMzNjOWIxZDc4MjhlZjQzMjBiY2YiLCJ1c2VySWQiOiIxNjMzNDM2OTI2In0=</vt:lpwstr>
  </property>
</Properties>
</file>