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关于与某国有企业买卖合同纠纷法律服务项目</w:t>
      </w:r>
    </w:p>
    <w:p w14:paraId="5C23808C">
      <w:pPr>
        <w:pStyle w:val="13"/>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13"/>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13"/>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13"/>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13"/>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1"/>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13"/>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12131"/>
      <w:bookmarkStart w:id="1" w:name="_Toc30100"/>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13"/>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五</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3"/>
        <w:spacing w:after="0" w:line="560" w:lineRule="exact"/>
        <w:ind w:left="0" w:right="0" w:firstLine="0"/>
        <w:rPr>
          <w:rFonts w:ascii="仿宋" w:hAnsi="仿宋" w:eastAsia="仿宋" w:cs="Times New Roman"/>
          <w:sz w:val="28"/>
          <w:szCs w:val="28"/>
          <w:highlight w:val="none"/>
        </w:rPr>
      </w:pPr>
      <w:bookmarkStart w:id="2" w:name="_Toc118752"/>
      <w:bookmarkStart w:id="3" w:name="_Toc15280"/>
      <w:bookmarkStart w:id="4" w:name="_Toc2910"/>
      <w:bookmarkStart w:id="5" w:name="_Toc114620"/>
    </w:p>
    <w:p w14:paraId="09514119">
      <w:pPr>
        <w:pStyle w:val="13"/>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13"/>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13"/>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13"/>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13"/>
        <w:spacing w:line="560" w:lineRule="exact"/>
        <w:rPr>
          <w:rFonts w:hint="eastAsia" w:ascii="仿宋" w:hAnsi="仿宋" w:eastAsia="仿宋" w:cs="Times New Roman"/>
          <w:sz w:val="28"/>
          <w:szCs w:val="28"/>
          <w:highlight w:val="none"/>
          <w:lang w:val="en-US" w:eastAsia="zh-CN"/>
        </w:rPr>
      </w:pPr>
      <w:r>
        <w:rPr>
          <w:rStyle w:val="37"/>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7"/>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9</w:t>
      </w:r>
    </w:p>
    <w:p w14:paraId="73BEB3D4">
      <w:pPr>
        <w:pStyle w:val="3"/>
        <w:spacing w:after="0" w:line="240" w:lineRule="auto"/>
        <w:ind w:left="0" w:right="0" w:firstLine="0"/>
        <w:rPr>
          <w:rFonts w:ascii="仿宋" w:hAnsi="仿宋" w:eastAsia="仿宋" w:cs="Times New Roman"/>
          <w:sz w:val="28"/>
          <w:szCs w:val="28"/>
          <w:highlight w:val="none"/>
        </w:rPr>
      </w:pPr>
    </w:p>
    <w:p w14:paraId="58A6D580">
      <w:pPr>
        <w:pStyle w:val="3"/>
        <w:spacing w:after="0" w:line="240" w:lineRule="auto"/>
        <w:ind w:left="0" w:right="0" w:firstLine="0"/>
        <w:rPr>
          <w:rFonts w:ascii="仿宋" w:hAnsi="仿宋" w:eastAsia="仿宋" w:cs="Times New Roman"/>
          <w:sz w:val="28"/>
          <w:szCs w:val="28"/>
          <w:highlight w:val="none"/>
        </w:rPr>
      </w:pPr>
    </w:p>
    <w:p w14:paraId="0FB89153">
      <w:pPr>
        <w:pStyle w:val="3"/>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3"/>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color w:val="auto"/>
          <w:kern w:val="0"/>
          <w:sz w:val="28"/>
          <w:szCs w:val="28"/>
          <w:highlight w:val="none"/>
          <w:u w:val="single"/>
        </w:rPr>
        <w:t>关于与某国有企业买卖合同纠纷法律服务项目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28141189"/>
      <w:bookmarkStart w:id="7" w:name="_Toc28409"/>
      <w:bookmarkStart w:id="8" w:name="_Toc118754"/>
      <w:bookmarkStart w:id="9" w:name="_Toc18180"/>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四川蜀物兴川物流发展有限公司关于与某国有企业买卖合同纠纷法律服务项目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6.50</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2.1.2.1基础代理费不超过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2.30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36B1AB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2.1.2.2风险代理费不超过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4.20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rPr>
        <w:t>某国有企业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475.86</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rPr>
        <w:t>广西壮族自治区柳州市柳南区</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51BE8AD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（1）全面分析案情，对相关事实与法律问题进行深入分析与研究；</w:t>
      </w:r>
    </w:p>
    <w:p w14:paraId="7FF4352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（2）梳理案件的证据资料，制定诉讼方案和策略；</w:t>
      </w:r>
    </w:p>
    <w:p w14:paraId="788D4B8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（3）准备草拟</w:t>
      </w:r>
      <w:r>
        <w:rPr>
          <w:rFonts w:hint="eastAsia" w:ascii="仿宋" w:hAnsi="仿宋" w:eastAsia="仿宋" w:cs="Times New Roman"/>
          <w:color w:val="auto"/>
          <w:kern w:val="0"/>
          <w:sz w:val="28"/>
          <w:szCs w:val="28"/>
          <w:highlight w:val="none"/>
          <w:lang w:val="en-US" w:eastAsia="zh-CN"/>
        </w:rPr>
        <w:t>起诉状、</w:t>
      </w:r>
      <w:r>
        <w:rPr>
          <w:rFonts w:hint="eastAsia" w:ascii="仿宋" w:hAnsi="仿宋" w:eastAsia="仿宋" w:cs="Times New Roman"/>
          <w:color w:val="auto"/>
          <w:kern w:val="0"/>
          <w:sz w:val="28"/>
          <w:szCs w:val="28"/>
          <w:highlight w:val="none"/>
        </w:rPr>
        <w:t>答辩状</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如需</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、代理词、证据清单等法律文书；</w:t>
      </w:r>
    </w:p>
    <w:p w14:paraId="66DBBB9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（4）代理与本案相关的一审、二审、再审（若有）（含反诉）；</w:t>
      </w:r>
    </w:p>
    <w:p w14:paraId="204C5C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（5）向法院递交相应的文书和资料、领取法院的相关法律文书；</w:t>
      </w:r>
    </w:p>
    <w:p w14:paraId="3A62D86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（6）受</w:t>
      </w:r>
      <w:r>
        <w:rPr>
          <w:rFonts w:hint="eastAsia" w:ascii="仿宋" w:hAnsi="仿宋" w:eastAsia="仿宋" w:cs="Times New Roman"/>
          <w:color w:val="auto"/>
          <w:kern w:val="0"/>
          <w:sz w:val="28"/>
          <w:szCs w:val="28"/>
          <w:highlight w:val="none"/>
          <w:lang w:val="en-US" w:eastAsia="zh-CN"/>
        </w:rPr>
        <w:t>比选人</w:t>
      </w:r>
      <w:r>
        <w:rPr>
          <w:rFonts w:hint="eastAsia" w:ascii="仿宋" w:hAnsi="仿宋" w:eastAsia="仿宋" w:cs="Times New Roman"/>
          <w:color w:val="auto"/>
          <w:kern w:val="0"/>
          <w:sz w:val="28"/>
          <w:szCs w:val="28"/>
          <w:highlight w:val="none"/>
        </w:rPr>
        <w:t>委托参加可能发生的诉讼程序</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含参与案件庭审</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、谈判、和解、调解活动，就调解、和解方案提出意见，并出具书面的法律意见书；</w:t>
      </w:r>
    </w:p>
    <w:p w14:paraId="0683A75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（7）提起上诉，拟定上诉状，参加应诉工作；</w:t>
      </w:r>
    </w:p>
    <w:p w14:paraId="3E8B98A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（8）在案件正式开庭前，向委托人提供案件诉讼策略报告以及类案检索报告及时通报委托事项办理进展，征求意见</w:t>
      </w:r>
      <w:bookmarkStart w:id="62" w:name="_GoBack"/>
      <w:bookmarkEnd w:id="62"/>
      <w:r>
        <w:rPr>
          <w:rFonts w:hint="eastAsia" w:ascii="仿宋" w:hAnsi="仿宋" w:eastAsia="仿宋" w:cs="Times New Roman"/>
          <w:color w:val="auto"/>
          <w:kern w:val="0"/>
          <w:sz w:val="28"/>
          <w:szCs w:val="28"/>
          <w:highlight w:val="none"/>
        </w:rPr>
        <w:t>；</w:t>
      </w:r>
    </w:p>
    <w:p w14:paraId="25BEB2C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（9）代理案件执行工作；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（10）其他与案件相关的法律事务</w:t>
      </w:r>
      <w:r>
        <w:rPr>
          <w:rFonts w:ascii="仿宋" w:hAnsi="仿宋" w:eastAsia="仿宋" w:cs="Times New Roman"/>
          <w:color w:val="auto"/>
          <w:kern w:val="0"/>
          <w:sz w:val="28"/>
          <w:szCs w:val="28"/>
          <w:highlight w:val="none"/>
        </w:rPr>
        <w:t xml:space="preserve">。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128141190"/>
      <w:bookmarkStart w:id="11" w:name="_Toc118755"/>
      <w:bookmarkStart w:id="12" w:name="_Toc30467"/>
      <w:bookmarkStart w:id="13" w:name="_Toc8468"/>
      <w:r>
        <w:rPr>
          <w:rFonts w:ascii="仿宋" w:hAnsi="仿宋" w:eastAsia="仿宋" w:cs="Times New Roman"/>
          <w:color w:val="auto"/>
          <w:kern w:val="0"/>
          <w:sz w:val="28"/>
          <w:szCs w:val="28"/>
          <w:highlight w:val="none"/>
        </w:rPr>
        <w:t>2.5项目概述：</w:t>
      </w:r>
    </w:p>
    <w:p w14:paraId="597D66F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2024年10月，</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与</w:t>
      </w:r>
      <w:r>
        <w:rPr>
          <w:rFonts w:hint="eastAsia" w:ascii="仿宋" w:hAnsi="仿宋" w:eastAsia="仿宋" w:cs="Times New Roman"/>
          <w:color w:val="auto"/>
          <w:kern w:val="0"/>
          <w:sz w:val="28"/>
          <w:szCs w:val="28"/>
          <w:highlight w:val="none"/>
          <w:lang w:val="en-US" w:eastAsia="zh-CN"/>
        </w:rPr>
        <w:t>某国有企业</w:t>
      </w:r>
      <w:r>
        <w:rPr>
          <w:rFonts w:hint="eastAsia" w:ascii="仿宋" w:hAnsi="仿宋" w:eastAsia="仿宋" w:cs="Times New Roman"/>
          <w:color w:val="auto"/>
          <w:kern w:val="0"/>
          <w:sz w:val="28"/>
          <w:szCs w:val="28"/>
          <w:highlight w:val="none"/>
        </w:rPr>
        <w:t>签订《物资采购合同》。该项目累计结算2142.546吨，结算金额905.86万元，</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已全额开具对应发票，</w:t>
      </w:r>
      <w:r>
        <w:rPr>
          <w:rFonts w:hint="eastAsia" w:ascii="仿宋" w:hAnsi="仿宋" w:eastAsia="仿宋" w:cs="Times New Roman"/>
          <w:color w:val="auto"/>
          <w:kern w:val="0"/>
          <w:sz w:val="28"/>
          <w:szCs w:val="28"/>
          <w:highlight w:val="none"/>
          <w:lang w:val="en-US" w:eastAsia="zh-CN"/>
        </w:rPr>
        <w:t>某国有企业</w:t>
      </w:r>
      <w:r>
        <w:rPr>
          <w:rFonts w:hint="eastAsia" w:ascii="仿宋" w:hAnsi="仿宋" w:eastAsia="仿宋" w:cs="Times New Roman"/>
          <w:color w:val="auto"/>
          <w:kern w:val="0"/>
          <w:sz w:val="28"/>
          <w:szCs w:val="28"/>
          <w:highlight w:val="none"/>
        </w:rPr>
        <w:t>累计回款430万元。为解决逾期付款问题，双方约定</w:t>
      </w:r>
      <w:r>
        <w:rPr>
          <w:rFonts w:hint="eastAsia" w:ascii="仿宋" w:hAnsi="仿宋" w:eastAsia="仿宋" w:cs="Times New Roman"/>
          <w:color w:val="auto"/>
          <w:kern w:val="0"/>
          <w:sz w:val="28"/>
          <w:szCs w:val="28"/>
          <w:highlight w:val="none"/>
          <w:lang w:val="en-US" w:eastAsia="zh-CN"/>
        </w:rPr>
        <w:t>某国有企业</w:t>
      </w:r>
      <w:r>
        <w:rPr>
          <w:rFonts w:hint="eastAsia" w:ascii="仿宋" w:hAnsi="仿宋" w:eastAsia="仿宋" w:cs="Times New Roman"/>
          <w:color w:val="auto"/>
          <w:kern w:val="0"/>
          <w:sz w:val="28"/>
          <w:szCs w:val="28"/>
          <w:highlight w:val="none"/>
        </w:rPr>
        <w:t>于2026年2月底前分期付清剩余货款475.86万元。</w:t>
      </w:r>
      <w:r>
        <w:rPr>
          <w:rFonts w:hint="eastAsia" w:ascii="仿宋" w:hAnsi="仿宋" w:eastAsia="仿宋" w:cs="Times New Roman"/>
          <w:color w:val="auto"/>
          <w:kern w:val="0"/>
          <w:sz w:val="28"/>
          <w:szCs w:val="28"/>
          <w:highlight w:val="none"/>
          <w:lang w:val="en-US" w:eastAsia="zh-CN"/>
        </w:rPr>
        <w:t>某国有企业</w:t>
      </w:r>
      <w:r>
        <w:rPr>
          <w:rFonts w:hint="eastAsia" w:ascii="仿宋" w:hAnsi="仿宋" w:eastAsia="仿宋" w:cs="Times New Roman"/>
          <w:color w:val="auto"/>
          <w:kern w:val="0"/>
          <w:sz w:val="28"/>
          <w:szCs w:val="28"/>
          <w:highlight w:val="none"/>
        </w:rPr>
        <w:t>受资金紧张影响，仅在2025年11月支付40万元，后续未再付款。经</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多次沟通催告、正式发函催收，</w:t>
      </w:r>
      <w:r>
        <w:rPr>
          <w:rFonts w:hint="eastAsia" w:ascii="仿宋" w:hAnsi="仿宋" w:eastAsia="仿宋" w:cs="Times New Roman"/>
          <w:color w:val="auto"/>
          <w:kern w:val="0"/>
          <w:sz w:val="28"/>
          <w:szCs w:val="28"/>
          <w:highlight w:val="none"/>
          <w:lang w:val="en-US" w:eastAsia="zh-CN"/>
        </w:rPr>
        <w:t>某国有企业</w:t>
      </w:r>
      <w:r>
        <w:rPr>
          <w:rFonts w:hint="eastAsia" w:ascii="仿宋" w:hAnsi="仿宋" w:eastAsia="仿宋" w:cs="Times New Roman"/>
          <w:color w:val="auto"/>
          <w:kern w:val="0"/>
          <w:sz w:val="28"/>
          <w:szCs w:val="28"/>
          <w:highlight w:val="none"/>
        </w:rPr>
        <w:t>仍不履行付款义务。截至目前，该项目应收账款余额475.86万元，其中已逾期金额472.15万元。</w:t>
      </w:r>
    </w:p>
    <w:p w14:paraId="4E0583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hint="eastAsia" w:ascii="仿宋" w:hAnsi="仿宋" w:eastAsia="仿宋" w:cs="Times New Roman"/>
          <w:color w:val="auto"/>
          <w:kern w:val="0"/>
          <w:sz w:val="28"/>
          <w:szCs w:val="28"/>
          <w:highlight w:val="none"/>
        </w:rPr>
        <w:t>该项目管辖地：广西壮族自治区柳州市柳南区</w:t>
      </w:r>
      <w:r>
        <w:rPr>
          <w:rFonts w:hint="eastAsia" w:ascii="仿宋" w:hAnsi="仿宋" w:eastAsia="仿宋" w:cs="Times New Roman"/>
          <w:color w:val="auto"/>
          <w:kern w:val="0"/>
          <w:sz w:val="28"/>
          <w:szCs w:val="28"/>
          <w:highlight w:val="none"/>
          <w:lang w:eastAsia="zh-CN"/>
        </w:rPr>
        <w:t>。</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项目负责人仅需1名</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/协办律师的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28141191"/>
      <w:bookmarkStart w:id="15" w:name="_Toc13658"/>
      <w:bookmarkStart w:id="16" w:name="_Toc15490"/>
      <w:bookmarkStart w:id="17" w:name="_Toc118756"/>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22</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28</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0：00</w:t>
      </w:r>
      <w:r>
        <w:rPr>
          <w:rFonts w:ascii="仿宋" w:hAnsi="仿宋" w:eastAsia="仿宋" w:cs="Times New Roman"/>
          <w:color w:val="auto"/>
          <w:kern w:val="0"/>
          <w:sz w:val="28"/>
          <w:szCs w:val="28"/>
          <w:highlight w:val="none"/>
        </w:rPr>
        <w:t>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10949"/>
      <w:bookmarkStart w:id="19" w:name="_Toc6668"/>
      <w:bookmarkStart w:id="20" w:name="_Toc17101"/>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28</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3060"/>
      <w:bookmarkStart w:id="22" w:name="_Toc11556"/>
      <w:bookmarkStart w:id="23" w:name="_Toc44"/>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1E5079D3">
      <w:pPr>
        <w:pStyle w:val="31"/>
      </w:pPr>
    </w:p>
    <w:p w14:paraId="204EB4A5">
      <w:pPr>
        <w:pStyle w:val="31"/>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5</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22</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3"/>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7"/>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四川蜀物兴川物流发展有限公司关于与某国有企业买卖合同纠纷法律服务项目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default" w:ascii="仿宋" w:hAnsi="仿宋" w:eastAsia="仿宋" w:cs="仿宋_GB2312"/>
                <w:sz w:val="24"/>
                <w:szCs w:val="24"/>
                <w:highlight w:val="none"/>
                <w:lang w:val="en-US" w:eastAsia="zh-CN"/>
              </w:rPr>
              <w:t>广西壮族自治区柳州市柳南区</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被告：某国有企业;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475.86</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三名熟悉买卖合同纠纷案件的专职律师承办本案（项目负责人仅需1名），其中项目负责人的律师执业年限在5（含）以上，主办律师/协办律师的律师执业年限在3年（含）以上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val="en-US" w:eastAsia="zh-CN"/>
              </w:rPr>
              <w:t>6.50万元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：四川蜀物兴川物流发展有限公司关于与某国有企业买卖合同纠纷法律服务项目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13"/>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13"/>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2026年5月28日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10701"/>
      <w:bookmarkStart w:id="27" w:name="_Toc32563"/>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7"/>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754"/>
            <w:bookmarkStart w:id="29" w:name="_Toc17543"/>
            <w:bookmarkStart w:id="30" w:name="_Toc128141260"/>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2"/>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在满足本比选文件资格要求（1名项目负责人、2名主办律师/协办律师）基础上，主办</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项目负责人、主办律师、协办律师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w:t>
            </w:r>
            <w:r>
              <w:rPr>
                <w:rFonts w:hint="eastAsia" w:ascii="仿宋" w:hAnsi="仿宋" w:eastAsia="仿宋" w:cs="仿宋_GB2312"/>
                <w:color w:val="auto"/>
                <w:sz w:val="21"/>
                <w:szCs w:val="21"/>
                <w:highlight w:val="none"/>
                <w:lang w:val="en-US" w:eastAsia="zh-CN"/>
              </w:rPr>
              <w:t>合同</w:t>
            </w:r>
            <w:r>
              <w:rPr>
                <w:rFonts w:ascii="仿宋" w:hAnsi="仿宋" w:eastAsia="仿宋" w:cs="仿宋_GB2312"/>
                <w:color w:val="auto"/>
                <w:sz w:val="21"/>
                <w:szCs w:val="21"/>
                <w:highlight w:val="none"/>
              </w:rPr>
              <w:t>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3"/>
        <w:spacing w:after="0" w:line="240" w:lineRule="auto"/>
        <w:ind w:left="0" w:right="0" w:firstLine="0"/>
        <w:rPr>
          <w:rFonts w:ascii="仿宋" w:hAnsi="仿宋" w:eastAsia="仿宋" w:cs="Times New Roman"/>
          <w:color w:val="auto"/>
          <w:szCs w:val="32"/>
          <w:highlight w:val="none"/>
        </w:rPr>
      </w:pPr>
      <w:bookmarkStart w:id="31" w:name="_Toc15253"/>
      <w:bookmarkStart w:id="32" w:name="_Toc10424"/>
      <w:bookmarkStart w:id="33" w:name="_Toc950"/>
      <w:bookmarkStart w:id="34" w:name="_Toc16485"/>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E78AE0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6BA5A314">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782782D0">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00A18C6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5FD020A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011DC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6B9C0D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rPr>
        <w:t>某国有企业</w:t>
      </w:r>
      <w:r>
        <w:rPr>
          <w:rFonts w:ascii="仿宋" w:hAnsi="仿宋" w:eastAsia="仿宋" w:cs="Times New Roman"/>
          <w:color w:val="auto"/>
          <w:sz w:val="21"/>
          <w:szCs w:val="21"/>
          <w:highlight w:val="none"/>
        </w:rPr>
        <w:t>，现乙方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5AC15033">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1.全面分析案情，对相关事实与法律问题进行深入分析与研究；</w:t>
      </w:r>
    </w:p>
    <w:p w14:paraId="624AD5E2">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2.梳理案件的证据资料，制定诉讼方案和策略；</w:t>
      </w:r>
    </w:p>
    <w:p w14:paraId="0B62201F">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3.准备草拟</w:t>
      </w:r>
      <w:r>
        <w:rPr>
          <w:rFonts w:hint="eastAsia" w:ascii="仿宋" w:hAnsi="仿宋" w:eastAsia="仿宋" w:cs="Times New Roman"/>
          <w:color w:val="auto"/>
          <w:sz w:val="21"/>
          <w:szCs w:val="21"/>
          <w:highlight w:val="none"/>
          <w:lang w:val="en-US" w:eastAsia="zh-CN"/>
        </w:rPr>
        <w:t>起诉状、</w:t>
      </w:r>
      <w:r>
        <w:rPr>
          <w:rFonts w:hint="eastAsia" w:ascii="仿宋" w:hAnsi="仿宋" w:eastAsia="仿宋" w:cs="Times New Roman"/>
          <w:color w:val="auto"/>
          <w:sz w:val="21"/>
          <w:szCs w:val="21"/>
          <w:highlight w:val="none"/>
        </w:rPr>
        <w:t>答辩状</w:t>
      </w: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如需</w:t>
      </w: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rPr>
        <w:t>、代理词、证据清单等法律文书；</w:t>
      </w:r>
    </w:p>
    <w:p w14:paraId="44F97109">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4.代理与本案相关的一审、二审、再审（若有）（含反诉）；</w:t>
      </w:r>
    </w:p>
    <w:p w14:paraId="6AEC5E2E">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5.向法院递交相应的文书和资料、领取法院的相关法律文书；</w:t>
      </w:r>
    </w:p>
    <w:p w14:paraId="2CEF24C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6.受</w:t>
      </w:r>
      <w:r>
        <w:rPr>
          <w:rFonts w:hint="eastAsia" w:ascii="仿宋" w:hAnsi="仿宋" w:eastAsia="仿宋" w:cs="Times New Roman"/>
          <w:color w:val="auto"/>
          <w:sz w:val="21"/>
          <w:szCs w:val="21"/>
          <w:highlight w:val="none"/>
          <w:lang w:val="en-US" w:eastAsia="zh-CN"/>
        </w:rPr>
        <w:t>甲方</w:t>
      </w:r>
      <w:r>
        <w:rPr>
          <w:rFonts w:hint="eastAsia" w:ascii="仿宋" w:hAnsi="仿宋" w:eastAsia="仿宋" w:cs="Times New Roman"/>
          <w:color w:val="auto"/>
          <w:sz w:val="21"/>
          <w:szCs w:val="21"/>
          <w:highlight w:val="none"/>
        </w:rPr>
        <w:t>委托参加可能发生的诉讼程序</w:t>
      </w:r>
      <w:r>
        <w:rPr>
          <w:rFonts w:hint="eastAsia" w:ascii="仿宋" w:hAnsi="仿宋" w:eastAsia="仿宋" w:cs="Times New Roman"/>
          <w:color w:val="auto"/>
          <w:kern w:val="2"/>
          <w:sz w:val="21"/>
          <w:szCs w:val="21"/>
          <w:highlight w:val="none"/>
          <w:lang w:eastAsia="zh-CN"/>
        </w:rPr>
        <w:t>（</w:t>
      </w:r>
      <w:r>
        <w:rPr>
          <w:rFonts w:hint="eastAsia" w:ascii="仿宋" w:hAnsi="仿宋" w:eastAsia="仿宋" w:cs="Times New Roman"/>
          <w:color w:val="auto"/>
          <w:kern w:val="2"/>
          <w:sz w:val="21"/>
          <w:szCs w:val="21"/>
          <w:highlight w:val="none"/>
          <w:lang w:val="en-US" w:eastAsia="zh-CN"/>
        </w:rPr>
        <w:t>含参与案件庭审</w:t>
      </w:r>
      <w:r>
        <w:rPr>
          <w:rFonts w:hint="eastAsia" w:ascii="仿宋" w:hAnsi="仿宋" w:eastAsia="仿宋" w:cs="Times New Roman"/>
          <w:color w:val="auto"/>
          <w:kern w:val="2"/>
          <w:sz w:val="21"/>
          <w:szCs w:val="21"/>
          <w:highlight w:val="none"/>
          <w:lang w:eastAsia="zh-CN"/>
        </w:rPr>
        <w:t>）</w:t>
      </w:r>
      <w:r>
        <w:rPr>
          <w:rFonts w:hint="eastAsia" w:ascii="仿宋" w:hAnsi="仿宋" w:eastAsia="仿宋" w:cs="Times New Roman"/>
          <w:color w:val="auto"/>
          <w:sz w:val="21"/>
          <w:szCs w:val="21"/>
          <w:highlight w:val="none"/>
        </w:rPr>
        <w:t>、谈判、和解、调解活动，就调解、和解方案提出意见，并出具书面的法律意见书；</w:t>
      </w:r>
    </w:p>
    <w:p w14:paraId="273BE4C3">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7.提起上诉，拟定上诉状，参加应诉工作；</w:t>
      </w:r>
    </w:p>
    <w:p w14:paraId="2B5DF6F9">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8.</w:t>
      </w:r>
      <w:r>
        <w:rPr>
          <w:rFonts w:hint="eastAsia" w:ascii="仿宋" w:hAnsi="仿宋" w:eastAsia="仿宋" w:cs="Times New Roman"/>
          <w:color w:val="auto"/>
          <w:sz w:val="21"/>
          <w:szCs w:val="21"/>
          <w:highlight w:val="none"/>
          <w:lang w:val="en-US" w:eastAsia="zh-CN"/>
        </w:rPr>
        <w:t>在案件正式开庭前</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向委托人提供案件诉讼策略报告以及类案检索报告</w:t>
      </w:r>
      <w:r>
        <w:rPr>
          <w:rFonts w:hint="eastAsia" w:ascii="仿宋" w:hAnsi="仿宋" w:eastAsia="仿宋" w:cs="Times New Roman"/>
          <w:color w:val="auto"/>
          <w:sz w:val="21"/>
          <w:szCs w:val="21"/>
          <w:highlight w:val="none"/>
        </w:rPr>
        <w:t>及时通报委托事项办理进展，征求意见；</w:t>
      </w:r>
    </w:p>
    <w:p w14:paraId="6DE5C1D6">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9.代理案件执行工作；</w:t>
      </w:r>
    </w:p>
    <w:p w14:paraId="4C0BA9C5">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10.其他与案件相关的法律事务。</w:t>
      </w:r>
    </w:p>
    <w:p w14:paraId="492DEB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1B19C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27739C1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10D74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77E5393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5E30761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06E3FC7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10F9065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116C53C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35C9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69AA8F2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6BF64FA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1AC7F8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75708A6C">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基础代理费：报价包括所有诉讼程序中的代理费、差旅费、利润、风险、税金等完成本项目所有费用，为【】万元。甲方在收到法院立案通知书（先行调解书）且收到乙方全额增值税专用发票后15日内支付全部基础代理费用。</w:t>
      </w:r>
    </w:p>
    <w:p w14:paraId="6D39FC6D">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风险代理费：风险律师代理费：以甲方实际收到本项目所有款项部分收取的【】%计算风险代理费；后期风险代理费支付时间：甲方实际收到被告支付的全部款项后，甲方收到乙方开具正式的发票后【15】个工作日内支付风险代理费。</w:t>
      </w:r>
    </w:p>
    <w:p w14:paraId="146C149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3.本项目所涉服务费用总额限价【】万元，无论按照前述第1、2项计算的代理费金额是多少，乙方承诺放弃超过【】万元的部分</w:t>
      </w:r>
      <w:r>
        <w:rPr>
          <w:rFonts w:ascii="仿宋" w:hAnsi="仿宋" w:eastAsia="仿宋" w:cs="Times New Roman"/>
          <w:color w:val="auto"/>
          <w:sz w:val="21"/>
          <w:szCs w:val="21"/>
          <w:highlight w:val="none"/>
        </w:rPr>
        <w:t>。</w:t>
      </w:r>
    </w:p>
    <w:p w14:paraId="5A92D729">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43C2A5B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0C139F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FC69C4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5FB7BF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600A3E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452C412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3DF6F8C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2241440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26CEC1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3C7A53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1603123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2FA5D14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6B51C93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28753C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33180C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4B1BAD5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B8E049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2B81800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69CBC73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5F9906B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A2BC7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56EBB4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145125C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CC516E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792C1B7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89F823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1C17E7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130D6D0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70284F0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4D6216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77376FC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7AAB2D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006F23C0">
      <w:pPr>
        <w:ind w:left="4200" w:hanging="4200" w:hangingChars="2000"/>
        <w:rPr>
          <w:rFonts w:ascii="仿宋" w:hAnsi="仿宋" w:eastAsia="仿宋" w:cs="Times New Roman"/>
          <w:bCs/>
          <w:sz w:val="21"/>
          <w:szCs w:val="21"/>
          <w:highlight w:val="none"/>
        </w:rPr>
      </w:pPr>
    </w:p>
    <w:p w14:paraId="4EF251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3E94E43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5153F5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032AE4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2D9B133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627EBF6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35BFEDF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76C831E3">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签约日期：    年  月  日   </w:t>
      </w:r>
    </w:p>
    <w:p w14:paraId="7FD6129F">
      <w:pPr>
        <w:autoSpaceDE w:val="0"/>
        <w:autoSpaceDN w:val="0"/>
        <w:adjustRightInd w:val="0"/>
        <w:spacing w:after="0" w:line="360" w:lineRule="auto"/>
        <w:jc w:val="center"/>
        <w:rPr>
          <w:rFonts w:ascii="方正小标宋简体" w:hAnsi="方正小标宋简体" w:eastAsia="方正小标宋简体" w:cs="方正小标宋简体"/>
          <w:b w:val="0"/>
          <w:bCs/>
          <w:kern w:val="0"/>
          <w:sz w:val="28"/>
          <w:szCs w:val="28"/>
        </w:rPr>
      </w:pPr>
      <w:r>
        <w:rPr>
          <w:rFonts w:hint="eastAsia" w:ascii="仿宋_GB2312" w:hAnsi="仿宋_GB2312" w:eastAsia="仿宋_GB2312" w:cs="仿宋_GB2312"/>
          <w:bCs/>
          <w:kern w:val="0"/>
          <w:sz w:val="28"/>
          <w:szCs w:val="28"/>
          <w:u w:val="single"/>
        </w:rPr>
        <w:t xml:space="preserve">            </w:t>
      </w:r>
      <w:r>
        <w:rPr>
          <w:rFonts w:hint="eastAsia" w:ascii="方正小标宋简体" w:hAnsi="方正小标宋简体" w:eastAsia="方正小标宋简体" w:cs="方正小标宋简体"/>
          <w:b w:val="0"/>
          <w:bCs/>
          <w:kern w:val="0"/>
          <w:sz w:val="28"/>
          <w:szCs w:val="28"/>
        </w:rPr>
        <w:t>廉洁协议</w:t>
      </w:r>
    </w:p>
    <w:p w14:paraId="622BCCD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 w:hAnsi="仿宋" w:eastAsia="仿宋" w:cs="仿宋_GB2312"/>
          <w:bCs/>
          <w:kern w:val="0"/>
          <w:sz w:val="21"/>
          <w:szCs w:val="21"/>
        </w:rPr>
      </w:pPr>
    </w:p>
    <w:p w14:paraId="28EE3C58">
      <w:pPr>
        <w:keepNext w:val="0"/>
        <w:keepLines w:val="0"/>
        <w:pageBreakBefore w:val="0"/>
        <w:widowControl w:val="0"/>
        <w:kinsoku/>
        <w:wordWrap/>
        <w:overflowPunct/>
        <w:topLinePunct w:val="0"/>
        <w:autoSpaceDE w:val="0"/>
        <w:autoSpaceDN w:val="0"/>
        <w:bidi w:val="0"/>
        <w:adjustRightInd w:val="0"/>
        <w:snapToGrid/>
        <w:spacing w:after="0" w:line="520" w:lineRule="exact"/>
        <w:ind w:left="0" w:leftChars="0" w:firstLine="420" w:firstLineChars="200"/>
        <w:jc w:val="both"/>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为规范甲乙双方经营行为，做好业务活动中的党风廉政建设工作，保证</w:t>
      </w:r>
      <w:r>
        <w:rPr>
          <w:rFonts w:hint="eastAsia" w:ascii="仿宋_GB2312" w:hAnsi="仿宋_GB2312" w:eastAsia="仿宋_GB2312" w:cs="仿宋_GB2312"/>
          <w:bCs/>
          <w:kern w:val="0"/>
          <w:sz w:val="21"/>
          <w:szCs w:val="21"/>
          <w:lang w:val="en-US" w:eastAsia="zh-CN"/>
        </w:rPr>
        <w:t>合作过程</w:t>
      </w:r>
      <w:r>
        <w:rPr>
          <w:rFonts w:hint="eastAsia" w:ascii="仿宋_GB2312" w:hAnsi="仿宋_GB2312" w:eastAsia="仿宋_GB2312" w:cs="仿宋_GB2312"/>
          <w:bCs/>
          <w:kern w:val="0"/>
          <w:sz w:val="21"/>
          <w:szCs w:val="21"/>
        </w:rPr>
        <w:t>资金的安全和有效使用，保持廉洁自律的工作作风，根据《国有企业领导人员廉洁从业规定》等党风廉政建设有关规定，经</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rPr>
        <w:t>（以下简称“甲方”）与</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（以下简称“乙方”）协商同意，特订立本协议：</w:t>
      </w:r>
    </w:p>
    <w:p w14:paraId="60BD1198">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第一条　甲乙双方的权利和义务</w:t>
      </w:r>
    </w:p>
    <w:p w14:paraId="367C530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严格遵守党的纪律和国家有关法律法规，以及党风廉政建设各项规章制度；严格遵守商业道德和市场规则，共同营造公平公正的商务交易环境；严格执行《</w:t>
      </w:r>
      <w:r>
        <w:rPr>
          <w:rFonts w:hint="eastAsia" w:ascii="仿宋_GB2312" w:hAnsi="仿宋_GB2312" w:eastAsia="仿宋_GB2312" w:cs="仿宋_GB2312"/>
          <w:bCs/>
          <w:kern w:val="0"/>
          <w:sz w:val="21"/>
          <w:szCs w:val="21"/>
          <w:lang w:val="en-US" w:eastAsia="zh-CN"/>
        </w:rPr>
        <w:t>XXXXXX</w:t>
      </w:r>
      <w:r>
        <w:rPr>
          <w:rFonts w:hint="eastAsia" w:ascii="仿宋_GB2312" w:hAnsi="仿宋_GB2312" w:eastAsia="仿宋_GB2312" w:cs="仿宋_GB2312"/>
          <w:bCs/>
          <w:kern w:val="0"/>
          <w:sz w:val="21"/>
          <w:szCs w:val="21"/>
        </w:rPr>
        <w:t>》（合同编号：XX；以下简称“合同”），按约履行各项义务。</w:t>
      </w:r>
    </w:p>
    <w:p w14:paraId="2A4DB0B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双方的业务和活动坚持公开、公正、诚信、透明的原则（除法律认定/约定的的商业秘密和合同另有</w:t>
      </w:r>
      <w:r>
        <w:rPr>
          <w:rFonts w:hint="eastAsia" w:ascii="仿宋_GB2312" w:hAnsi="仿宋_GB2312" w:eastAsia="仿宋_GB2312" w:cs="仿宋_GB2312"/>
          <w:bCs/>
          <w:kern w:val="0"/>
          <w:sz w:val="21"/>
          <w:szCs w:val="21"/>
          <w:lang w:val="en-US" w:eastAsia="zh-CN"/>
        </w:rPr>
        <w:t>约</w:t>
      </w:r>
      <w:r>
        <w:rPr>
          <w:rFonts w:hint="eastAsia" w:ascii="仿宋_GB2312" w:hAnsi="仿宋_GB2312" w:eastAsia="仿宋_GB2312" w:cs="仿宋_GB2312"/>
          <w:bCs/>
          <w:kern w:val="0"/>
          <w:sz w:val="21"/>
          <w:szCs w:val="21"/>
        </w:rPr>
        <w:t>定之外），不得损害国家和集体利益。</w:t>
      </w:r>
    </w:p>
    <w:p w14:paraId="75CB4E5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发现对方在业务活动中有违反廉洁规定</w:t>
      </w:r>
      <w:r>
        <w:rPr>
          <w:rFonts w:hint="eastAsia" w:ascii="仿宋_GB2312" w:hAnsi="仿宋_GB2312" w:eastAsia="仿宋_GB2312" w:cs="仿宋_GB2312"/>
          <w:bCs/>
          <w:kern w:val="0"/>
          <w:sz w:val="21"/>
          <w:szCs w:val="21"/>
          <w:lang w:eastAsia="zh-Hans"/>
        </w:rPr>
        <w:t>及本合同条款</w:t>
      </w:r>
      <w:r>
        <w:rPr>
          <w:rFonts w:hint="eastAsia" w:ascii="仿宋_GB2312" w:hAnsi="仿宋_GB2312" w:eastAsia="仿宋_GB2312" w:cs="仿宋_GB2312"/>
          <w:bCs/>
          <w:kern w:val="0"/>
          <w:sz w:val="21"/>
          <w:szCs w:val="21"/>
        </w:rPr>
        <w:t>的行为，有及时提醒对方纠正的权利和义务；发现对方严重违反本合同条款的行为，有向上级有关单位、部门举报、建议给予处理并要求告知处理结果的权利。</w:t>
      </w:r>
    </w:p>
    <w:p w14:paraId="5F29966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第二条　甲方的义务</w:t>
      </w:r>
    </w:p>
    <w:p w14:paraId="68CE50A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甲方工作人员要秉公办事，不准营私舞弊，不准利用职权从事各种个人有偿中介活动。</w:t>
      </w:r>
    </w:p>
    <w:p w14:paraId="3AF4D0C6">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甲方及其工作人员不得索要或接受乙方的礼金、回扣、有价证券和贵重物品，不得在乙方及其他非甲方单位报销任何应由甲方单位或个人支付的费用等；甲方及其工作人员不得违反规定在乙方或其他单位投资入股，不得向乙方单位或人员借款、委托买卖股票、债券或其他委托理财等。</w:t>
      </w:r>
    </w:p>
    <w:p w14:paraId="19EB8C9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甲方工作人员不得参加乙方安排的超标准宴请、旅游和娱乐活动，不得接受乙方提供的通讯工具、交通工具和高档办公用品等。</w:t>
      </w:r>
    </w:p>
    <w:p w14:paraId="4637813B">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甲方及其工作人员不得要求、暗示或接受乙方为其住房装修、婚丧嫁娶活动、配偶及子女的工作安排以及出国、出境旅游等提供方便等。</w:t>
      </w:r>
    </w:p>
    <w:p w14:paraId="0BE8C5B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w:t>
      </w:r>
      <w:r>
        <w:rPr>
          <w:rFonts w:hint="eastAsia" w:ascii="仿宋_GB2312" w:hAnsi="仿宋_GB2312" w:eastAsia="仿宋_GB2312" w:cs="仿宋_GB2312"/>
          <w:bCs/>
          <w:kern w:val="0"/>
          <w:sz w:val="21"/>
          <w:szCs w:val="21"/>
        </w:rPr>
        <w:t>甲方工作人员不得为谋取私利与乙方人员在业务交往中进行私下商谈或者达成默契；甲方工作人员不得利用职权通过乙方及其他单位为其配偶、子女及有利害关系的他人谋取不正当利益。</w:t>
      </w:r>
    </w:p>
    <w:p w14:paraId="6635EE1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甲方工作人员及其配偶、子女不得从事与乙方有关的经济活动。</w:t>
      </w:r>
    </w:p>
    <w:p w14:paraId="4FD5C61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第三条　乙方的义务</w:t>
      </w:r>
    </w:p>
    <w:p w14:paraId="4ED45D35">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向甲方及其工作人员行贿或馈赠礼金、有价证券、贵重礼品等，不得以任何名义为甲方及其工作人员报销应由甲方单位或个人支付的任何费用；不得为甲方人员投资入股、个人借款、买卖股票、债券或其他委托理财等提供方便。</w:t>
      </w:r>
    </w:p>
    <w:p w14:paraId="7D08296C">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不得以任何理由安排甲方及其工作人员参加超标准宴请、旅游和娱乐活动，不得为甲方单位和个人购置或提供通讯工具、交通工具、高档办公用品等。</w:t>
      </w:r>
    </w:p>
    <w:p w14:paraId="27DFD42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不得为甲方及其工作人员住房装修、婚丧嫁娶活动、配偶及子女的工作安排以及出国、出境旅游等提供方便等。</w:t>
      </w:r>
    </w:p>
    <w:p w14:paraId="0DD241A2">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不得为谋取私利擅自与甲方人员在业务交往中进行私下商谈或者达成默契；不得违反规定安排甲方人员及其配偶、子</w:t>
      </w:r>
      <w:r>
        <w:rPr>
          <w:rFonts w:hint="eastAsia" w:ascii="仿宋_GB2312" w:hAnsi="仿宋_GB2312" w:eastAsia="仿宋_GB2312" w:cs="仿宋_GB2312"/>
          <w:kern w:val="0"/>
          <w:sz w:val="21"/>
          <w:szCs w:val="21"/>
        </w:rPr>
        <w:t>女在乙方或乙方相关单位兼职和领取薪酬。</w:t>
      </w:r>
    </w:p>
    <w:p w14:paraId="487DDBC4">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乙方</w:t>
      </w:r>
      <w:r>
        <w:rPr>
          <w:rFonts w:hint="eastAsia" w:ascii="仿宋_GB2312" w:hAnsi="仿宋_GB2312" w:eastAsia="仿宋_GB2312" w:cs="仿宋_GB2312"/>
          <w:kern w:val="0"/>
          <w:sz w:val="21"/>
          <w:szCs w:val="21"/>
          <w:lang w:eastAsia="zh-Hans"/>
        </w:rPr>
        <w:t>及其工作人员</w:t>
      </w:r>
      <w:r>
        <w:rPr>
          <w:rFonts w:hint="eastAsia" w:ascii="仿宋_GB2312" w:hAnsi="仿宋_GB2312" w:eastAsia="仿宋_GB2312" w:cs="仿宋_GB2312"/>
          <w:kern w:val="0"/>
          <w:sz w:val="21"/>
          <w:szCs w:val="21"/>
        </w:rPr>
        <w:t>不得</w:t>
      </w:r>
      <w:r>
        <w:rPr>
          <w:rFonts w:hint="eastAsia" w:ascii="仿宋_GB2312" w:hAnsi="仿宋_GB2312" w:eastAsia="仿宋_GB2312" w:cs="仿宋_GB2312"/>
          <w:bCs/>
          <w:kern w:val="0"/>
          <w:sz w:val="21"/>
          <w:szCs w:val="21"/>
        </w:rPr>
        <w:t>打探涉及甲方的商业秘密、业务渠道等；甲方对涉嫌不廉洁的商业行为进行调查时，乙方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有配合甲方提供证据、作证的义务。</w:t>
      </w:r>
    </w:p>
    <w:p w14:paraId="091BB2BF">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未经甲方书面同意，乙方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不得向任何新闻媒体、第三者述及有关甲方公司人员廉洁从业方面的评价、信息。</w:t>
      </w:r>
    </w:p>
    <w:p w14:paraId="5F024FE6">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第四条　违约责任</w:t>
      </w:r>
    </w:p>
    <w:p w14:paraId="0B6FFDC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甲方及其工作人员违反本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第一、二条，按管理权限，依据有关规定给予党纪、政纪或组织处理；涉嫌犯罪的，移交司法机关追究刑事责任</w:t>
      </w:r>
      <w:r>
        <w:rPr>
          <w:rFonts w:hint="eastAsia" w:ascii="仿宋_GB2312" w:hAnsi="仿宋_GB2312" w:eastAsia="仿宋_GB2312" w:cs="仿宋_GB2312"/>
          <w:bCs/>
          <w:kern w:val="0"/>
          <w:sz w:val="21"/>
          <w:szCs w:val="21"/>
          <w:highlight w:val="none"/>
        </w:rPr>
        <w:t>。乙方及其工作人员违反本</w:t>
      </w:r>
      <w:r>
        <w:rPr>
          <w:rFonts w:hint="eastAsia" w:ascii="仿宋_GB2312" w:hAnsi="仿宋_GB2312" w:eastAsia="仿宋_GB2312" w:cs="仿宋_GB2312"/>
          <w:bCs/>
          <w:kern w:val="0"/>
          <w:sz w:val="21"/>
          <w:szCs w:val="21"/>
          <w:highlight w:val="none"/>
          <w:lang w:val="en-US" w:eastAsia="zh-CN"/>
        </w:rPr>
        <w:t>协议</w:t>
      </w:r>
      <w:r>
        <w:rPr>
          <w:rFonts w:hint="eastAsia" w:ascii="仿宋_GB2312" w:hAnsi="仿宋_GB2312" w:eastAsia="仿宋_GB2312" w:cs="仿宋_GB2312"/>
          <w:bCs/>
          <w:kern w:val="0"/>
          <w:sz w:val="21"/>
          <w:szCs w:val="21"/>
          <w:highlight w:val="none"/>
        </w:rPr>
        <w:t>第一、三条，按管理权限，依据有关规定给予党纪、政纪或组织处理；</w:t>
      </w:r>
      <w:r>
        <w:rPr>
          <w:rFonts w:hint="eastAsia" w:ascii="仿宋_GB2312" w:hAnsi="仿宋_GB2312" w:eastAsia="仿宋_GB2312" w:cs="仿宋_GB2312"/>
          <w:bCs/>
          <w:kern w:val="0"/>
          <w:sz w:val="21"/>
          <w:szCs w:val="21"/>
        </w:rPr>
        <w:t>涉嫌犯罪的，移交司法机关追究刑事责任；给甲方单位造成经济损失的，</w:t>
      </w:r>
      <w:r>
        <w:rPr>
          <w:rFonts w:hint="eastAsia" w:ascii="仿宋_GB2312" w:hAnsi="仿宋_GB2312" w:eastAsia="仿宋_GB2312" w:cs="仿宋_GB2312"/>
          <w:bCs/>
          <w:kern w:val="0"/>
          <w:sz w:val="21"/>
          <w:szCs w:val="21"/>
          <w:lang w:val="en-US" w:eastAsia="zh-CN"/>
        </w:rPr>
        <w:t>乙方</w:t>
      </w:r>
      <w:r>
        <w:rPr>
          <w:rFonts w:hint="eastAsia" w:ascii="仿宋_GB2312" w:hAnsi="仿宋_GB2312" w:eastAsia="仿宋_GB2312" w:cs="仿宋_GB2312"/>
          <w:bCs/>
          <w:kern w:val="0"/>
          <w:sz w:val="21"/>
          <w:szCs w:val="21"/>
        </w:rPr>
        <w:t>应给予赔偿。</w:t>
      </w:r>
    </w:p>
    <w:p w14:paraId="1CADA8FF">
      <w:pPr>
        <w:pStyle w:val="2"/>
        <w:keepNext w:val="0"/>
        <w:keepLines w:val="0"/>
        <w:pageBreakBefore w:val="0"/>
        <w:kinsoku/>
        <w:wordWrap/>
        <w:overflowPunct/>
        <w:topLinePunct w:val="0"/>
        <w:bidi w:val="0"/>
        <w:snapToGrid/>
        <w:spacing w:after="0" w:line="520" w:lineRule="exact"/>
        <w:ind w:left="0" w:leftChars="0"/>
        <w:jc w:val="both"/>
        <w:textAlignment w:val="auto"/>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rPr>
        <w:t xml:space="preserve">    第五条　双方约定，</w:t>
      </w:r>
      <w:r>
        <w:rPr>
          <w:rFonts w:hint="eastAsia" w:ascii="仿宋_GB2312" w:hAnsi="仿宋_GB2312" w:eastAsia="仿宋_GB2312" w:cs="仿宋_GB2312"/>
          <w:bCs/>
          <w:sz w:val="21"/>
          <w:szCs w:val="21"/>
          <w:highlight w:val="none"/>
        </w:rPr>
        <w:t>本</w:t>
      </w:r>
      <w:r>
        <w:rPr>
          <w:rFonts w:hint="eastAsia" w:ascii="仿宋_GB2312" w:hAnsi="仿宋_GB2312" w:eastAsia="仿宋_GB2312" w:cs="仿宋_GB2312"/>
          <w:bCs/>
          <w:sz w:val="21"/>
          <w:szCs w:val="21"/>
          <w:highlight w:val="none"/>
          <w:lang w:val="en-US" w:eastAsia="zh-CN"/>
        </w:rPr>
        <w:t>协议</w:t>
      </w:r>
      <w:r>
        <w:rPr>
          <w:rFonts w:hint="eastAsia" w:ascii="仿宋_GB2312" w:hAnsi="仿宋_GB2312" w:eastAsia="仿宋_GB2312" w:cs="仿宋_GB2312"/>
          <w:bCs/>
          <w:sz w:val="21"/>
          <w:szCs w:val="21"/>
          <w:highlight w:val="none"/>
        </w:rPr>
        <w:t>执行情况由双方及双方上级单位（如有）的纪检监察机关负责监督执行。</w:t>
      </w:r>
    </w:p>
    <w:p w14:paraId="0C083C0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第六条</w:t>
      </w:r>
      <w:r>
        <w:rPr>
          <w:rFonts w:hint="eastAsia" w:ascii="仿宋_GB2312" w:hAnsi="仿宋_GB2312" w:eastAsia="仿宋_GB2312" w:cs="仿宋_GB2312"/>
          <w:b/>
          <w:kern w:val="0"/>
          <w:sz w:val="21"/>
          <w:szCs w:val="21"/>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同时签署，有效期为甲乙双方签署之日起至</w:t>
      </w:r>
      <w:r>
        <w:rPr>
          <w:rFonts w:hint="eastAsia" w:ascii="仿宋_GB2312" w:hAnsi="仿宋_GB2312" w:eastAsia="仿宋_GB2312" w:cs="仿宋_GB2312"/>
          <w:bCs/>
          <w:kern w:val="0"/>
          <w:sz w:val="21"/>
          <w:szCs w:val="21"/>
          <w:lang w:val="en-US" w:eastAsia="zh-CN"/>
        </w:rPr>
        <w:t>该</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执行完毕为止。</w:t>
      </w:r>
    </w:p>
    <w:p w14:paraId="1B6234C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第七条  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作为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的附件，与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委托代理合同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具有同等的法律效力。</w:t>
      </w:r>
    </w:p>
    <w:p w14:paraId="13799A9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w:t>
      </w:r>
      <w:r>
        <w:rPr>
          <w:rFonts w:hint="eastAsia" w:ascii="仿宋_GB2312" w:hAnsi="仿宋_GB2312" w:eastAsia="仿宋_GB2312" w:cs="仿宋_GB2312"/>
          <w:bCs/>
          <w:kern w:val="0"/>
          <w:sz w:val="21"/>
          <w:szCs w:val="21"/>
          <w:lang w:val="en-US" w:eastAsia="zh-CN"/>
        </w:rPr>
        <w:t>八</w:t>
      </w:r>
      <w:r>
        <w:rPr>
          <w:rFonts w:hint="eastAsia" w:ascii="仿宋_GB2312" w:hAnsi="仿宋_GB2312" w:eastAsia="仿宋_GB2312" w:cs="仿宋_GB2312"/>
          <w:bCs/>
          <w:kern w:val="0"/>
          <w:sz w:val="21"/>
          <w:szCs w:val="21"/>
        </w:rPr>
        <w:t>条</w:t>
      </w:r>
      <w:r>
        <w:rPr>
          <w:rFonts w:hint="eastAsia" w:ascii="仿宋_GB2312" w:hAnsi="仿宋_GB2312" w:eastAsia="仿宋_GB2312" w:cs="仿宋_GB2312"/>
          <w:b/>
          <w:kern w:val="0"/>
          <w:sz w:val="21"/>
          <w:szCs w:val="21"/>
          <w:lang w:eastAsia="zh-CN"/>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一式四份，由甲方执贰份，乙方执贰份。</w:t>
      </w:r>
    </w:p>
    <w:p w14:paraId="2758B90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2CBF8319">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1F12173A">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7CB2ED21">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甲</w:t>
      </w:r>
      <w:r>
        <w:rPr>
          <w:rFonts w:hint="eastAsia" w:ascii="仿宋_GB2312" w:hAnsi="仿宋_GB2312" w:eastAsia="仿宋_GB2312" w:cs="仿宋_GB2312"/>
          <w:bCs/>
          <w:kern w:val="0"/>
          <w:sz w:val="21"/>
          <w:szCs w:val="21"/>
        </w:rPr>
        <w:t xml:space="preserve">方：(盖章)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乙方</w:t>
      </w:r>
      <w:r>
        <w:rPr>
          <w:rFonts w:hint="eastAsia" w:ascii="仿宋_GB2312" w:hAnsi="仿宋_GB2312" w:eastAsia="仿宋_GB2312" w:cs="仿宋_GB2312"/>
          <w:bCs/>
          <w:kern w:val="0"/>
          <w:sz w:val="21"/>
          <w:szCs w:val="21"/>
        </w:rPr>
        <w:t>：(盖章)</w:t>
      </w:r>
    </w:p>
    <w:p w14:paraId="736872FF">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p>
    <w:p w14:paraId="3CB2126A">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或其授权的代理人：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或其授权的代理人：</w:t>
      </w:r>
    </w:p>
    <w:p w14:paraId="255E3C09">
      <w:pPr>
        <w:keepNext w:val="0"/>
        <w:keepLines w:val="0"/>
        <w:pageBreakBefore w:val="0"/>
        <w:kinsoku/>
        <w:wordWrap/>
        <w:overflowPunct/>
        <w:topLinePunct w:val="0"/>
        <w:bidi w:val="0"/>
        <w:snapToGrid/>
        <w:spacing w:after="0" w:line="520" w:lineRule="exact"/>
        <w:ind w:left="0" w:leftChars="0" w:firstLine="1260" w:firstLineChars="6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年   月   日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年   月   日</w:t>
      </w:r>
    </w:p>
    <w:p w14:paraId="488D6B3F">
      <w:pPr>
        <w:pStyle w:val="31"/>
        <w:keepNext w:val="0"/>
        <w:keepLines w:val="0"/>
        <w:pageBreakBefore w:val="0"/>
        <w:kinsoku/>
        <w:wordWrap/>
        <w:overflowPunct/>
        <w:topLinePunct w:val="0"/>
        <w:bidi w:val="0"/>
        <w:snapToGrid/>
        <w:spacing w:after="0" w:line="520" w:lineRule="exact"/>
        <w:ind w:left="0" w:leftChars="0"/>
        <w:textAlignment w:val="auto"/>
        <w:rPr>
          <w:sz w:val="21"/>
          <w:szCs w:val="21"/>
        </w:rPr>
        <w:sectPr>
          <w:pgSz w:w="12240" w:h="15840"/>
          <w:pgMar w:top="2098" w:right="1474" w:bottom="1984" w:left="1587" w:header="720" w:footer="720" w:gutter="0"/>
          <w:cols w:space="720" w:num="1"/>
        </w:sectPr>
      </w:pPr>
    </w:p>
    <w:p w14:paraId="16FD7B65">
      <w:pPr>
        <w:pStyle w:val="3"/>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507276F6">
      <w:pPr>
        <w:spacing w:after="0" w:line="640" w:lineRule="exact"/>
        <w:jc w:val="center"/>
        <w:rPr>
          <w:rFonts w:ascii="仿宋" w:hAnsi="仿宋" w:eastAsia="仿宋" w:cs="Times New Roman"/>
          <w:bCs/>
          <w:color w:val="auto"/>
          <w:kern w:val="0"/>
          <w:sz w:val="44"/>
          <w:szCs w:val="28"/>
          <w:highlight w:val="none"/>
        </w:rPr>
      </w:pPr>
      <w:bookmarkStart w:id="35" w:name="OLE_LINK1"/>
      <w:r>
        <w:rPr>
          <w:rFonts w:hint="default" w:ascii="Times New Roman" w:hAnsi="Times New Roman" w:eastAsia="方正小标宋简体" w:cs="Times New Roman"/>
          <w:b w:val="0"/>
          <w:bCs w:val="0"/>
          <w:color w:val="auto"/>
          <w:w w:val="100"/>
          <w:sz w:val="44"/>
          <w:szCs w:val="44"/>
          <w:highlight w:val="none"/>
          <w:lang w:val="en-US" w:eastAsia="zh-CN"/>
        </w:rPr>
        <w:t>关于与某</w:t>
      </w:r>
      <w:r>
        <w:rPr>
          <w:rFonts w:hint="eastAsia" w:ascii="Times New Roman" w:hAnsi="Times New Roman" w:eastAsia="方正小标宋简体" w:cs="Times New Roman"/>
          <w:b w:val="0"/>
          <w:bCs w:val="0"/>
          <w:color w:val="auto"/>
          <w:w w:val="100"/>
          <w:sz w:val="44"/>
          <w:szCs w:val="44"/>
          <w:highlight w:val="none"/>
          <w:lang w:val="en-US" w:eastAsia="zh-CN"/>
        </w:rPr>
        <w:t>国有</w:t>
      </w:r>
      <w:r>
        <w:rPr>
          <w:rFonts w:hint="default" w:ascii="Times New Roman" w:hAnsi="Times New Roman" w:eastAsia="方正小标宋简体" w:cs="Times New Roman"/>
          <w:b w:val="0"/>
          <w:bCs w:val="0"/>
          <w:color w:val="auto"/>
          <w:w w:val="100"/>
          <w:sz w:val="44"/>
          <w:szCs w:val="44"/>
          <w:highlight w:val="none"/>
          <w:lang w:val="en-US" w:eastAsia="zh-CN"/>
        </w:rPr>
        <w:t>企业买卖合同纠纷法律服务项目</w:t>
      </w:r>
      <w:bookmarkEnd w:id="35"/>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13"/>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4"/>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6" w:name="_Toc15260"/>
      <w:bookmarkStart w:id="37" w:name="_Toc3485"/>
      <w:bookmarkStart w:id="38" w:name="_Toc128141273"/>
    </w:p>
    <w:p w14:paraId="6F35D3D7">
      <w:pPr>
        <w:pStyle w:val="11"/>
        <w:rPr>
          <w:rFonts w:ascii="仿宋" w:hAnsi="仿宋" w:eastAsia="仿宋"/>
          <w:highlight w:val="none"/>
        </w:rPr>
      </w:pPr>
    </w:p>
    <w:p w14:paraId="5BDD6B69">
      <w:pPr>
        <w:pStyle w:val="4"/>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6"/>
      <w:bookmarkEnd w:id="37"/>
      <w:bookmarkEnd w:id="38"/>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13"/>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4"/>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9" w:name="_Toc128141274"/>
      <w:bookmarkStart w:id="40" w:name="_Toc2224"/>
      <w:bookmarkStart w:id="41" w:name="_Toc14455"/>
    </w:p>
    <w:p w14:paraId="77B96542">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9"/>
      <w:bookmarkEnd w:id="40"/>
      <w:bookmarkEnd w:id="41"/>
      <w:r>
        <w:rPr>
          <w:rFonts w:ascii="仿宋" w:hAnsi="仿宋" w:eastAsia="仿宋" w:cs="Times New Roman"/>
          <w:color w:val="auto"/>
          <w:sz w:val="32"/>
          <w:szCs w:val="32"/>
          <w:highlight w:val="none"/>
        </w:rPr>
        <w:t>比选申请函</w:t>
      </w:r>
    </w:p>
    <w:p w14:paraId="338F99EE">
      <w:pPr>
        <w:keepNext w:val="0"/>
        <w:keepLines w:val="0"/>
        <w:pageBreakBefore w:val="0"/>
        <w:widowControl/>
        <w:kinsoku/>
        <w:wordWrap/>
        <w:overflowPunct/>
        <w:topLinePunct w:val="0"/>
        <w:autoSpaceDE/>
        <w:autoSpaceDN/>
        <w:bidi w:val="0"/>
        <w:adjustRightInd/>
        <w:snapToGrid/>
        <w:spacing w:after="0" w:line="480" w:lineRule="exact"/>
        <w:ind w:left="-5" w:right="103" w:hanging="10"/>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keepNext w:val="0"/>
        <w:keepLines w:val="0"/>
        <w:pageBreakBefore w:val="0"/>
        <w:widowControl/>
        <w:numPr>
          <w:ilvl w:val="0"/>
          <w:numId w:val="1"/>
        </w:numPr>
        <w:kinsoku/>
        <w:wordWrap/>
        <w:overflowPunct/>
        <w:topLinePunct w:val="0"/>
        <w:autoSpaceDE/>
        <w:autoSpaceDN/>
        <w:bidi w:val="0"/>
        <w:adjustRightInd/>
        <w:snapToGrid/>
        <w:spacing w:after="0" w:line="480" w:lineRule="exact"/>
        <w:ind w:firstLine="480" w:firstLineChars="200"/>
        <w:jc w:val="both"/>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我方已仔细研究了</w:t>
      </w:r>
      <w:r>
        <w:rPr>
          <w:rFonts w:hint="eastAsia" w:ascii="仿宋" w:hAnsi="仿宋" w:eastAsia="仿宋" w:cs="Times New Roman"/>
          <w:b/>
          <w:bCs/>
          <w:color w:val="auto"/>
          <w:sz w:val="24"/>
          <w:szCs w:val="24"/>
          <w:highlight w:val="none"/>
          <w:u w:val="single"/>
        </w:rPr>
        <w:t>四川蜀物兴川物流发展有限公司关于与某国有企业买卖合同纠纷法律服务项目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2"/>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571"/>
      </w:tblGrid>
      <w:tr w14:paraId="171B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7CA58FD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5554D04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087608BD">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7E90688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606608AE">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50526527">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571" w:type="dxa"/>
            <w:vAlign w:val="center"/>
          </w:tcPr>
          <w:p w14:paraId="126FD4A2">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1D3A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5FBD6DA">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1E0B9A8B">
            <w:pPr>
              <w:widowControl w:val="0"/>
              <w:spacing w:after="0" w:line="560" w:lineRule="exact"/>
              <w:jc w:val="center"/>
              <w:rPr>
                <w:rFonts w:ascii="仿宋" w:hAnsi="仿宋" w:eastAsia="仿宋" w:cs="Times New Roman"/>
                <w:szCs w:val="21"/>
                <w:highlight w:val="none"/>
              </w:rPr>
            </w:pPr>
          </w:p>
        </w:tc>
        <w:tc>
          <w:tcPr>
            <w:tcW w:w="1620" w:type="dxa"/>
            <w:vAlign w:val="center"/>
          </w:tcPr>
          <w:p w14:paraId="41BB5CF6">
            <w:pPr>
              <w:widowControl w:val="0"/>
              <w:spacing w:after="0" w:line="560" w:lineRule="exact"/>
              <w:jc w:val="center"/>
              <w:rPr>
                <w:rFonts w:ascii="仿宋" w:hAnsi="仿宋" w:eastAsia="仿宋" w:cs="Times New Roman"/>
                <w:szCs w:val="21"/>
                <w:highlight w:val="none"/>
              </w:rPr>
            </w:pPr>
          </w:p>
        </w:tc>
        <w:tc>
          <w:tcPr>
            <w:tcW w:w="1710" w:type="dxa"/>
            <w:vAlign w:val="center"/>
          </w:tcPr>
          <w:p w14:paraId="1E9E7783">
            <w:pPr>
              <w:widowControl w:val="0"/>
              <w:spacing w:after="0" w:line="560" w:lineRule="exact"/>
              <w:jc w:val="center"/>
              <w:rPr>
                <w:rFonts w:ascii="仿宋" w:hAnsi="仿宋" w:eastAsia="仿宋" w:cs="Times New Roman"/>
                <w:szCs w:val="21"/>
                <w:highlight w:val="none"/>
              </w:rPr>
            </w:pPr>
          </w:p>
        </w:tc>
        <w:tc>
          <w:tcPr>
            <w:tcW w:w="1571" w:type="dxa"/>
            <w:vAlign w:val="center"/>
          </w:tcPr>
          <w:p w14:paraId="66B332BC">
            <w:pPr>
              <w:widowControl w:val="0"/>
              <w:spacing w:after="0" w:line="560" w:lineRule="exact"/>
              <w:jc w:val="center"/>
              <w:rPr>
                <w:rFonts w:ascii="仿宋" w:hAnsi="仿宋" w:eastAsia="仿宋" w:cs="Times New Roman"/>
                <w:szCs w:val="21"/>
                <w:highlight w:val="none"/>
              </w:rPr>
            </w:pPr>
          </w:p>
        </w:tc>
      </w:tr>
      <w:tr w14:paraId="3967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99" w:type="dxa"/>
            <w:gridSpan w:val="5"/>
            <w:vAlign w:val="center"/>
          </w:tcPr>
          <w:p w14:paraId="2A61B866">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33B530AC">
            <w:pPr>
              <w:pStyle w:val="13"/>
              <w:numPr>
                <w:ilvl w:val="0"/>
                <w:numId w:val="0"/>
              </w:numPr>
              <w:ind w:left="0" w:leftChars="0" w:firstLine="663" w:firstLineChars="300"/>
              <w:rPr>
                <w:rFonts w:hint="eastAsia"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p w14:paraId="0939DCCC">
            <w:pPr>
              <w:pStyle w:val="13"/>
              <w:numPr>
                <w:ilvl w:val="0"/>
                <w:numId w:val="0"/>
              </w:numPr>
              <w:ind w:left="0" w:leftChars="0" w:firstLine="663" w:firstLineChars="300"/>
              <w:rPr>
                <w:rFonts w:hint="default" w:ascii="仿宋" w:hAnsi="仿宋" w:eastAsia="仿宋" w:cs="仿宋_GB2312"/>
                <w:b/>
                <w:bCs/>
                <w:color w:val="000000"/>
                <w:kern w:val="2"/>
                <w:sz w:val="22"/>
                <w:szCs w:val="22"/>
                <w:highlight w:val="none"/>
                <w:lang w:val="en-US" w:eastAsia="zh-CN" w:bidi="ar-SA"/>
              </w:rPr>
            </w:pPr>
            <w:r>
              <w:rPr>
                <w:rFonts w:hint="eastAsia" w:ascii="仿宋" w:hAnsi="仿宋" w:eastAsia="仿宋" w:cs="仿宋_GB2312"/>
                <w:b/>
                <w:bCs/>
                <w:color w:val="000000"/>
                <w:kern w:val="2"/>
                <w:sz w:val="22"/>
                <w:szCs w:val="22"/>
                <w:highlight w:val="none"/>
                <w:lang w:val="en-US" w:eastAsia="zh-CN" w:bidi="ar-SA"/>
              </w:rPr>
              <w:t>3.风险代理费中包含执行回款部分与对方开具足额发票部分，参选人在投标时应充分考虑。</w:t>
            </w:r>
          </w:p>
          <w:p w14:paraId="286B402C">
            <w:pPr>
              <w:numPr>
                <w:ilvl w:val="-1"/>
                <w:numId w:val="0"/>
              </w:numPr>
              <w:rPr>
                <w:rFonts w:hint="default"/>
                <w:highlight w:val="none"/>
                <w:lang w:val="en-US" w:eastAsia="zh-CN"/>
              </w:rPr>
            </w:pPr>
          </w:p>
        </w:tc>
      </w:tr>
    </w:tbl>
    <w:p w14:paraId="3DA1F563">
      <w:pPr>
        <w:pStyle w:val="31"/>
        <w:numPr>
          <w:ilvl w:val="0"/>
          <w:numId w:val="0"/>
        </w:numPr>
        <w:rPr>
          <w:highlight w:val="none"/>
        </w:rPr>
      </w:pPr>
    </w:p>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4573AFAB">
      <w:pPr>
        <w:spacing w:after="0" w:line="360" w:lineRule="auto"/>
        <w:ind w:firstLine="480" w:firstLineChars="200"/>
        <w:rPr>
          <w:rFonts w:ascii="仿宋" w:hAnsi="仿宋" w:eastAsia="仿宋"/>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4"/>
        <w:spacing w:after="0" w:line="360" w:lineRule="auto"/>
        <w:ind w:left="0" w:right="0" w:firstLine="0"/>
        <w:jc w:val="both"/>
        <w:rPr>
          <w:rFonts w:ascii="仿宋" w:hAnsi="仿宋" w:eastAsia="仿宋" w:cs="Times New Roman"/>
          <w:b/>
          <w:bCs/>
          <w:color w:val="auto"/>
          <w:sz w:val="32"/>
          <w:highlight w:val="none"/>
        </w:rPr>
      </w:pPr>
      <w:bookmarkStart w:id="42" w:name="_Toc20030"/>
      <w:bookmarkStart w:id="43" w:name="_Toc128141275"/>
      <w:bookmarkStart w:id="44" w:name="_Toc22530"/>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2"/>
      <w:bookmarkEnd w:id="43"/>
      <w:bookmarkEnd w:id="44"/>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4"/>
        <w:spacing w:after="0" w:line="360" w:lineRule="auto"/>
        <w:ind w:left="0" w:right="0" w:firstLine="0"/>
        <w:jc w:val="center"/>
        <w:rPr>
          <w:rFonts w:ascii="仿宋" w:hAnsi="仿宋" w:eastAsia="仿宋" w:cs="Times New Roman"/>
          <w:color w:val="auto"/>
          <w:sz w:val="32"/>
          <w:szCs w:val="32"/>
          <w:highlight w:val="none"/>
        </w:rPr>
      </w:pPr>
      <w:bookmarkStart w:id="45" w:name="_Toc128141276"/>
      <w:bookmarkStart w:id="46" w:name="_Toc13510"/>
      <w:bookmarkStart w:id="47" w:name="_Toc31483"/>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5"/>
      <w:bookmarkEnd w:id="46"/>
      <w:bookmarkEnd w:id="47"/>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四川蜀物兴川物流发展有限公司关于与某国有企业买卖合同纠纷法律服务项目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8"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8"/>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4"/>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9" w:name="_Toc19029"/>
      <w:bookmarkStart w:id="50" w:name="_Toc128141277"/>
      <w:bookmarkStart w:id="51" w:name="_Toc16491"/>
    </w:p>
    <w:bookmarkEnd w:id="49"/>
    <w:bookmarkEnd w:id="50"/>
    <w:bookmarkEnd w:id="51"/>
    <w:p w14:paraId="3966FC75">
      <w:pPr>
        <w:pStyle w:val="4"/>
        <w:spacing w:after="0" w:line="360" w:lineRule="auto"/>
        <w:ind w:left="0" w:right="0" w:firstLine="0"/>
        <w:jc w:val="center"/>
        <w:rPr>
          <w:rFonts w:ascii="仿宋" w:hAnsi="仿宋" w:eastAsia="仿宋" w:cs="Times New Roman"/>
          <w:color w:val="auto"/>
          <w:sz w:val="32"/>
          <w:szCs w:val="32"/>
          <w:highlight w:val="none"/>
        </w:rPr>
      </w:pPr>
      <w:bookmarkStart w:id="52" w:name="_Toc25804"/>
      <w:bookmarkStart w:id="53" w:name="_Toc128141278"/>
      <w:bookmarkStart w:id="54" w:name="_Toc3651"/>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2"/>
      <w:bookmarkEnd w:id="53"/>
      <w:bookmarkEnd w:id="54"/>
    </w:p>
    <w:p w14:paraId="55D821AF">
      <w:pPr>
        <w:pStyle w:val="5"/>
        <w:spacing w:after="0"/>
        <w:ind w:left="132" w:right="0"/>
        <w:jc w:val="center"/>
        <w:rPr>
          <w:rFonts w:ascii="仿宋" w:hAnsi="仿宋" w:eastAsia="仿宋" w:cs="仿宋_GB2312"/>
          <w:b/>
          <w:bCs/>
          <w:color w:val="auto"/>
          <w:highlight w:val="none"/>
        </w:rPr>
      </w:pPr>
      <w:bookmarkStart w:id="55" w:name="_Toc19366"/>
      <w:bookmarkStart w:id="56" w:name="_Toc128141279"/>
      <w:bookmarkStart w:id="57" w:name="_Toc16506"/>
      <w:r>
        <w:rPr>
          <w:rFonts w:hint="eastAsia" w:ascii="仿宋" w:hAnsi="仿宋" w:eastAsia="仿宋" w:cs="仿宋_GB2312"/>
          <w:b/>
          <w:bCs/>
          <w:color w:val="auto"/>
          <w:highlight w:val="none"/>
        </w:rPr>
        <w:t>（一）基本情况表</w:t>
      </w:r>
      <w:bookmarkEnd w:id="55"/>
      <w:bookmarkEnd w:id="56"/>
      <w:bookmarkEnd w:id="57"/>
    </w:p>
    <w:tbl>
      <w:tblPr>
        <w:tblStyle w:val="47"/>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highlight w:val="none"/>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8" w:name="_Toc9575"/>
      <w:bookmarkStart w:id="59" w:name="_Toc13608"/>
      <w:r>
        <w:rPr>
          <w:rFonts w:ascii="仿宋" w:hAnsi="仿宋" w:eastAsia="仿宋" w:cs="Times New Roman"/>
          <w:color w:val="auto"/>
          <w:sz w:val="21"/>
          <w:highlight w:val="none"/>
        </w:rPr>
        <w:br w:type="page"/>
      </w:r>
      <w:bookmarkEnd w:id="58"/>
      <w:bookmarkEnd w:id="59"/>
      <w:bookmarkStart w:id="60" w:name="_Toc123682"/>
    </w:p>
    <w:p w14:paraId="47435282">
      <w:pPr>
        <w:pStyle w:val="6"/>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2"/>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13"/>
        <w:rPr>
          <w:rFonts w:ascii="仿宋" w:hAnsi="仿宋" w:eastAsia="仿宋" w:cs="Times New Roman"/>
          <w:highlight w:val="none"/>
        </w:rPr>
      </w:pPr>
    </w:p>
    <w:p w14:paraId="74262E45">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6"/>
        <w:spacing w:after="0" w:line="360" w:lineRule="auto"/>
        <w:ind w:left="132" w:right="0"/>
        <w:rPr>
          <w:rFonts w:ascii="仿宋" w:hAnsi="仿宋" w:eastAsia="仿宋" w:cs="Times New Roman"/>
          <w:bCs/>
          <w:color w:val="auto"/>
          <w:sz w:val="24"/>
          <w:szCs w:val="21"/>
          <w:highlight w:val="none"/>
        </w:rPr>
      </w:pPr>
    </w:p>
    <w:p w14:paraId="1B54D046">
      <w:pPr>
        <w:pStyle w:val="6"/>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6"/>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6"/>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1" w:name="_Toc123681"/>
    </w:p>
    <w:p w14:paraId="75CE10A6">
      <w:pPr>
        <w:pStyle w:val="5"/>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1"/>
    </w:p>
    <w:p w14:paraId="77BD3003">
      <w:pPr>
        <w:spacing w:line="240" w:lineRule="exact"/>
        <w:jc w:val="distribute"/>
        <w:rPr>
          <w:rFonts w:ascii="仿宋" w:hAnsi="仿宋" w:eastAsia="仿宋"/>
          <w:highlight w:val="none"/>
        </w:rPr>
      </w:pPr>
    </w:p>
    <w:tbl>
      <w:tblPr>
        <w:tblStyle w:val="32"/>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6"/>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60"/>
    <w:p w14:paraId="765AD977">
      <w:pPr>
        <w:pStyle w:val="5"/>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hint="default" w:ascii="仿宋" w:hAnsi="仿宋" w:eastAsia="仿宋" w:cs="Times New Roman"/>
                <w:color w:val="auto"/>
                <w:sz w:val="21"/>
                <w:szCs w:val="21"/>
                <w:highlight w:val="none"/>
                <w:lang w:val="en-US" w:eastAsia="zh-CN"/>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31"/>
              <w:ind w:left="0" w:leftChars="0" w:firstLine="0" w:firstLineChars="0"/>
              <w:rPr>
                <w:rFonts w:hint="eastAsia" w:eastAsia="仿宋"/>
                <w:highlight w:val="none"/>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关于与某国有企业买卖合同纠纷法律服务项目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4"/>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4"/>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highlight w:val="none"/>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参加“四川蜀物兴川物流发展有限公司关于与某国有企业买卖合同纠纷法律服务项目”比选活动，做出以下承诺：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1.</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2"/>
          <w:sz w:val="28"/>
          <w:szCs w:val="28"/>
          <w:highlight w:val="none"/>
          <w:lang w:val="en-US" w:eastAsia="zh-CN" w:bidi="ar-SA"/>
        </w:rPr>
        <w:t>2.</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u w:val="single"/>
          <w:lang w:val="en-US" w:eastAsia="zh-CN"/>
        </w:rPr>
        <w:t xml:space="preserve">（参选人名称） </w:t>
      </w:r>
      <w:r>
        <w:rPr>
          <w:rFonts w:hint="eastAsia" w:ascii="仿宋_GB2312" w:hAnsi="仿宋_GB2312" w:eastAsia="仿宋_GB2312" w:cs="仿宋_GB2312"/>
          <w:sz w:val="28"/>
          <w:szCs w:val="28"/>
          <w:highlight w:val="none"/>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2F69B4BE">
      <w:pPr>
        <w:pStyle w:val="31"/>
        <w:rPr>
          <w:rFonts w:hint="eastAsia"/>
          <w:highlight w:val="none"/>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highlight w:val="none"/>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highlight w:val="none"/>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highlight w:val="none"/>
          <w:lang w:val="en-US" w:eastAsia="zh-CN"/>
        </w:rPr>
      </w:pPr>
    </w:p>
    <w:p w14:paraId="5D187EB6">
      <w:pPr>
        <w:numPr>
          <w:ilvl w:val="0"/>
          <w:numId w:val="0"/>
        </w:numPr>
        <w:spacing w:after="0" w:line="560" w:lineRule="exact"/>
        <w:rPr>
          <w:rFonts w:hint="default"/>
          <w:highlight w:val="none"/>
          <w:lang w:val="en-US" w:eastAsia="zh-CN"/>
        </w:rPr>
        <w:sectPr>
          <w:pgSz w:w="12240" w:h="15840"/>
          <w:pgMar w:top="2098" w:right="1474" w:bottom="1984" w:left="1587" w:header="720" w:footer="720" w:gutter="0"/>
          <w:cols w:space="720" w:num="1"/>
        </w:sectPr>
      </w:pPr>
    </w:p>
    <w:p w14:paraId="18281F10">
      <w:pPr>
        <w:numPr>
          <w:ilvl w:val="0"/>
          <w:numId w:val="0"/>
        </w:numPr>
        <w:rPr>
          <w:rFonts w:hint="default"/>
          <w:highlight w:val="none"/>
          <w:lang w:val="en-US" w:eastAsia="zh-CN"/>
        </w:rPr>
      </w:pPr>
    </w:p>
    <w:p w14:paraId="7298AE07">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31"/>
        <w:rPr>
          <w:highlight w:val="none"/>
        </w:rPr>
      </w:pPr>
    </w:p>
    <w:p w14:paraId="3FC95ECD">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1" w:fontKey="{A3ABF4CD-EA15-4E0C-AB3F-66730E188258}"/>
  </w:font>
  <w:font w:name="宋?">
    <w:altName w:val="宋体"/>
    <w:panose1 w:val="020B0604020202020204"/>
    <w:charset w:val="81"/>
    <w:family w:val="roman"/>
    <w:pitch w:val="default"/>
    <w:sig w:usb0="00000000" w:usb1="00000000" w:usb2="00000010" w:usb3="00000000" w:csb0="00080000" w:csb1="00000000"/>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A6959C6-A1BE-4734-98E5-AB304FEC66D7}"/>
  </w:font>
  <w:font w:name="仿宋">
    <w:panose1 w:val="02010609060101010101"/>
    <w:charset w:val="86"/>
    <w:family w:val="modern"/>
    <w:pitch w:val="default"/>
    <w:sig w:usb0="800002BF" w:usb1="38CF7CFA" w:usb2="00000016" w:usb3="00000000" w:csb0="00040001" w:csb1="00000000"/>
    <w:embedRegular r:id="rId3" w:fontKey="{D15DF1DB-A815-4F2B-AACA-64634BFBAE34}"/>
  </w:font>
  <w:font w:name="仿宋_GB2312">
    <w:panose1 w:val="02010609030101010101"/>
    <w:charset w:val="86"/>
    <w:family w:val="auto"/>
    <w:pitch w:val="default"/>
    <w:sig w:usb0="00000001" w:usb1="080E0000" w:usb2="00000000" w:usb3="00000000" w:csb0="00040000" w:csb1="00000000"/>
    <w:embedRegular r:id="rId4" w:fontKey="{75A7FA69-2610-45E9-9790-361C59FFD3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21"/>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21"/>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AEEFB"/>
    <w:multiLevelType w:val="singleLevel"/>
    <w:tmpl w:val="EC6AEE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13C"/>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1FE1D5D"/>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3F7AFD"/>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4020B2"/>
    <w:rsid w:val="056F6B8D"/>
    <w:rsid w:val="0582595C"/>
    <w:rsid w:val="05A4392C"/>
    <w:rsid w:val="05BB10A0"/>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3343A"/>
    <w:rsid w:val="06E8731C"/>
    <w:rsid w:val="06E96BF0"/>
    <w:rsid w:val="07061550"/>
    <w:rsid w:val="071214CA"/>
    <w:rsid w:val="071F6AB6"/>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2F373E"/>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7B2255"/>
    <w:rsid w:val="0A8A2498"/>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5DF58"/>
    <w:rsid w:val="0EBA37C8"/>
    <w:rsid w:val="0ECD7250"/>
    <w:rsid w:val="0EED1247"/>
    <w:rsid w:val="0F0F1F61"/>
    <w:rsid w:val="0F136F00"/>
    <w:rsid w:val="0F2B1CE3"/>
    <w:rsid w:val="0F2C7FC2"/>
    <w:rsid w:val="0F587D43"/>
    <w:rsid w:val="0F810306"/>
    <w:rsid w:val="0F98501B"/>
    <w:rsid w:val="0FA43FFC"/>
    <w:rsid w:val="0FAC3208"/>
    <w:rsid w:val="0FCE2E27"/>
    <w:rsid w:val="0FD74FBF"/>
    <w:rsid w:val="0FFE087C"/>
    <w:rsid w:val="0FFE5298"/>
    <w:rsid w:val="100C4AAB"/>
    <w:rsid w:val="100D1EE7"/>
    <w:rsid w:val="10223A25"/>
    <w:rsid w:val="10236289"/>
    <w:rsid w:val="10265676"/>
    <w:rsid w:val="102F2C87"/>
    <w:rsid w:val="10352EA6"/>
    <w:rsid w:val="1041184B"/>
    <w:rsid w:val="105831DB"/>
    <w:rsid w:val="105A46BB"/>
    <w:rsid w:val="105B31DD"/>
    <w:rsid w:val="106A6B29"/>
    <w:rsid w:val="10833EBF"/>
    <w:rsid w:val="10E01064"/>
    <w:rsid w:val="10E16B8A"/>
    <w:rsid w:val="10E679CD"/>
    <w:rsid w:val="10E96997"/>
    <w:rsid w:val="10FB40F0"/>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201D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EB42FD"/>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B0031C"/>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9FE2020"/>
    <w:rsid w:val="1A057D8D"/>
    <w:rsid w:val="1A07140F"/>
    <w:rsid w:val="1A115020"/>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3F5AEF"/>
    <w:rsid w:val="1F6D3A27"/>
    <w:rsid w:val="1F75506D"/>
    <w:rsid w:val="1F9951FF"/>
    <w:rsid w:val="1F9F033C"/>
    <w:rsid w:val="1FA3970A"/>
    <w:rsid w:val="1FA859FD"/>
    <w:rsid w:val="1FC16504"/>
    <w:rsid w:val="1FC3402A"/>
    <w:rsid w:val="1FCA1DA7"/>
    <w:rsid w:val="1FCA360B"/>
    <w:rsid w:val="1FE10049"/>
    <w:rsid w:val="20131886"/>
    <w:rsid w:val="2040567B"/>
    <w:rsid w:val="204B40BD"/>
    <w:rsid w:val="20607ACB"/>
    <w:rsid w:val="206155F1"/>
    <w:rsid w:val="20735A50"/>
    <w:rsid w:val="20777666"/>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50591D"/>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55AB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4A7253"/>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B507FE"/>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E97EDF"/>
    <w:rsid w:val="28FE4325"/>
    <w:rsid w:val="290838BC"/>
    <w:rsid w:val="291C2563"/>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4A60D0"/>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3D1B8E"/>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487E5C"/>
    <w:rsid w:val="2F601896"/>
    <w:rsid w:val="2F6342AC"/>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45F3D"/>
    <w:rsid w:val="32AA2E28"/>
    <w:rsid w:val="32B113B0"/>
    <w:rsid w:val="32B31CDC"/>
    <w:rsid w:val="32C831C6"/>
    <w:rsid w:val="32C969F8"/>
    <w:rsid w:val="32E74748"/>
    <w:rsid w:val="32ED1692"/>
    <w:rsid w:val="33020CC1"/>
    <w:rsid w:val="33233306"/>
    <w:rsid w:val="335975A0"/>
    <w:rsid w:val="33666E2C"/>
    <w:rsid w:val="33711FA1"/>
    <w:rsid w:val="33784CD4"/>
    <w:rsid w:val="337C47C4"/>
    <w:rsid w:val="338C3E1F"/>
    <w:rsid w:val="339A10EE"/>
    <w:rsid w:val="339E7B3C"/>
    <w:rsid w:val="33AB06FF"/>
    <w:rsid w:val="33AD5F50"/>
    <w:rsid w:val="33B66B8B"/>
    <w:rsid w:val="34037ADA"/>
    <w:rsid w:val="342A34C2"/>
    <w:rsid w:val="344D6161"/>
    <w:rsid w:val="34586FDF"/>
    <w:rsid w:val="346674E4"/>
    <w:rsid w:val="347B4711"/>
    <w:rsid w:val="3482405C"/>
    <w:rsid w:val="348267AB"/>
    <w:rsid w:val="34DF14AF"/>
    <w:rsid w:val="34FD1935"/>
    <w:rsid w:val="351C69FF"/>
    <w:rsid w:val="3553087F"/>
    <w:rsid w:val="35717C54"/>
    <w:rsid w:val="35777939"/>
    <w:rsid w:val="357E2AE3"/>
    <w:rsid w:val="358F6456"/>
    <w:rsid w:val="359A47E3"/>
    <w:rsid w:val="359B1849"/>
    <w:rsid w:val="35AF1C4F"/>
    <w:rsid w:val="35B30926"/>
    <w:rsid w:val="35DA6F8D"/>
    <w:rsid w:val="35DC779C"/>
    <w:rsid w:val="35DF434D"/>
    <w:rsid w:val="35E81328"/>
    <w:rsid w:val="35EF5721"/>
    <w:rsid w:val="35F5085E"/>
    <w:rsid w:val="35FE3BB6"/>
    <w:rsid w:val="35FFD749"/>
    <w:rsid w:val="361909F0"/>
    <w:rsid w:val="361978A4"/>
    <w:rsid w:val="3627310D"/>
    <w:rsid w:val="36462E68"/>
    <w:rsid w:val="364C2F9C"/>
    <w:rsid w:val="365307CA"/>
    <w:rsid w:val="3659703F"/>
    <w:rsid w:val="368A1F78"/>
    <w:rsid w:val="36963DEF"/>
    <w:rsid w:val="36A91D74"/>
    <w:rsid w:val="36B315CD"/>
    <w:rsid w:val="36BB098A"/>
    <w:rsid w:val="36DC6F4C"/>
    <w:rsid w:val="36E74BCF"/>
    <w:rsid w:val="36F56D67"/>
    <w:rsid w:val="3709636F"/>
    <w:rsid w:val="37167153"/>
    <w:rsid w:val="372F7B9E"/>
    <w:rsid w:val="37487677"/>
    <w:rsid w:val="376E1D1A"/>
    <w:rsid w:val="376E20F1"/>
    <w:rsid w:val="377F4883"/>
    <w:rsid w:val="378400B8"/>
    <w:rsid w:val="379F4582"/>
    <w:rsid w:val="379FD80C"/>
    <w:rsid w:val="37A81F71"/>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8E1BDE"/>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A09E7"/>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61234F"/>
    <w:rsid w:val="3D94095C"/>
    <w:rsid w:val="3DA652FE"/>
    <w:rsid w:val="3DB77B2E"/>
    <w:rsid w:val="3DCE0312"/>
    <w:rsid w:val="3DD60F75"/>
    <w:rsid w:val="3DF12C27"/>
    <w:rsid w:val="3DFB09DB"/>
    <w:rsid w:val="3E2607ED"/>
    <w:rsid w:val="3E447D10"/>
    <w:rsid w:val="3E45D465"/>
    <w:rsid w:val="3E4B54BF"/>
    <w:rsid w:val="3E6622F9"/>
    <w:rsid w:val="3E9A01F4"/>
    <w:rsid w:val="3E9E2257"/>
    <w:rsid w:val="3E9F2ABC"/>
    <w:rsid w:val="3EA0190A"/>
    <w:rsid w:val="3EA3354D"/>
    <w:rsid w:val="3EA51068"/>
    <w:rsid w:val="3EB94B1E"/>
    <w:rsid w:val="3EC34EF9"/>
    <w:rsid w:val="3ED8395B"/>
    <w:rsid w:val="3EEA11DF"/>
    <w:rsid w:val="3EF21DDE"/>
    <w:rsid w:val="3F0833B0"/>
    <w:rsid w:val="3F107E00"/>
    <w:rsid w:val="3F134F7F"/>
    <w:rsid w:val="3F296ECF"/>
    <w:rsid w:val="3F590010"/>
    <w:rsid w:val="3F5D0C74"/>
    <w:rsid w:val="3F7F7B16"/>
    <w:rsid w:val="3FAE1904"/>
    <w:rsid w:val="3FB403B2"/>
    <w:rsid w:val="3FC90D91"/>
    <w:rsid w:val="3FE931E1"/>
    <w:rsid w:val="3FF43934"/>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1F30347"/>
    <w:rsid w:val="421D3616"/>
    <w:rsid w:val="422971D8"/>
    <w:rsid w:val="423544BC"/>
    <w:rsid w:val="423B1442"/>
    <w:rsid w:val="42425BDF"/>
    <w:rsid w:val="424B3C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087E22"/>
    <w:rsid w:val="433412EF"/>
    <w:rsid w:val="43574906"/>
    <w:rsid w:val="435E53CB"/>
    <w:rsid w:val="438A290A"/>
    <w:rsid w:val="43C67F35"/>
    <w:rsid w:val="43C74575"/>
    <w:rsid w:val="43E43739"/>
    <w:rsid w:val="43FAEFD0"/>
    <w:rsid w:val="44126C76"/>
    <w:rsid w:val="44311998"/>
    <w:rsid w:val="443B0600"/>
    <w:rsid w:val="4441183E"/>
    <w:rsid w:val="4448536C"/>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2845CD"/>
    <w:rsid w:val="47305B9A"/>
    <w:rsid w:val="47411B55"/>
    <w:rsid w:val="4746114F"/>
    <w:rsid w:val="4763634B"/>
    <w:rsid w:val="47846991"/>
    <w:rsid w:val="47887784"/>
    <w:rsid w:val="47A05E65"/>
    <w:rsid w:val="47AA6ADF"/>
    <w:rsid w:val="47D12ED9"/>
    <w:rsid w:val="47D97B70"/>
    <w:rsid w:val="47E606A5"/>
    <w:rsid w:val="47EC047B"/>
    <w:rsid w:val="47EC1AC1"/>
    <w:rsid w:val="47F06548"/>
    <w:rsid w:val="47F172BA"/>
    <w:rsid w:val="47F53C79"/>
    <w:rsid w:val="47FE0118"/>
    <w:rsid w:val="482974A7"/>
    <w:rsid w:val="48474F49"/>
    <w:rsid w:val="48627FD5"/>
    <w:rsid w:val="4864321A"/>
    <w:rsid w:val="48677399"/>
    <w:rsid w:val="48D52AE9"/>
    <w:rsid w:val="48FD1AAC"/>
    <w:rsid w:val="48FF2105"/>
    <w:rsid w:val="4910358D"/>
    <w:rsid w:val="491155A3"/>
    <w:rsid w:val="491A440C"/>
    <w:rsid w:val="493C7D8D"/>
    <w:rsid w:val="495C35A9"/>
    <w:rsid w:val="496068F3"/>
    <w:rsid w:val="49614F7A"/>
    <w:rsid w:val="49627B61"/>
    <w:rsid w:val="49883FF9"/>
    <w:rsid w:val="499E3603"/>
    <w:rsid w:val="49CC5DB6"/>
    <w:rsid w:val="49CD04E5"/>
    <w:rsid w:val="49CF169A"/>
    <w:rsid w:val="49F15899"/>
    <w:rsid w:val="49FB119D"/>
    <w:rsid w:val="4A070E34"/>
    <w:rsid w:val="4A190B67"/>
    <w:rsid w:val="4A1A5506"/>
    <w:rsid w:val="4A361719"/>
    <w:rsid w:val="4A3F507F"/>
    <w:rsid w:val="4A5D4A86"/>
    <w:rsid w:val="4A657908"/>
    <w:rsid w:val="4A6B76D7"/>
    <w:rsid w:val="4A7933B4"/>
    <w:rsid w:val="4A8823AE"/>
    <w:rsid w:val="4A9F72BE"/>
    <w:rsid w:val="4AAF7FE0"/>
    <w:rsid w:val="4AC85640"/>
    <w:rsid w:val="4AD12E5A"/>
    <w:rsid w:val="4AD80FD1"/>
    <w:rsid w:val="4AE271AB"/>
    <w:rsid w:val="4AE66459"/>
    <w:rsid w:val="4B304EE1"/>
    <w:rsid w:val="4B3F63AB"/>
    <w:rsid w:val="4B4E65EF"/>
    <w:rsid w:val="4B55666B"/>
    <w:rsid w:val="4B565BBA"/>
    <w:rsid w:val="4B7F49FA"/>
    <w:rsid w:val="4B936E7D"/>
    <w:rsid w:val="4B954E25"/>
    <w:rsid w:val="4BA651E2"/>
    <w:rsid w:val="4BB5041C"/>
    <w:rsid w:val="4BB77AB2"/>
    <w:rsid w:val="4BD13CFE"/>
    <w:rsid w:val="4BDA60D4"/>
    <w:rsid w:val="4BE45480"/>
    <w:rsid w:val="4BE8256A"/>
    <w:rsid w:val="4BF6DDE5"/>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D66730"/>
    <w:rsid w:val="4DF72F6D"/>
    <w:rsid w:val="4DF8457F"/>
    <w:rsid w:val="4E0538DC"/>
    <w:rsid w:val="4E264AF3"/>
    <w:rsid w:val="4E28581D"/>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825C20"/>
    <w:rsid w:val="4FC5543D"/>
    <w:rsid w:val="4FC70010"/>
    <w:rsid w:val="4FFB1ABC"/>
    <w:rsid w:val="4FFD5B7C"/>
    <w:rsid w:val="500C0359"/>
    <w:rsid w:val="501567CB"/>
    <w:rsid w:val="5019342A"/>
    <w:rsid w:val="50211B71"/>
    <w:rsid w:val="502F4415"/>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56D25"/>
    <w:rsid w:val="519A07DF"/>
    <w:rsid w:val="51BA2C30"/>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312BAA"/>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7F0628"/>
    <w:rsid w:val="57826565"/>
    <w:rsid w:val="578E0089"/>
    <w:rsid w:val="57A44166"/>
    <w:rsid w:val="57AF59AB"/>
    <w:rsid w:val="57C21D9E"/>
    <w:rsid w:val="57D07124"/>
    <w:rsid w:val="57EF409D"/>
    <w:rsid w:val="57F364F1"/>
    <w:rsid w:val="57FC2EEA"/>
    <w:rsid w:val="581643B2"/>
    <w:rsid w:val="58223E5C"/>
    <w:rsid w:val="583077A8"/>
    <w:rsid w:val="58482C7F"/>
    <w:rsid w:val="584B2834"/>
    <w:rsid w:val="58564D34"/>
    <w:rsid w:val="58666731"/>
    <w:rsid w:val="586E26D1"/>
    <w:rsid w:val="58711BA1"/>
    <w:rsid w:val="58807BEE"/>
    <w:rsid w:val="58831600"/>
    <w:rsid w:val="589462A5"/>
    <w:rsid w:val="58975A79"/>
    <w:rsid w:val="589917F1"/>
    <w:rsid w:val="58CC2B26"/>
    <w:rsid w:val="58E639D3"/>
    <w:rsid w:val="58F4023A"/>
    <w:rsid w:val="590824D3"/>
    <w:rsid w:val="59106AC1"/>
    <w:rsid w:val="59220479"/>
    <w:rsid w:val="592D1F39"/>
    <w:rsid w:val="593B28A8"/>
    <w:rsid w:val="593B4656"/>
    <w:rsid w:val="59452184"/>
    <w:rsid w:val="5960230F"/>
    <w:rsid w:val="597FC1CB"/>
    <w:rsid w:val="598C3104"/>
    <w:rsid w:val="59A72F18"/>
    <w:rsid w:val="59C52952"/>
    <w:rsid w:val="59CD7278"/>
    <w:rsid w:val="59EC3BA2"/>
    <w:rsid w:val="5A1174AA"/>
    <w:rsid w:val="5A1B73FE"/>
    <w:rsid w:val="5A2F42B8"/>
    <w:rsid w:val="5A380B96"/>
    <w:rsid w:val="5A3F5FD7"/>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0677C"/>
    <w:rsid w:val="5B0E18F6"/>
    <w:rsid w:val="5B1A02B0"/>
    <w:rsid w:val="5B1F1D55"/>
    <w:rsid w:val="5B346059"/>
    <w:rsid w:val="5B8E39AC"/>
    <w:rsid w:val="5B9107F5"/>
    <w:rsid w:val="5B9C33A6"/>
    <w:rsid w:val="5BA74225"/>
    <w:rsid w:val="5BAC7859"/>
    <w:rsid w:val="5BB866D0"/>
    <w:rsid w:val="5BBE331C"/>
    <w:rsid w:val="5BC22E0D"/>
    <w:rsid w:val="5BFD216E"/>
    <w:rsid w:val="5C047C2A"/>
    <w:rsid w:val="5C0732DB"/>
    <w:rsid w:val="5C0A0310"/>
    <w:rsid w:val="5C4A2E02"/>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8E7009"/>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AE0D24"/>
    <w:rsid w:val="5EBA0139"/>
    <w:rsid w:val="5EC073AC"/>
    <w:rsid w:val="5EC21376"/>
    <w:rsid w:val="5EC529C2"/>
    <w:rsid w:val="5EF157B7"/>
    <w:rsid w:val="5EF5561C"/>
    <w:rsid w:val="5F072DA0"/>
    <w:rsid w:val="5F1F0DB8"/>
    <w:rsid w:val="5F3A0F0C"/>
    <w:rsid w:val="5F46756E"/>
    <w:rsid w:val="5F6D58CC"/>
    <w:rsid w:val="5F710DD4"/>
    <w:rsid w:val="5F724C78"/>
    <w:rsid w:val="5F8265AE"/>
    <w:rsid w:val="5F8C5268"/>
    <w:rsid w:val="5FB76A00"/>
    <w:rsid w:val="5FD01870"/>
    <w:rsid w:val="5FD14D72"/>
    <w:rsid w:val="5FEA625B"/>
    <w:rsid w:val="60031639"/>
    <w:rsid w:val="600339F4"/>
    <w:rsid w:val="602037FC"/>
    <w:rsid w:val="602D0601"/>
    <w:rsid w:val="605204D7"/>
    <w:rsid w:val="60793CB6"/>
    <w:rsid w:val="608D07BC"/>
    <w:rsid w:val="608E15EB"/>
    <w:rsid w:val="608F27EF"/>
    <w:rsid w:val="60942E6D"/>
    <w:rsid w:val="60C159DF"/>
    <w:rsid w:val="60D20857"/>
    <w:rsid w:val="60F11A9E"/>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67B08"/>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01992"/>
    <w:rsid w:val="64E53FAE"/>
    <w:rsid w:val="64E57454"/>
    <w:rsid w:val="64E9765C"/>
    <w:rsid w:val="64EB28E0"/>
    <w:rsid w:val="64FB03B0"/>
    <w:rsid w:val="65021814"/>
    <w:rsid w:val="6507224C"/>
    <w:rsid w:val="65080F4C"/>
    <w:rsid w:val="651D7306"/>
    <w:rsid w:val="6532281F"/>
    <w:rsid w:val="65426D6C"/>
    <w:rsid w:val="65476131"/>
    <w:rsid w:val="65491EA9"/>
    <w:rsid w:val="65640A91"/>
    <w:rsid w:val="65654809"/>
    <w:rsid w:val="65874A1F"/>
    <w:rsid w:val="658B30BC"/>
    <w:rsid w:val="659E4BCF"/>
    <w:rsid w:val="65AB2B63"/>
    <w:rsid w:val="65C11964"/>
    <w:rsid w:val="65E20D30"/>
    <w:rsid w:val="65E816C2"/>
    <w:rsid w:val="65F9364E"/>
    <w:rsid w:val="6611618D"/>
    <w:rsid w:val="66372649"/>
    <w:rsid w:val="66380331"/>
    <w:rsid w:val="66456B14"/>
    <w:rsid w:val="66482160"/>
    <w:rsid w:val="665705F5"/>
    <w:rsid w:val="66593A3B"/>
    <w:rsid w:val="66600A94"/>
    <w:rsid w:val="66696111"/>
    <w:rsid w:val="66785CF4"/>
    <w:rsid w:val="6695111E"/>
    <w:rsid w:val="66C832A1"/>
    <w:rsid w:val="66D103A8"/>
    <w:rsid w:val="66D87988"/>
    <w:rsid w:val="66E0683F"/>
    <w:rsid w:val="66E75E1D"/>
    <w:rsid w:val="66F44096"/>
    <w:rsid w:val="66FC572C"/>
    <w:rsid w:val="67027956"/>
    <w:rsid w:val="670B58D2"/>
    <w:rsid w:val="67127E33"/>
    <w:rsid w:val="671958AB"/>
    <w:rsid w:val="671F30C5"/>
    <w:rsid w:val="672E75A8"/>
    <w:rsid w:val="672F693E"/>
    <w:rsid w:val="67353714"/>
    <w:rsid w:val="674226E9"/>
    <w:rsid w:val="67451395"/>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12EF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663E10"/>
    <w:rsid w:val="6B7062AF"/>
    <w:rsid w:val="6B747783"/>
    <w:rsid w:val="6B7E5284"/>
    <w:rsid w:val="6B9B0F84"/>
    <w:rsid w:val="6BBF2D21"/>
    <w:rsid w:val="6BEB3352"/>
    <w:rsid w:val="6C1D5E3D"/>
    <w:rsid w:val="6C387681"/>
    <w:rsid w:val="6C437A1F"/>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483812"/>
    <w:rsid w:val="6E970129"/>
    <w:rsid w:val="6E9B230D"/>
    <w:rsid w:val="6EB83BFB"/>
    <w:rsid w:val="6EC94BCE"/>
    <w:rsid w:val="6EF8049C"/>
    <w:rsid w:val="6F135EBD"/>
    <w:rsid w:val="6F137D1B"/>
    <w:rsid w:val="6F1426B4"/>
    <w:rsid w:val="6F2D283B"/>
    <w:rsid w:val="6F330CBA"/>
    <w:rsid w:val="6F4E30CF"/>
    <w:rsid w:val="6F54036D"/>
    <w:rsid w:val="6F5B1156"/>
    <w:rsid w:val="6F5E74DC"/>
    <w:rsid w:val="6F6226C8"/>
    <w:rsid w:val="6F6535B7"/>
    <w:rsid w:val="6F6F6D73"/>
    <w:rsid w:val="6F7A24E8"/>
    <w:rsid w:val="6F7D30CD"/>
    <w:rsid w:val="6F801900"/>
    <w:rsid w:val="6F901EF7"/>
    <w:rsid w:val="6F920CCE"/>
    <w:rsid w:val="6F960B43"/>
    <w:rsid w:val="6FBBE1B8"/>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A3C8B"/>
    <w:rsid w:val="725956F5"/>
    <w:rsid w:val="725B76BF"/>
    <w:rsid w:val="72834E8D"/>
    <w:rsid w:val="729624A5"/>
    <w:rsid w:val="729A1F96"/>
    <w:rsid w:val="72A17F69"/>
    <w:rsid w:val="72A74516"/>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029D9"/>
    <w:rsid w:val="743D707D"/>
    <w:rsid w:val="74417729"/>
    <w:rsid w:val="745148D6"/>
    <w:rsid w:val="746A1E3C"/>
    <w:rsid w:val="74822CE1"/>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5DE0A1F"/>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09209E"/>
    <w:rsid w:val="7711659E"/>
    <w:rsid w:val="77137BF8"/>
    <w:rsid w:val="771E4103"/>
    <w:rsid w:val="772774BF"/>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D21C10"/>
    <w:rsid w:val="78E75809"/>
    <w:rsid w:val="7911139D"/>
    <w:rsid w:val="791E4FA3"/>
    <w:rsid w:val="792410CB"/>
    <w:rsid w:val="792D3303"/>
    <w:rsid w:val="793B7903"/>
    <w:rsid w:val="7942624F"/>
    <w:rsid w:val="79442028"/>
    <w:rsid w:val="798E037A"/>
    <w:rsid w:val="798F0C32"/>
    <w:rsid w:val="799C61E1"/>
    <w:rsid w:val="79AA220C"/>
    <w:rsid w:val="79B849EC"/>
    <w:rsid w:val="79D319C8"/>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BFF4354"/>
    <w:rsid w:val="7C1A4147"/>
    <w:rsid w:val="7C1D391E"/>
    <w:rsid w:val="7C2A2267"/>
    <w:rsid w:val="7C2B0F68"/>
    <w:rsid w:val="7C2E0F19"/>
    <w:rsid w:val="7C372603"/>
    <w:rsid w:val="7C3969CE"/>
    <w:rsid w:val="7C43369E"/>
    <w:rsid w:val="7C4371FA"/>
    <w:rsid w:val="7C68679F"/>
    <w:rsid w:val="7C6A5395"/>
    <w:rsid w:val="7C7F0EF9"/>
    <w:rsid w:val="7C855A65"/>
    <w:rsid w:val="7C871B65"/>
    <w:rsid w:val="7C877AD9"/>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249DC"/>
    <w:rsid w:val="7EB54A7A"/>
    <w:rsid w:val="7EB663A9"/>
    <w:rsid w:val="7EC30AC6"/>
    <w:rsid w:val="7ECA12C4"/>
    <w:rsid w:val="7ED7614E"/>
    <w:rsid w:val="7ED76320"/>
    <w:rsid w:val="7EDF23D9"/>
    <w:rsid w:val="7EE34CC4"/>
    <w:rsid w:val="7EFFB9D1"/>
    <w:rsid w:val="7F0D7F93"/>
    <w:rsid w:val="7F1E3965"/>
    <w:rsid w:val="7F3F2762"/>
    <w:rsid w:val="7F45772D"/>
    <w:rsid w:val="7F5D0D9D"/>
    <w:rsid w:val="7F6E135D"/>
    <w:rsid w:val="7F6F5CFA"/>
    <w:rsid w:val="7F722F37"/>
    <w:rsid w:val="7F7378B0"/>
    <w:rsid w:val="7F7F5F57"/>
    <w:rsid w:val="7F89586C"/>
    <w:rsid w:val="7FAD3976"/>
    <w:rsid w:val="7FB39C48"/>
    <w:rsid w:val="7FCF50BB"/>
    <w:rsid w:val="7FE01204"/>
    <w:rsid w:val="7FEF867C"/>
    <w:rsid w:val="7FF87248"/>
    <w:rsid w:val="B6F71DBA"/>
    <w:rsid w:val="B7B44AE7"/>
    <w:rsid w:val="B9382491"/>
    <w:rsid w:val="BBA7B7B8"/>
    <w:rsid w:val="BBF9AB81"/>
    <w:rsid w:val="BFDDD8F8"/>
    <w:rsid w:val="BFFF8897"/>
    <w:rsid w:val="C3E73E6A"/>
    <w:rsid w:val="C4B30FBF"/>
    <w:rsid w:val="C65EFEBA"/>
    <w:rsid w:val="CF657275"/>
    <w:rsid w:val="D6F75A4E"/>
    <w:rsid w:val="E7FF79B2"/>
    <w:rsid w:val="EB7D1BE6"/>
    <w:rsid w:val="F2FDDE8B"/>
    <w:rsid w:val="F34D4EB2"/>
    <w:rsid w:val="F9DE5F40"/>
    <w:rsid w:val="FBB32240"/>
    <w:rsid w:val="FD766C8A"/>
    <w:rsid w:val="FF3A8EDB"/>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9"/>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1"/>
    <w:link w:val="40"/>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5">
    <w:name w:val="heading 3"/>
    <w:basedOn w:val="1"/>
    <w:next w:val="1"/>
    <w:link w:val="42"/>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6">
    <w:name w:val="heading 4"/>
    <w:basedOn w:val="1"/>
    <w:next w:val="1"/>
    <w:link w:val="43"/>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7">
    <w:name w:val="heading 5"/>
    <w:next w:val="1"/>
    <w:link w:val="44"/>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8">
    <w:name w:val="heading 6"/>
    <w:next w:val="1"/>
    <w:link w:val="45"/>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9">
    <w:name w:val="heading 7"/>
    <w:next w:val="1"/>
    <w:link w:val="46"/>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after="60"/>
      <w:jc w:val="center"/>
      <w:outlineLvl w:val="1"/>
    </w:pPr>
    <w:rPr>
      <w:rFonts w:ascii="Cambria" w:hAnsi="Cambria"/>
      <w:kern w:val="0"/>
      <w:sz w:val="24"/>
    </w:rPr>
  </w:style>
  <w:style w:type="paragraph" w:styleId="10">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1">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annotation text"/>
    <w:basedOn w:val="1"/>
    <w:link w:val="57"/>
    <w:autoRedefine/>
    <w:unhideWhenUsed/>
    <w:qFormat/>
    <w:uiPriority w:val="99"/>
  </w:style>
  <w:style w:type="paragraph" w:styleId="13">
    <w:name w:val="Body Text"/>
    <w:basedOn w:val="1"/>
    <w:link w:val="48"/>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4">
    <w:name w:val="Body Text Indent"/>
    <w:basedOn w:val="1"/>
    <w:autoRedefine/>
    <w:qFormat/>
    <w:uiPriority w:val="0"/>
    <w:pPr>
      <w:ind w:firstLine="630"/>
    </w:pPr>
    <w:rPr>
      <w:sz w:val="32"/>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Plain Text"/>
    <w:basedOn w:val="1"/>
    <w:unhideWhenUsed/>
    <w:qFormat/>
    <w:uiPriority w:val="99"/>
    <w:rPr>
      <w:rFonts w:ascii="宋体" w:hAnsi="Courier New" w:cs="Courier New"/>
      <w:szCs w:val="21"/>
    </w:rPr>
  </w:style>
  <w:style w:type="paragraph" w:styleId="18">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9">
    <w:name w:val="Body Text Indent 2"/>
    <w:basedOn w:val="1"/>
    <w:autoRedefine/>
    <w:semiHidden/>
    <w:unhideWhenUsed/>
    <w:qFormat/>
    <w:uiPriority w:val="99"/>
    <w:pPr>
      <w:spacing w:after="120" w:line="480" w:lineRule="auto"/>
      <w:ind w:left="420" w:leftChars="200"/>
    </w:pPr>
  </w:style>
  <w:style w:type="paragraph" w:styleId="20">
    <w:name w:val="Balloon Text"/>
    <w:basedOn w:val="1"/>
    <w:link w:val="49"/>
    <w:autoRedefine/>
    <w:semiHidden/>
    <w:unhideWhenUsed/>
    <w:qFormat/>
    <w:uiPriority w:val="99"/>
    <w:pPr>
      <w:spacing w:after="0" w:line="240" w:lineRule="auto"/>
    </w:pPr>
    <w:rPr>
      <w:sz w:val="18"/>
      <w:szCs w:val="18"/>
    </w:rPr>
  </w:style>
  <w:style w:type="paragraph" w:styleId="21">
    <w:name w:val="footer"/>
    <w:basedOn w:val="1"/>
    <w:link w:val="53"/>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2">
    <w:name w:val="header"/>
    <w:basedOn w:val="1"/>
    <w:link w:val="56"/>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4">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5">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6">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7">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8">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9">
    <w:name w:val="annotation subject"/>
    <w:basedOn w:val="12"/>
    <w:next w:val="12"/>
    <w:link w:val="58"/>
    <w:autoRedefine/>
    <w:semiHidden/>
    <w:unhideWhenUsed/>
    <w:qFormat/>
    <w:uiPriority w:val="99"/>
    <w:rPr>
      <w:b/>
      <w:bCs/>
    </w:rPr>
  </w:style>
  <w:style w:type="paragraph" w:styleId="30">
    <w:name w:val="Body Text First Indent"/>
    <w:basedOn w:val="13"/>
    <w:autoRedefine/>
    <w:unhideWhenUsed/>
    <w:qFormat/>
    <w:uiPriority w:val="99"/>
    <w:pPr>
      <w:ind w:firstLine="420" w:firstLineChars="100"/>
    </w:pPr>
  </w:style>
  <w:style w:type="paragraph" w:styleId="31">
    <w:name w:val="Body Text First Indent 2"/>
    <w:basedOn w:val="14"/>
    <w:next w:val="1"/>
    <w:autoRedefine/>
    <w:unhideWhenUsed/>
    <w:qFormat/>
    <w:uiPriority w:val="99"/>
    <w:pPr>
      <w:spacing w:after="120"/>
      <w:ind w:left="420" w:leftChars="200" w:firstLine="420" w:firstLineChars="200"/>
    </w:pPr>
    <w:rPr>
      <w:rFonts w:eastAsia="宋?"/>
      <w:sz w:val="21"/>
      <w:szCs w:val="24"/>
    </w:rPr>
  </w:style>
  <w:style w:type="table" w:styleId="33">
    <w:name w:val="Table Grid"/>
    <w:basedOn w:val="3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rPr>
  </w:style>
  <w:style w:type="character" w:styleId="36">
    <w:name w:val="page number"/>
    <w:basedOn w:val="34"/>
    <w:autoRedefine/>
    <w:qFormat/>
    <w:uiPriority w:val="0"/>
  </w:style>
  <w:style w:type="character" w:styleId="37">
    <w:name w:val="Hyperlink"/>
    <w:basedOn w:val="34"/>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4"/>
    <w:autoRedefine/>
    <w:semiHidden/>
    <w:unhideWhenUsed/>
    <w:qFormat/>
    <w:uiPriority w:val="99"/>
    <w:rPr>
      <w:sz w:val="21"/>
      <w:szCs w:val="21"/>
    </w:rPr>
  </w:style>
  <w:style w:type="character" w:customStyle="1" w:styleId="39">
    <w:name w:val="标题 1 字符"/>
    <w:link w:val="3"/>
    <w:autoRedefine/>
    <w:qFormat/>
    <w:uiPriority w:val="0"/>
    <w:rPr>
      <w:rFonts w:ascii="黑体" w:hAnsi="黑体" w:eastAsia="黑体" w:cs="黑体"/>
      <w:color w:val="000000"/>
      <w:sz w:val="32"/>
    </w:rPr>
  </w:style>
  <w:style w:type="character" w:customStyle="1" w:styleId="40">
    <w:name w:val="标题 2 字符"/>
    <w:link w:val="4"/>
    <w:autoRedefine/>
    <w:qFormat/>
    <w:uiPriority w:val="0"/>
    <w:rPr>
      <w:rFonts w:ascii="黑体" w:hAnsi="黑体" w:eastAsia="黑体" w:cs="黑体"/>
      <w:color w:val="000000"/>
      <w:sz w:val="28"/>
    </w:rPr>
  </w:style>
  <w:style w:type="paragraph" w:customStyle="1" w:styleId="41">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2">
    <w:name w:val="标题 3 字符"/>
    <w:link w:val="5"/>
    <w:autoRedefine/>
    <w:qFormat/>
    <w:uiPriority w:val="0"/>
    <w:rPr>
      <w:rFonts w:ascii="黑体" w:hAnsi="黑体" w:eastAsia="黑体" w:cs="黑体"/>
      <w:color w:val="000000"/>
      <w:sz w:val="28"/>
    </w:rPr>
  </w:style>
  <w:style w:type="character" w:customStyle="1" w:styleId="43">
    <w:name w:val="标题 4 字符"/>
    <w:link w:val="6"/>
    <w:autoRedefine/>
    <w:qFormat/>
    <w:uiPriority w:val="0"/>
    <w:rPr>
      <w:rFonts w:ascii="黑体" w:hAnsi="黑体" w:eastAsia="黑体" w:cs="黑体"/>
      <w:color w:val="000000"/>
      <w:sz w:val="28"/>
    </w:rPr>
  </w:style>
  <w:style w:type="character" w:customStyle="1" w:styleId="44">
    <w:name w:val="标题 5 字符"/>
    <w:link w:val="7"/>
    <w:autoRedefine/>
    <w:qFormat/>
    <w:uiPriority w:val="0"/>
    <w:rPr>
      <w:rFonts w:ascii="黑体" w:hAnsi="黑体" w:eastAsia="黑体" w:cs="黑体"/>
      <w:color w:val="000000"/>
      <w:sz w:val="28"/>
    </w:rPr>
  </w:style>
  <w:style w:type="character" w:customStyle="1" w:styleId="45">
    <w:name w:val="标题 6 字符"/>
    <w:link w:val="8"/>
    <w:autoRedefine/>
    <w:qFormat/>
    <w:uiPriority w:val="0"/>
    <w:rPr>
      <w:rFonts w:ascii="黑体" w:hAnsi="黑体" w:eastAsia="黑体" w:cs="黑体"/>
      <w:color w:val="000000"/>
      <w:sz w:val="28"/>
    </w:rPr>
  </w:style>
  <w:style w:type="character" w:customStyle="1" w:styleId="46">
    <w:name w:val="标题 7 字符"/>
    <w:link w:val="9"/>
    <w:autoRedefine/>
    <w:qFormat/>
    <w:uiPriority w:val="0"/>
    <w:rPr>
      <w:rFonts w:ascii="黑体" w:hAnsi="黑体" w:eastAsia="黑体" w:cs="黑体"/>
      <w:color w:val="000000"/>
      <w:sz w:val="28"/>
    </w:rPr>
  </w:style>
  <w:style w:type="table" w:customStyle="1" w:styleId="47">
    <w:name w:val="TableGrid"/>
    <w:autoRedefine/>
    <w:qFormat/>
    <w:uiPriority w:val="0"/>
    <w:tblPr>
      <w:tblCellMar>
        <w:top w:w="0" w:type="dxa"/>
        <w:left w:w="0" w:type="dxa"/>
        <w:bottom w:w="0" w:type="dxa"/>
        <w:right w:w="0" w:type="dxa"/>
      </w:tblCellMar>
    </w:tblPr>
  </w:style>
  <w:style w:type="character" w:customStyle="1" w:styleId="48">
    <w:name w:val="正文文本 字符"/>
    <w:basedOn w:val="34"/>
    <w:link w:val="13"/>
    <w:autoRedefine/>
    <w:qFormat/>
    <w:uiPriority w:val="1"/>
    <w:rPr>
      <w:rFonts w:ascii="宋体" w:hAnsi="Times New Roman" w:eastAsia="宋体" w:cs="宋体"/>
      <w:kern w:val="0"/>
      <w:szCs w:val="21"/>
    </w:rPr>
  </w:style>
  <w:style w:type="character" w:customStyle="1" w:styleId="49">
    <w:name w:val="批注框文本 字符"/>
    <w:basedOn w:val="34"/>
    <w:link w:val="20"/>
    <w:autoRedefine/>
    <w:semiHidden/>
    <w:qFormat/>
    <w:uiPriority w:val="99"/>
    <w:rPr>
      <w:rFonts w:ascii="Calibri" w:hAnsi="Calibri" w:eastAsia="Calibri" w:cs="Calibri"/>
      <w:color w:val="000000"/>
      <w:sz w:val="18"/>
      <w:szCs w:val="18"/>
    </w:rPr>
  </w:style>
  <w:style w:type="paragraph" w:customStyle="1" w:styleId="50">
    <w:name w:val="样式1"/>
    <w:basedOn w:val="1"/>
    <w:link w:val="51"/>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51">
    <w:name w:val="样式1 字符"/>
    <w:basedOn w:val="34"/>
    <w:link w:val="50"/>
    <w:autoRedefine/>
    <w:qFormat/>
    <w:uiPriority w:val="0"/>
    <w:rPr>
      <w:rFonts w:ascii="Times New Roman" w:hAnsi="Times New Roman" w:eastAsia="Times New Roman" w:cs="Times New Roman"/>
      <w:u w:val="single" w:color="000000"/>
    </w:rPr>
  </w:style>
  <w:style w:type="paragraph" w:styleId="52">
    <w:name w:val="List Paragraph"/>
    <w:basedOn w:val="1"/>
    <w:autoRedefine/>
    <w:qFormat/>
    <w:uiPriority w:val="34"/>
    <w:pPr>
      <w:ind w:firstLine="420" w:firstLineChars="200"/>
    </w:pPr>
  </w:style>
  <w:style w:type="character" w:customStyle="1" w:styleId="53">
    <w:name w:val="页脚 字符1"/>
    <w:link w:val="21"/>
    <w:autoRedefine/>
    <w:qFormat/>
    <w:uiPriority w:val="99"/>
    <w:rPr>
      <w:rFonts w:ascii="Times New Roman" w:hAnsi="Times New Roman" w:eastAsia="宋体" w:cs="Times New Roman"/>
      <w:sz w:val="18"/>
      <w:szCs w:val="18"/>
    </w:rPr>
  </w:style>
  <w:style w:type="character" w:customStyle="1" w:styleId="54">
    <w:name w:val="页脚 字符"/>
    <w:basedOn w:val="34"/>
    <w:autoRedefine/>
    <w:qFormat/>
    <w:uiPriority w:val="99"/>
    <w:rPr>
      <w:rFonts w:ascii="Calibri" w:hAnsi="Calibri" w:eastAsia="Calibri" w:cs="Calibri"/>
      <w:color w:val="000000"/>
      <w:sz w:val="18"/>
      <w:szCs w:val="18"/>
    </w:rPr>
  </w:style>
  <w:style w:type="character" w:customStyle="1" w:styleId="55">
    <w:name w:val="未处理的提及1"/>
    <w:basedOn w:val="34"/>
    <w:autoRedefine/>
    <w:semiHidden/>
    <w:unhideWhenUsed/>
    <w:qFormat/>
    <w:uiPriority w:val="99"/>
    <w:rPr>
      <w:color w:val="605E5C"/>
      <w:shd w:val="clear" w:color="auto" w:fill="E1DFDD"/>
    </w:rPr>
  </w:style>
  <w:style w:type="character" w:customStyle="1" w:styleId="56">
    <w:name w:val="页眉 字符"/>
    <w:basedOn w:val="34"/>
    <w:link w:val="22"/>
    <w:autoRedefine/>
    <w:qFormat/>
    <w:uiPriority w:val="99"/>
    <w:rPr>
      <w:rFonts w:ascii="Calibri" w:hAnsi="Calibri" w:eastAsia="Calibri" w:cs="Calibri"/>
      <w:color w:val="000000"/>
      <w:sz w:val="18"/>
      <w:szCs w:val="18"/>
    </w:rPr>
  </w:style>
  <w:style w:type="character" w:customStyle="1" w:styleId="57">
    <w:name w:val="批注文字 字符"/>
    <w:basedOn w:val="34"/>
    <w:link w:val="12"/>
    <w:autoRedefine/>
    <w:qFormat/>
    <w:uiPriority w:val="99"/>
    <w:rPr>
      <w:rFonts w:ascii="Calibri" w:hAnsi="Calibri" w:eastAsia="Calibri" w:cs="Calibri"/>
      <w:color w:val="000000"/>
      <w:sz w:val="22"/>
    </w:rPr>
  </w:style>
  <w:style w:type="character" w:customStyle="1" w:styleId="58">
    <w:name w:val="批注主题 字符"/>
    <w:basedOn w:val="57"/>
    <w:link w:val="29"/>
    <w:autoRedefine/>
    <w:semiHidden/>
    <w:qFormat/>
    <w:uiPriority w:val="99"/>
    <w:rPr>
      <w:rFonts w:ascii="Calibri" w:hAnsi="Calibri" w:eastAsia="Calibri" w:cs="Calibri"/>
      <w:b/>
      <w:bCs/>
      <w:color w:val="000000"/>
      <w:sz w:val="22"/>
    </w:rPr>
  </w:style>
  <w:style w:type="paragraph" w:customStyle="1" w:styleId="59">
    <w:name w:val="Table Paragraph"/>
    <w:basedOn w:val="1"/>
    <w:autoRedefine/>
    <w:qFormat/>
    <w:uiPriority w:val="1"/>
  </w:style>
  <w:style w:type="paragraph" w:customStyle="1" w:styleId="60">
    <w:name w:val="样式 标题 3 + (中文) 黑体 小四 非加粗 段前: 7.8 磅 段后: 0 磅 行距: 固定值 20 磅"/>
    <w:basedOn w:val="5"/>
    <w:autoRedefine/>
    <w:qFormat/>
    <w:uiPriority w:val="0"/>
    <w:pPr>
      <w:spacing w:after="0" w:line="400" w:lineRule="exact"/>
    </w:pPr>
    <w:rPr>
      <w:rFonts w:cs="宋体"/>
      <w:sz w:val="24"/>
      <w:szCs w:val="20"/>
    </w:rPr>
  </w:style>
  <w:style w:type="paragraph" w:customStyle="1" w:styleId="61">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2">
    <w:name w:val="未处理的提及2"/>
    <w:basedOn w:val="34"/>
    <w:autoRedefine/>
    <w:semiHidden/>
    <w:unhideWhenUsed/>
    <w:qFormat/>
    <w:uiPriority w:val="99"/>
    <w:rPr>
      <w:color w:val="605E5C"/>
      <w:shd w:val="clear" w:color="auto" w:fill="E1DFDD"/>
    </w:rPr>
  </w:style>
  <w:style w:type="character" w:customStyle="1" w:styleId="63">
    <w:name w:val="未处理的提及3"/>
    <w:basedOn w:val="34"/>
    <w:autoRedefine/>
    <w:semiHidden/>
    <w:unhideWhenUsed/>
    <w:qFormat/>
    <w:uiPriority w:val="99"/>
    <w:rPr>
      <w:color w:val="605E5C"/>
      <w:shd w:val="clear" w:color="auto" w:fill="E1DFDD"/>
    </w:rPr>
  </w:style>
  <w:style w:type="paragraph" w:customStyle="1" w:styleId="64">
    <w:name w:val="BodyText"/>
    <w:basedOn w:val="1"/>
    <w:autoRedefine/>
    <w:qFormat/>
    <w:uiPriority w:val="0"/>
    <w:pPr>
      <w:spacing w:line="240" w:lineRule="atLeast"/>
      <w:textAlignment w:val="baseline"/>
    </w:pPr>
    <w:rPr>
      <w:rFonts w:eastAsia="小标宋"/>
      <w:sz w:val="44"/>
    </w:rPr>
  </w:style>
  <w:style w:type="paragraph" w:customStyle="1" w:styleId="65">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7">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8">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9">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70">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3127</Words>
  <Characters>3453</Characters>
  <Lines>83</Lines>
  <Paragraphs>23</Paragraphs>
  <TotalTime>0</TotalTime>
  <ScaleCrop>false</ScaleCrop>
  <LinksUpToDate>false</LinksUpToDate>
  <CharactersWithSpaces>3499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2023-05-06T15:10:00Z</dcterms:created>
  <dc:creator>袁静</dc:creator>
  <cp:lastModifiedBy>岳成林</cp:lastModifiedBy>
  <cp:lastPrinted>2026-04-10T00:58:00Z</cp:lastPrinted>
  <dcterms:modified xsi:type="dcterms:W3CDTF">2026-05-22T06:56:37Z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3FE96084A80C42299975D829CCA67FD8_13</vt:lpwstr>
  </property>
  <property fmtid="{D5CDD505-2E9C-101B-9397-08002B2CF9AE}" pid="4" name="KSOTemplateDocerSaveRecord">
    <vt:lpwstr>eyJoZGlkIjoiYjk2MGUyMzFiZjk1YTE5MTNhNTUzZmQ4YWZlN2M3YjgiLCJ1c2VySWQiOiIxNjM0OTc3Mjk5In0=</vt:lpwstr>
  </property>
</Properties>
</file>