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关于与陕西某民营企业相关纠纷法律服务项目</w:t>
      </w:r>
    </w:p>
    <w:p w14:paraId="5C23808C">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2"/>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2"/>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2"/>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1"/>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2"/>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30100"/>
      <w:bookmarkStart w:id="1" w:name="_Toc12131"/>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2"/>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3"/>
        <w:spacing w:after="0" w:line="560" w:lineRule="exact"/>
        <w:ind w:left="0" w:right="0" w:firstLine="0"/>
        <w:rPr>
          <w:rFonts w:ascii="仿宋" w:hAnsi="仿宋" w:eastAsia="仿宋" w:cs="Times New Roman"/>
          <w:sz w:val="28"/>
          <w:szCs w:val="28"/>
          <w:highlight w:val="none"/>
        </w:rPr>
      </w:pPr>
      <w:bookmarkStart w:id="2" w:name="_Toc15280"/>
      <w:bookmarkStart w:id="3" w:name="_Toc2910"/>
      <w:bookmarkStart w:id="4" w:name="_Toc118752"/>
      <w:bookmarkStart w:id="5" w:name="_Toc114620"/>
    </w:p>
    <w:p w14:paraId="09514119">
      <w:pPr>
        <w:pStyle w:val="2"/>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2"/>
        <w:spacing w:line="560" w:lineRule="exact"/>
        <w:rPr>
          <w:rFonts w:hint="eastAsia" w:ascii="仿宋" w:hAnsi="仿宋" w:eastAsia="仿宋" w:cs="Times New Roman"/>
          <w:sz w:val="28"/>
          <w:szCs w:val="28"/>
          <w:highlight w:val="none"/>
          <w:lang w:eastAsia="zh-CN"/>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6</w:t>
      </w:r>
    </w:p>
    <w:p w14:paraId="73C9A7F9">
      <w:pPr>
        <w:pStyle w:val="2"/>
        <w:spacing w:line="560" w:lineRule="exact"/>
        <w:rPr>
          <w:rFonts w:hint="eastAsia" w:ascii="仿宋" w:hAnsi="仿宋" w:eastAsia="仿宋" w:cs="Times New Roman"/>
          <w:sz w:val="28"/>
          <w:szCs w:val="28"/>
          <w:highlight w:val="none"/>
          <w:lang w:eastAsia="zh-CN"/>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9</w:t>
      </w:r>
    </w:p>
    <w:p w14:paraId="34C92914">
      <w:pPr>
        <w:pStyle w:val="2"/>
        <w:spacing w:line="560" w:lineRule="exact"/>
        <w:rPr>
          <w:rFonts w:hint="eastAsia" w:ascii="仿宋" w:hAnsi="仿宋" w:eastAsia="仿宋" w:cs="Times New Roman"/>
          <w:sz w:val="28"/>
          <w:szCs w:val="28"/>
          <w:highlight w:val="none"/>
          <w:lang w:eastAsia="zh-CN"/>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2</w:t>
      </w:r>
    </w:p>
    <w:p w14:paraId="234136E8">
      <w:pPr>
        <w:pStyle w:val="2"/>
        <w:spacing w:line="560" w:lineRule="exact"/>
        <w:rPr>
          <w:rFonts w:hint="default" w:ascii="仿宋" w:hAnsi="仿宋" w:eastAsia="仿宋" w:cs="Times New Roman"/>
          <w:sz w:val="28"/>
          <w:szCs w:val="28"/>
          <w:highlight w:val="none"/>
          <w:lang w:val="en-US" w:eastAsia="zh-CN"/>
        </w:rPr>
      </w:pPr>
      <w:r>
        <w:rPr>
          <w:rStyle w:val="37"/>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7"/>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20</w:t>
      </w:r>
      <w:bookmarkStart w:id="61" w:name="_GoBack"/>
      <w:bookmarkEnd w:id="61"/>
    </w:p>
    <w:p w14:paraId="73BEB3D4">
      <w:pPr>
        <w:pStyle w:val="3"/>
        <w:spacing w:after="0" w:line="240" w:lineRule="auto"/>
        <w:ind w:left="0" w:right="0" w:firstLine="0"/>
        <w:rPr>
          <w:rFonts w:ascii="仿宋" w:hAnsi="仿宋" w:eastAsia="仿宋" w:cs="Times New Roman"/>
          <w:sz w:val="28"/>
          <w:szCs w:val="28"/>
          <w:highlight w:val="none"/>
        </w:rPr>
      </w:pPr>
    </w:p>
    <w:p w14:paraId="58A6D580">
      <w:pPr>
        <w:pStyle w:val="3"/>
        <w:spacing w:after="0" w:line="240" w:lineRule="auto"/>
        <w:ind w:left="0" w:right="0" w:firstLine="0"/>
        <w:rPr>
          <w:rFonts w:ascii="仿宋" w:hAnsi="仿宋" w:eastAsia="仿宋" w:cs="Times New Roman"/>
          <w:sz w:val="28"/>
          <w:szCs w:val="28"/>
          <w:highlight w:val="none"/>
        </w:rPr>
      </w:pPr>
    </w:p>
    <w:p w14:paraId="0FB89153">
      <w:pPr>
        <w:pStyle w:val="3"/>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3"/>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color w:val="auto"/>
          <w:kern w:val="0"/>
          <w:sz w:val="28"/>
          <w:szCs w:val="28"/>
          <w:highlight w:val="none"/>
          <w:u w:val="single"/>
          <w:lang w:val="en-US" w:eastAsia="zh-CN"/>
        </w:rPr>
        <w:t>与</w:t>
      </w:r>
      <w:r>
        <w:rPr>
          <w:rFonts w:hint="eastAsia" w:ascii="仿宋" w:hAnsi="仿宋" w:eastAsia="仿宋" w:cs="Times New Roman"/>
          <w:b/>
          <w:bCs/>
          <w:color w:val="auto"/>
          <w:kern w:val="0"/>
          <w:sz w:val="28"/>
          <w:szCs w:val="28"/>
          <w:highlight w:val="none"/>
          <w:u w:val="single"/>
        </w:rPr>
        <w:t>陕西某民营企业相关纠纷法律服务项目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28409"/>
      <w:bookmarkStart w:id="7" w:name="_Toc118754"/>
      <w:bookmarkStart w:id="8" w:name="_Toc18180"/>
      <w:bookmarkStart w:id="9" w:name="_Toc128141189"/>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四川蜀物兴川物流发展有限公司关于与某</w:t>
      </w:r>
      <w:r>
        <w:rPr>
          <w:rFonts w:hint="eastAsia" w:ascii="仿宋" w:hAnsi="仿宋" w:eastAsia="仿宋" w:cs="Times New Roman"/>
          <w:color w:val="auto"/>
          <w:kern w:val="0"/>
          <w:sz w:val="28"/>
          <w:szCs w:val="28"/>
          <w:highlight w:val="none"/>
          <w:lang w:eastAsia="zh-CN"/>
        </w:rPr>
        <w:t>陕西某民营企业</w:t>
      </w:r>
      <w:r>
        <w:rPr>
          <w:rFonts w:hint="eastAsia" w:ascii="仿宋" w:hAnsi="仿宋" w:eastAsia="仿宋" w:cs="Times New Roman"/>
          <w:color w:val="auto"/>
          <w:kern w:val="0"/>
          <w:sz w:val="28"/>
          <w:szCs w:val="28"/>
          <w:highlight w:val="none"/>
        </w:rPr>
        <w:t>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35</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2.1.2.1立案阶段不超过1.75万元；</w:t>
      </w:r>
    </w:p>
    <w:p w14:paraId="36B1AB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2.1.2.2审理阶段不超过1.75万元；</w:t>
      </w:r>
    </w:p>
    <w:p w14:paraId="5744581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2.1.2.3执行阶段不超过31.5万元。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rPr>
        <w:t>陕西某民营企业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债权债务抵销前标的金额约为1.9亿元，若债权债务抵销权行使后标的金额约为7262万元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成都市锦江区</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0250781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（1）全面分析案情，对相关事实与法律问题进行深入分析与研究；</w:t>
      </w:r>
    </w:p>
    <w:p w14:paraId="7B57F05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（2）梳理案件的证据资料，制定诉讼方案和策略；</w:t>
      </w:r>
    </w:p>
    <w:p w14:paraId="4282B88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（3）准备草拟答辩状、代理词、证据清单等法律文书；</w:t>
      </w:r>
    </w:p>
    <w:p w14:paraId="140AB20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（4）代理与本案相关的一审、二审、再审（若有）案件庭审（含反诉）；</w:t>
      </w:r>
    </w:p>
    <w:p w14:paraId="0485C26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（5）向法院递交相应的文书和资料、领取法院的相关法律文书；</w:t>
      </w:r>
    </w:p>
    <w:p w14:paraId="1CF33B7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（6）受</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委托参加可能发生的诉讼程序、谈判、和解、调解活动，就调解、和解方案提出意见，并出具书面的法律意见书；</w:t>
      </w:r>
    </w:p>
    <w:p w14:paraId="731474E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（7）提起上诉，拟定上诉状，参加应诉工作；</w:t>
      </w:r>
    </w:p>
    <w:p w14:paraId="3E56A4E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（8）在代理合同签订后10个工作日内，向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就案件基本情况、诉讼策略、可能存在争议焦点及类案检索提交正式书面报告。</w:t>
      </w:r>
    </w:p>
    <w:p w14:paraId="77253D3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（9）代理案件执行工作；</w:t>
      </w:r>
    </w:p>
    <w:p w14:paraId="385A4AB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 xml:space="preserve">（10）其他与案件相关的法律事务。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30467"/>
      <w:bookmarkStart w:id="11" w:name="_Toc118755"/>
      <w:bookmarkStart w:id="12" w:name="_Toc128141190"/>
      <w:bookmarkStart w:id="13" w:name="_Toc8468"/>
      <w:r>
        <w:rPr>
          <w:rFonts w:ascii="仿宋" w:hAnsi="仿宋" w:eastAsia="仿宋" w:cs="Times New Roman"/>
          <w:color w:val="auto"/>
          <w:kern w:val="0"/>
          <w:sz w:val="28"/>
          <w:szCs w:val="28"/>
          <w:highlight w:val="none"/>
        </w:rPr>
        <w:t>2.5项目概述：</w:t>
      </w:r>
    </w:p>
    <w:p w14:paraId="3BBB41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2024年，</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与陕西某民营企业（以下简称“对方公司”）签订多份购销合同，开展大宗商品贸易合作。合作模式为：</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向对方公司销售原材料（已履行完毕，双方结算确认对方公司欠付</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货款约1.9亿元）；同时，</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向对方公司采购产成品（尚未完全办理结算，双方就结算单价存在争议）。</w:t>
      </w:r>
    </w:p>
    <w:p w14:paraId="518DE0F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目前，对方公司未按约定向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支付到期原材料货款，且双方就产成品结算价格无法达成一致。</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拟通过法律途径主张原材料货款，并就产成品货款行使抵销权，请求法院确认抵销效力及具体金额，同时对其应收账款进行清收。</w:t>
      </w:r>
    </w:p>
    <w:p w14:paraId="0BB6659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该案件涉及</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和对方公司互为买卖关系及抵销权行使，以及主张对方公司开具产成品销售发票，具有一定复杂性。</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项目负责人仅需1名</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/协办律师的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3658"/>
      <w:bookmarkStart w:id="15" w:name="_Toc15490"/>
      <w:bookmarkStart w:id="16" w:name="_Toc118756"/>
      <w:bookmarkStart w:id="17" w:name="_Toc128141191"/>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16</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0：00</w:t>
      </w:r>
      <w:r>
        <w:rPr>
          <w:rFonts w:ascii="仿宋" w:hAnsi="仿宋" w:eastAsia="仿宋" w:cs="Times New Roman"/>
          <w:color w:val="auto"/>
          <w:kern w:val="0"/>
          <w:sz w:val="28"/>
          <w:szCs w:val="28"/>
          <w:highlight w:val="none"/>
        </w:rPr>
        <w:t>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17101"/>
      <w:bookmarkStart w:id="19" w:name="_Toc10949"/>
      <w:bookmarkStart w:id="20" w:name="_Toc6668"/>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分，地点为成都市青羊区光华北五路266号青羊总部经济基地2栋A座11楼</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不接受邮寄投标</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44"/>
      <w:bookmarkStart w:id="22" w:name="_Toc11556"/>
      <w:bookmarkStart w:id="23" w:name="_Toc3060"/>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1E5079D3">
      <w:pPr>
        <w:pStyle w:val="31"/>
      </w:pPr>
    </w:p>
    <w:p w14:paraId="204EB4A5">
      <w:pPr>
        <w:pStyle w:val="31"/>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16</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5D403DD1">
      <w:pPr>
        <w:pStyle w:val="3"/>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7"/>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w:t>
            </w:r>
            <w:r>
              <w:rPr>
                <w:rFonts w:hint="eastAsia" w:ascii="仿宋" w:hAnsi="仿宋" w:eastAsia="仿宋" w:cs="仿宋_GB2312"/>
                <w:color w:val="auto"/>
                <w:kern w:val="0"/>
                <w:sz w:val="24"/>
                <w:szCs w:val="24"/>
                <w:highlight w:val="none"/>
                <w:lang w:val="en-US" w:eastAsia="zh-CN"/>
              </w:rPr>
              <w:t>与</w:t>
            </w:r>
            <w:r>
              <w:rPr>
                <w:rFonts w:hint="eastAsia" w:ascii="仿宋" w:hAnsi="仿宋" w:eastAsia="仿宋" w:cs="仿宋_GB2312"/>
                <w:color w:val="auto"/>
                <w:kern w:val="0"/>
                <w:sz w:val="24"/>
                <w:szCs w:val="24"/>
                <w:highlight w:val="none"/>
              </w:rPr>
              <w:t>陕西某民营企业相关纠纷法律服务项目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成都市锦江区</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被告：陕西某民营企业;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w:t>
            </w:r>
            <w:r>
              <w:rPr>
                <w:rFonts w:hint="default" w:ascii="仿宋" w:hAnsi="仿宋" w:eastAsia="仿宋" w:cs="仿宋_GB2312"/>
                <w:color w:val="auto"/>
                <w:kern w:val="0"/>
                <w:sz w:val="24"/>
                <w:szCs w:val="24"/>
                <w:highlight w:val="none"/>
                <w:lang w:val="en-US" w:eastAsia="zh-CN"/>
              </w:rPr>
              <w:t>债权债务抵销前标的金额约为1.9亿元，若债权债务抵销权行使后标的金额约为7262万元</w:t>
            </w:r>
            <w:r>
              <w:rPr>
                <w:rFonts w:hint="eastAsia" w:ascii="仿宋" w:hAnsi="仿宋" w:eastAsia="仿宋" w:cs="仿宋_GB2312"/>
                <w:color w:val="auto"/>
                <w:kern w:val="0"/>
                <w:sz w:val="24"/>
                <w:szCs w:val="24"/>
                <w:highlight w:val="none"/>
              </w:rPr>
              <w:t>（涉诉金额可能变化，以实际为准）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三名熟悉买卖合同纠纷案件的专职律师承办本案（项目负责人仅需1名），其中项目负责人的律师执业年限在5（含）以上，主办律师/协办律师的律师执业年限在3年（含）以上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r>
              <w:rPr>
                <w:rFonts w:hint="eastAsia" w:ascii="仿宋" w:hAnsi="仿宋" w:eastAsia="仿宋" w:cs="仿宋_GB2312"/>
                <w:color w:val="auto"/>
                <w:kern w:val="0"/>
                <w:sz w:val="24"/>
                <w:szCs w:val="24"/>
                <w:highlight w:val="none"/>
                <w:lang w:val="en-US" w:eastAsia="zh-CN"/>
              </w:rPr>
              <w:t>且各阶段</w:t>
            </w:r>
            <w:r>
              <w:rPr>
                <w:rFonts w:hint="eastAsia" w:ascii="仿宋" w:hAnsi="仿宋" w:eastAsia="仿宋" w:cs="仿宋_GB2312"/>
                <w:color w:val="auto"/>
                <w:kern w:val="0"/>
                <w:sz w:val="24"/>
                <w:szCs w:val="24"/>
                <w:highlight w:val="none"/>
              </w:rPr>
              <w:t>报价</w:t>
            </w:r>
            <w:r>
              <w:rPr>
                <w:rFonts w:hint="eastAsia" w:ascii="仿宋" w:hAnsi="仿宋" w:eastAsia="仿宋" w:cs="仿宋_GB2312"/>
                <w:color w:val="auto"/>
                <w:kern w:val="0"/>
                <w:sz w:val="24"/>
                <w:szCs w:val="24"/>
                <w:highlight w:val="none"/>
                <w:lang w:val="en-US" w:eastAsia="zh-CN"/>
              </w:rPr>
              <w:t>均</w:t>
            </w:r>
            <w:r>
              <w:rPr>
                <w:rFonts w:hint="eastAsia" w:ascii="仿宋" w:hAnsi="仿宋" w:eastAsia="仿宋" w:cs="仿宋_GB2312"/>
                <w:color w:val="auto"/>
                <w:kern w:val="0"/>
                <w:sz w:val="24"/>
                <w:szCs w:val="24"/>
                <w:highlight w:val="none"/>
              </w:rPr>
              <w:t>不得超过</w:t>
            </w:r>
            <w:r>
              <w:rPr>
                <w:rFonts w:hint="eastAsia" w:ascii="仿宋" w:hAnsi="仿宋" w:eastAsia="仿宋" w:cs="仿宋_GB2312"/>
                <w:color w:val="auto"/>
                <w:kern w:val="0"/>
                <w:sz w:val="24"/>
                <w:szCs w:val="24"/>
                <w:highlight w:val="none"/>
                <w:lang w:val="en-US" w:eastAsia="zh-CN"/>
              </w:rPr>
              <w:t>对应阶段的</w:t>
            </w:r>
            <w:r>
              <w:rPr>
                <w:rFonts w:hint="eastAsia" w:ascii="仿宋" w:hAnsi="仿宋" w:eastAsia="仿宋" w:cs="仿宋_GB2312"/>
                <w:color w:val="auto"/>
                <w:kern w:val="0"/>
                <w:sz w:val="24"/>
                <w:szCs w:val="24"/>
                <w:highlight w:val="none"/>
              </w:rPr>
              <w:t>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val="en-US" w:eastAsia="zh-CN"/>
              </w:rPr>
              <w:t>35万元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35A342EE">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四川蜀物兴川物流发展有限公司关于</w:t>
            </w:r>
            <w:r>
              <w:rPr>
                <w:rFonts w:hint="eastAsia" w:ascii="仿宋" w:hAnsi="仿宋" w:eastAsia="仿宋" w:cs="仿宋_GB2312"/>
                <w:color w:val="auto"/>
                <w:kern w:val="0"/>
                <w:sz w:val="24"/>
                <w:szCs w:val="24"/>
                <w:highlight w:val="none"/>
                <w:lang w:val="en-US" w:eastAsia="zh-CN"/>
              </w:rPr>
              <w:t>与</w:t>
            </w:r>
            <w:r>
              <w:rPr>
                <w:rFonts w:hint="eastAsia" w:ascii="仿宋" w:hAnsi="仿宋" w:eastAsia="仿宋" w:cs="仿宋_GB2312"/>
                <w:color w:val="auto"/>
                <w:kern w:val="0"/>
                <w:sz w:val="24"/>
                <w:szCs w:val="24"/>
                <w:highlight w:val="none"/>
              </w:rPr>
              <w:t>陕西某民营企业相关纠纷法律服务项目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2"/>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2"/>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2026年6月18日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10701"/>
      <w:bookmarkStart w:id="27" w:name="_Toc32563"/>
    </w:p>
    <w:p w14:paraId="67E47F18">
      <w:pPr>
        <w:rPr>
          <w:rFonts w:ascii="仿宋" w:hAnsi="仿宋" w:eastAsia="仿宋" w:cs="Times New Roman"/>
          <w:color w:val="auto"/>
          <w:sz w:val="32"/>
          <w:szCs w:val="32"/>
          <w:highlight w:val="none"/>
        </w:rPr>
        <w:sectPr>
          <w:footerReference r:id="rId6"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7"/>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8141260"/>
            <w:bookmarkStart w:id="29" w:name="_Toc12754"/>
            <w:bookmarkStart w:id="30" w:name="_Toc17543"/>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2"/>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在满足本比选文件资格要求（1名项目负责人、2名主办律师/协办律师）基础上，主办</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项目负责人、主办律师、协办律师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45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45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w:t>
            </w:r>
            <w:r>
              <w:rPr>
                <w:rFonts w:hint="eastAsia" w:ascii="仿宋" w:hAnsi="仿宋" w:eastAsia="仿宋" w:cs="仿宋_GB2312"/>
                <w:color w:val="auto"/>
                <w:sz w:val="21"/>
                <w:szCs w:val="21"/>
                <w:highlight w:val="none"/>
                <w:lang w:val="en-US" w:eastAsia="zh-CN"/>
              </w:rPr>
              <w:t>合同</w:t>
            </w:r>
            <w:r>
              <w:rPr>
                <w:rFonts w:ascii="仿宋" w:hAnsi="仿宋" w:eastAsia="仿宋" w:cs="仿宋_GB2312"/>
                <w:color w:val="auto"/>
                <w:sz w:val="21"/>
                <w:szCs w:val="21"/>
                <w:highlight w:val="none"/>
              </w:rPr>
              <w:t>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36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45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26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35</w:t>
            </w:r>
            <w:r>
              <w:rPr>
                <w:rFonts w:ascii="仿宋" w:hAnsi="仿宋" w:eastAsia="仿宋" w:cs="仿宋_GB2312"/>
                <w:color w:val="auto"/>
                <w:sz w:val="21"/>
                <w:szCs w:val="21"/>
                <w:highlight w:val="none"/>
              </w:rPr>
              <w:t xml:space="preserve"> 分 一般：</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3"/>
        <w:spacing w:after="0" w:line="240" w:lineRule="auto"/>
        <w:ind w:left="0" w:right="0" w:firstLine="0"/>
        <w:rPr>
          <w:rFonts w:ascii="仿宋" w:hAnsi="仿宋" w:eastAsia="仿宋" w:cs="Times New Roman"/>
          <w:color w:val="auto"/>
          <w:szCs w:val="32"/>
          <w:highlight w:val="none"/>
        </w:rPr>
      </w:pPr>
      <w:bookmarkStart w:id="31" w:name="_Toc15253"/>
      <w:bookmarkStart w:id="32" w:name="_Toc10424"/>
      <w:bookmarkStart w:id="33" w:name="_Toc950"/>
      <w:bookmarkStart w:id="34" w:name="_Toc16485"/>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E78AE0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6BA5A314">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782782D0">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00A18C6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5FD020A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011DC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6B9C0D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rPr>
        <w:t>某</w:t>
      </w:r>
      <w:r>
        <w:rPr>
          <w:rFonts w:hint="eastAsia" w:ascii="仿宋" w:hAnsi="仿宋" w:eastAsia="仿宋" w:cs="Times New Roman"/>
          <w:color w:val="auto"/>
          <w:sz w:val="21"/>
          <w:szCs w:val="21"/>
          <w:highlight w:val="none"/>
          <w:lang w:eastAsia="zh-CN"/>
        </w:rPr>
        <w:t>陕西某民营企业</w:t>
      </w:r>
      <w:r>
        <w:rPr>
          <w:rFonts w:ascii="仿宋" w:hAnsi="仿宋" w:eastAsia="仿宋" w:cs="Times New Roman"/>
          <w:color w:val="auto"/>
          <w:sz w:val="21"/>
          <w:szCs w:val="21"/>
          <w:highlight w:val="none"/>
        </w:rPr>
        <w:t>，现乙方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4485543E">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（1）全面分析案情，对相关事实与法律问题进行深入分析与研究；</w:t>
      </w:r>
    </w:p>
    <w:p w14:paraId="7CAE8172">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（2）梳理案件的证据资料，制定诉讼方案和策略；</w:t>
      </w:r>
    </w:p>
    <w:p w14:paraId="14F69CA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（3）准备草拟答辩状、代理词、证据清单等法律文书；</w:t>
      </w:r>
    </w:p>
    <w:p w14:paraId="5ECCF3D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（4）代理与本案相关的一审、二审、再审（若有）案件庭审（含反诉）；</w:t>
      </w:r>
    </w:p>
    <w:p w14:paraId="76441A3D">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（5）向法院递交相应的文书和资料、领取法院的相关法律文书；</w:t>
      </w:r>
    </w:p>
    <w:p w14:paraId="2D9077BB">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（6）受</w:t>
      </w:r>
      <w:r>
        <w:rPr>
          <w:rFonts w:hint="eastAsia" w:ascii="仿宋" w:hAnsi="仿宋" w:eastAsia="仿宋" w:cs="Times New Roman"/>
          <w:color w:val="auto"/>
          <w:sz w:val="21"/>
          <w:szCs w:val="21"/>
          <w:highlight w:val="none"/>
          <w:lang w:eastAsia="zh-CN"/>
        </w:rPr>
        <w:t>比选人</w:t>
      </w:r>
      <w:r>
        <w:rPr>
          <w:rFonts w:hint="eastAsia" w:ascii="仿宋" w:hAnsi="仿宋" w:eastAsia="仿宋" w:cs="Times New Roman"/>
          <w:color w:val="auto"/>
          <w:sz w:val="21"/>
          <w:szCs w:val="21"/>
          <w:highlight w:val="none"/>
        </w:rPr>
        <w:t>委托参加可能发生的诉讼程序、谈判、和解、调解活动，就调解、和解方案提出意见，并出具书面的法律意见书；</w:t>
      </w:r>
    </w:p>
    <w:p w14:paraId="3B50B81D">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（7）提起上诉，拟定上诉状，参加应诉工作；</w:t>
      </w:r>
    </w:p>
    <w:p w14:paraId="705D1694">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（8）在代理合同签订后10个工作日内，向</w:t>
      </w:r>
      <w:r>
        <w:rPr>
          <w:rFonts w:hint="eastAsia" w:ascii="仿宋" w:hAnsi="仿宋" w:eastAsia="仿宋" w:cs="Times New Roman"/>
          <w:color w:val="auto"/>
          <w:sz w:val="21"/>
          <w:szCs w:val="21"/>
          <w:highlight w:val="none"/>
          <w:lang w:eastAsia="zh-CN"/>
        </w:rPr>
        <w:t>比选人</w:t>
      </w:r>
      <w:r>
        <w:rPr>
          <w:rFonts w:hint="eastAsia" w:ascii="仿宋" w:hAnsi="仿宋" w:eastAsia="仿宋" w:cs="Times New Roman"/>
          <w:color w:val="auto"/>
          <w:sz w:val="21"/>
          <w:szCs w:val="21"/>
          <w:highlight w:val="none"/>
        </w:rPr>
        <w:t>就案件基本情况、诉讼策略、可能存在争议焦点及类案检索提交正式书面报告。</w:t>
      </w:r>
    </w:p>
    <w:p w14:paraId="492DEB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1B19C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27739C1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10D74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77E5393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5E30761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06E3FC7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10F9065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116C53C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35C9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69AA8F2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6BF64FA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1AC7F8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75708A6C">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w:t>
      </w:r>
      <w:r>
        <w:rPr>
          <w:rFonts w:hint="eastAsia" w:ascii="仿宋" w:hAnsi="仿宋" w:eastAsia="仿宋" w:cs="Times New Roman"/>
          <w:color w:val="auto"/>
          <w:sz w:val="21"/>
          <w:szCs w:val="21"/>
          <w:highlight w:val="none"/>
          <w:lang w:val="en-US" w:eastAsia="zh-CN"/>
        </w:rPr>
        <w:t>立案阶段</w:t>
      </w:r>
      <w:r>
        <w:rPr>
          <w:rFonts w:hint="eastAsia" w:ascii="仿宋" w:hAnsi="仿宋" w:eastAsia="仿宋" w:cs="Times New Roman"/>
          <w:color w:val="auto"/>
          <w:sz w:val="21"/>
          <w:szCs w:val="21"/>
          <w:highlight w:val="none"/>
        </w:rPr>
        <w:t>：【】万元。甲方在收到法院立案通知书（先行调解书）且收到乙方全额增值税专用发票后15日内支付</w:t>
      </w: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万元</w:t>
      </w:r>
      <w:r>
        <w:rPr>
          <w:rFonts w:hint="eastAsia" w:ascii="仿宋" w:hAnsi="仿宋" w:eastAsia="仿宋" w:cs="Times New Roman"/>
          <w:color w:val="auto"/>
          <w:sz w:val="21"/>
          <w:szCs w:val="21"/>
          <w:highlight w:val="none"/>
        </w:rPr>
        <w:t>。</w:t>
      </w:r>
    </w:p>
    <w:p w14:paraId="76D000AE">
      <w:pPr>
        <w:spacing w:line="400" w:lineRule="exact"/>
        <w:ind w:firstLine="420" w:firstLineChars="200"/>
        <w:rPr>
          <w:rFonts w:hint="default"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2.审理阶段：【】万元，该部分代理费计算标准为：取得胜诉的生效法律裁判文书且按判决货款本金金额占比原货款金额比例为系数，审理阶段费用为基数计算支付该部分代理费，</w:t>
      </w:r>
      <w:r>
        <w:rPr>
          <w:rFonts w:hint="eastAsia" w:ascii="仿宋" w:hAnsi="仿宋" w:eastAsia="仿宋" w:cs="Times New Roman"/>
          <w:color w:val="auto"/>
          <w:sz w:val="21"/>
          <w:szCs w:val="21"/>
          <w:highlight w:val="none"/>
        </w:rPr>
        <w:t>甲方收到乙方开具正式的发票后【15】个工作日内支付风险代理费</w:t>
      </w:r>
      <w:r>
        <w:rPr>
          <w:rFonts w:hint="eastAsia" w:ascii="仿宋" w:hAnsi="仿宋" w:eastAsia="仿宋" w:cs="Times New Roman"/>
          <w:color w:val="auto"/>
          <w:sz w:val="21"/>
          <w:szCs w:val="21"/>
          <w:highlight w:val="none"/>
          <w:lang w:val="en-US" w:eastAsia="zh-CN"/>
        </w:rPr>
        <w:t>；</w:t>
      </w:r>
    </w:p>
    <w:p w14:paraId="6D39FC6D">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3</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执行阶段</w:t>
      </w:r>
      <w:r>
        <w:rPr>
          <w:rFonts w:hint="eastAsia" w:ascii="仿宋" w:hAnsi="仿宋" w:eastAsia="仿宋" w:cs="Times New Roman"/>
          <w:color w:val="auto"/>
          <w:sz w:val="21"/>
          <w:szCs w:val="21"/>
          <w:highlight w:val="none"/>
        </w:rPr>
        <w:t>：收到对方执行款项后10个工作日内，向报价人支付代理费</w:t>
      </w: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rPr>
        <w:t>万元，如分批收到执行款，则在每批执行款收到后10个工作日内，按收款金额与申请执行标的金额的比例，支付代理费。</w:t>
      </w:r>
      <w:r>
        <w:rPr>
          <w:rFonts w:hint="eastAsia" w:ascii="仿宋" w:hAnsi="仿宋" w:eastAsia="仿宋" w:cs="Times New Roman"/>
          <w:color w:val="auto"/>
          <w:sz w:val="21"/>
          <w:szCs w:val="21"/>
          <w:highlight w:val="none"/>
          <w:lang w:val="en-US" w:eastAsia="zh-CN"/>
        </w:rPr>
        <w:t>该费用在</w:t>
      </w:r>
      <w:r>
        <w:rPr>
          <w:rFonts w:hint="eastAsia" w:ascii="仿宋" w:hAnsi="仿宋" w:eastAsia="仿宋" w:cs="Times New Roman"/>
          <w:color w:val="auto"/>
          <w:sz w:val="21"/>
          <w:szCs w:val="21"/>
          <w:highlight w:val="none"/>
        </w:rPr>
        <w:t>甲方收到乙方开具正式的发票后【15】个工作日内支付。</w:t>
      </w:r>
    </w:p>
    <w:p w14:paraId="146C149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3.本项目所涉服务费用总额限价【】万元，</w:t>
      </w:r>
      <w:r>
        <w:rPr>
          <w:rFonts w:hint="eastAsia" w:ascii="仿宋" w:hAnsi="仿宋" w:eastAsia="仿宋" w:cs="Times New Roman"/>
          <w:color w:val="auto"/>
          <w:sz w:val="21"/>
          <w:szCs w:val="21"/>
          <w:highlight w:val="none"/>
          <w:lang w:val="en-US" w:eastAsia="zh-CN"/>
        </w:rPr>
        <w:t>该价格</w:t>
      </w:r>
      <w:r>
        <w:rPr>
          <w:rFonts w:hint="eastAsia" w:ascii="仿宋" w:hAnsi="仿宋" w:eastAsia="仿宋" w:cs="Times New Roman"/>
          <w:color w:val="auto"/>
          <w:sz w:val="21"/>
          <w:szCs w:val="21"/>
          <w:highlight w:val="none"/>
        </w:rPr>
        <w:t>包括所有诉讼程序中的代理费、差旅费、利润、风险、税金等完成本项目所有费用</w:t>
      </w: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rPr>
        <w:t>无论按照前述计算的代理费金额是多少，乙方承诺放弃超过【】万元的部分</w:t>
      </w:r>
      <w:r>
        <w:rPr>
          <w:rFonts w:ascii="仿宋" w:hAnsi="仿宋" w:eastAsia="仿宋" w:cs="Times New Roman"/>
          <w:color w:val="auto"/>
          <w:sz w:val="21"/>
          <w:szCs w:val="21"/>
          <w:highlight w:val="none"/>
        </w:rPr>
        <w:t>。</w:t>
      </w:r>
    </w:p>
    <w:p w14:paraId="5A92D729">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43C2A5B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0C139F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FC69C4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5FB7B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600A3E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452C412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3DF6F8C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2241440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26CEC1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3C7A53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1603123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2FA5D14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6B51C93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28753C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33180C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4B1BAD5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B8E04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2B81800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69CBC73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5F9906B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A2BC7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56EBB4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145125C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CC516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792C1B7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89F82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1C17E7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130D6D0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70284F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4D6216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77376FC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7AAB2D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006F23C0">
      <w:pPr>
        <w:ind w:left="4200" w:hanging="4200" w:hangingChars="2000"/>
        <w:rPr>
          <w:rFonts w:ascii="仿宋" w:hAnsi="仿宋" w:eastAsia="仿宋" w:cs="Times New Roman"/>
          <w:bCs/>
          <w:sz w:val="21"/>
          <w:szCs w:val="21"/>
          <w:highlight w:val="none"/>
        </w:rPr>
      </w:pPr>
    </w:p>
    <w:p w14:paraId="4EF251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3E94E43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5153F5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032AE4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2D9B13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627EBF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35BFED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76C831E3">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签约日期：    年  月  日   </w:t>
      </w:r>
    </w:p>
    <w:p w14:paraId="7FD6129F">
      <w:pPr>
        <w:autoSpaceDE w:val="0"/>
        <w:autoSpaceDN w:val="0"/>
        <w:adjustRightInd w:val="0"/>
        <w:spacing w:after="0" w:line="360" w:lineRule="auto"/>
        <w:jc w:val="center"/>
        <w:rPr>
          <w:rFonts w:ascii="方正小标宋简体" w:hAnsi="方正小标宋简体" w:eastAsia="方正小标宋简体" w:cs="方正小标宋简体"/>
          <w:b w:val="0"/>
          <w:bCs/>
          <w:kern w:val="0"/>
          <w:sz w:val="28"/>
          <w:szCs w:val="28"/>
        </w:rPr>
      </w:pPr>
      <w:r>
        <w:rPr>
          <w:rFonts w:hint="eastAsia" w:ascii="仿宋_GB2312" w:hAnsi="仿宋_GB2312" w:eastAsia="仿宋_GB2312" w:cs="仿宋_GB2312"/>
          <w:bCs/>
          <w:kern w:val="0"/>
          <w:sz w:val="28"/>
          <w:szCs w:val="28"/>
          <w:u w:val="single"/>
        </w:rPr>
        <w:t xml:space="preserve">            </w:t>
      </w:r>
      <w:r>
        <w:rPr>
          <w:rFonts w:hint="eastAsia" w:ascii="方正小标宋简体" w:hAnsi="方正小标宋简体" w:eastAsia="方正小标宋简体" w:cs="方正小标宋简体"/>
          <w:b w:val="0"/>
          <w:bCs/>
          <w:kern w:val="0"/>
          <w:sz w:val="28"/>
          <w:szCs w:val="28"/>
        </w:rPr>
        <w:t>廉洁协议</w:t>
      </w:r>
    </w:p>
    <w:p w14:paraId="622BCCD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 w:hAnsi="仿宋" w:eastAsia="仿宋" w:cs="仿宋_GB2312"/>
          <w:bCs/>
          <w:kern w:val="0"/>
          <w:sz w:val="21"/>
          <w:szCs w:val="21"/>
        </w:rPr>
      </w:pPr>
    </w:p>
    <w:p w14:paraId="28EE3C58">
      <w:pPr>
        <w:keepNext w:val="0"/>
        <w:keepLines w:val="0"/>
        <w:pageBreakBefore w:val="0"/>
        <w:widowControl w:val="0"/>
        <w:kinsoku/>
        <w:wordWrap/>
        <w:overflowPunct/>
        <w:topLinePunct w:val="0"/>
        <w:autoSpaceDE w:val="0"/>
        <w:autoSpaceDN w:val="0"/>
        <w:bidi w:val="0"/>
        <w:adjustRightInd w:val="0"/>
        <w:snapToGrid/>
        <w:spacing w:after="0" w:line="520" w:lineRule="exact"/>
        <w:ind w:left="0" w:leftChars="0" w:firstLine="420" w:firstLineChars="200"/>
        <w:jc w:val="both"/>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为规范甲乙双方经营行为，做好业务活动中的党风廉政建设工作，保证</w:t>
      </w:r>
      <w:r>
        <w:rPr>
          <w:rFonts w:hint="eastAsia" w:ascii="仿宋_GB2312" w:hAnsi="仿宋_GB2312" w:eastAsia="仿宋_GB2312" w:cs="仿宋_GB2312"/>
          <w:bCs/>
          <w:kern w:val="0"/>
          <w:sz w:val="21"/>
          <w:szCs w:val="21"/>
          <w:lang w:val="en-US" w:eastAsia="zh-CN"/>
        </w:rPr>
        <w:t>合作过程</w:t>
      </w:r>
      <w:r>
        <w:rPr>
          <w:rFonts w:hint="eastAsia" w:ascii="仿宋_GB2312" w:hAnsi="仿宋_GB2312" w:eastAsia="仿宋_GB2312" w:cs="仿宋_GB2312"/>
          <w:bCs/>
          <w:kern w:val="0"/>
          <w:sz w:val="21"/>
          <w:szCs w:val="21"/>
        </w:rPr>
        <w:t>资金的安全和有效使用，保持廉洁自律的工作作风，根据《国有企业领导人员廉洁从业规定》等党风廉政建设有关规定，经</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rPr>
        <w:t>（以下简称“甲方”）与</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（以下简称“乙方”）协商同意，特订立本协议：</w:t>
      </w:r>
    </w:p>
    <w:p w14:paraId="60BD1198">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第一条　甲乙双方的权利和义务</w:t>
      </w:r>
    </w:p>
    <w:p w14:paraId="367C530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严格遵守党的纪律和国家有关法律法规，以及党风廉政建设各项规章制度；严格遵守商业道德和市场规则，共同营造公平公正的商务交易环境；严格执行《</w:t>
      </w:r>
      <w:r>
        <w:rPr>
          <w:rFonts w:hint="eastAsia" w:ascii="仿宋_GB2312" w:hAnsi="仿宋_GB2312" w:eastAsia="仿宋_GB2312" w:cs="仿宋_GB2312"/>
          <w:bCs/>
          <w:kern w:val="0"/>
          <w:sz w:val="21"/>
          <w:szCs w:val="21"/>
          <w:lang w:val="en-US" w:eastAsia="zh-CN"/>
        </w:rPr>
        <w:t>XXXXXX</w:t>
      </w:r>
      <w:r>
        <w:rPr>
          <w:rFonts w:hint="eastAsia" w:ascii="仿宋_GB2312" w:hAnsi="仿宋_GB2312" w:eastAsia="仿宋_GB2312" w:cs="仿宋_GB2312"/>
          <w:bCs/>
          <w:kern w:val="0"/>
          <w:sz w:val="21"/>
          <w:szCs w:val="21"/>
        </w:rPr>
        <w:t>》（合同编号：XX；以下简称“合同”），按约履行各项义务。</w:t>
      </w:r>
    </w:p>
    <w:p w14:paraId="2A4DB0B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双方的业务和活动坚持公开、公正、诚信、透明的原则（除法律认定/约定的的商业秘密和合同另有</w:t>
      </w:r>
      <w:r>
        <w:rPr>
          <w:rFonts w:hint="eastAsia" w:ascii="仿宋_GB2312" w:hAnsi="仿宋_GB2312" w:eastAsia="仿宋_GB2312" w:cs="仿宋_GB2312"/>
          <w:bCs/>
          <w:kern w:val="0"/>
          <w:sz w:val="21"/>
          <w:szCs w:val="21"/>
          <w:lang w:val="en-US" w:eastAsia="zh-CN"/>
        </w:rPr>
        <w:t>约</w:t>
      </w:r>
      <w:r>
        <w:rPr>
          <w:rFonts w:hint="eastAsia" w:ascii="仿宋_GB2312" w:hAnsi="仿宋_GB2312" w:eastAsia="仿宋_GB2312" w:cs="仿宋_GB2312"/>
          <w:bCs/>
          <w:kern w:val="0"/>
          <w:sz w:val="21"/>
          <w:szCs w:val="21"/>
        </w:rPr>
        <w:t>定之外），不得损害国家和集体利益。</w:t>
      </w:r>
    </w:p>
    <w:p w14:paraId="75CB4E5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发现对方在业务活动中有违反廉洁规定</w:t>
      </w:r>
      <w:r>
        <w:rPr>
          <w:rFonts w:hint="eastAsia" w:ascii="仿宋_GB2312" w:hAnsi="仿宋_GB2312" w:eastAsia="仿宋_GB2312" w:cs="仿宋_GB2312"/>
          <w:bCs/>
          <w:kern w:val="0"/>
          <w:sz w:val="21"/>
          <w:szCs w:val="21"/>
          <w:lang w:eastAsia="zh-Hans"/>
        </w:rPr>
        <w:t>及本合同条款</w:t>
      </w:r>
      <w:r>
        <w:rPr>
          <w:rFonts w:hint="eastAsia" w:ascii="仿宋_GB2312" w:hAnsi="仿宋_GB2312" w:eastAsia="仿宋_GB2312" w:cs="仿宋_GB2312"/>
          <w:bCs/>
          <w:kern w:val="0"/>
          <w:sz w:val="21"/>
          <w:szCs w:val="21"/>
        </w:rPr>
        <w:t>的行为，有及时提醒对方纠正的权利和义务；发现对方严重违反本合同条款的行为，有向上级有关单位、部门举报、建议给予处理并要求告知处理结果的权利。</w:t>
      </w:r>
    </w:p>
    <w:p w14:paraId="5F29966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第二条　甲方的义务</w:t>
      </w:r>
    </w:p>
    <w:p w14:paraId="68CE50A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甲方工作人员要秉公办事，不准营私舞弊，不准利用职权从事各种个人有偿中介活动。</w:t>
      </w:r>
    </w:p>
    <w:p w14:paraId="3AF4D0C6">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甲方及其工作人员不得索要或接受乙方的礼金、回扣、有价证券和贵重物品，不得在乙方及其他非甲方单位报销任何应由甲方单位或个人支付的费用等；甲方及其工作人员不得违反规定在乙方或其他单位投资入股，不得向乙方单位或人员借款、委托买卖股票、债券或其他委托理财等。</w:t>
      </w:r>
    </w:p>
    <w:p w14:paraId="19EB8C9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甲方工作人员不得参加乙方安排的超标准宴请、旅游和娱乐活动，不得接受乙方提供的通讯工具、交通工具和高档办公用品等。</w:t>
      </w:r>
    </w:p>
    <w:p w14:paraId="4637813B">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甲方及其工作人员不得要求、暗示或接受乙方为其住房装修、婚丧嫁娶活动、配偶及子女的工作安排以及出国、出境旅游等提供方便等。</w:t>
      </w:r>
    </w:p>
    <w:p w14:paraId="0BE8C5B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w:t>
      </w:r>
      <w:r>
        <w:rPr>
          <w:rFonts w:hint="eastAsia" w:ascii="仿宋_GB2312" w:hAnsi="仿宋_GB2312" w:eastAsia="仿宋_GB2312" w:cs="仿宋_GB2312"/>
          <w:bCs/>
          <w:kern w:val="0"/>
          <w:sz w:val="21"/>
          <w:szCs w:val="21"/>
        </w:rPr>
        <w:t>甲方工作人员不得为谋取私利与乙方人员在业务交往中进行私下商谈或者达成默契；甲方工作人员不得利用职权通过乙方及其他单位为其配偶、子女及有利害关系的他人谋取不正当利益。</w:t>
      </w:r>
    </w:p>
    <w:p w14:paraId="6635EE1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甲方工作人员及其配偶、子女不得从事与乙方有关的经济活动。</w:t>
      </w:r>
    </w:p>
    <w:p w14:paraId="4FD5C61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第三条　乙方的义务</w:t>
      </w:r>
    </w:p>
    <w:p w14:paraId="4ED45D35">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向甲方及其工作人员行贿或馈赠礼金、有价证券、贵重礼品等，不得以任何名义为甲方及其工作人员报销应由甲方单位或个人支付的任何费用；不得为甲方人员投资入股、个人借款、买卖股票、债券或其他委托理财等提供方便。</w:t>
      </w:r>
    </w:p>
    <w:p w14:paraId="7D08296C">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不得以任何理由安排甲方及其工作人员参加超标准宴请、旅游和娱乐活动，不得为甲方单位和个人购置或提供通讯工具、交通工具、高档办公用品等。</w:t>
      </w:r>
    </w:p>
    <w:p w14:paraId="27DFD42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不得为甲方及其工作人员住房装修、婚丧嫁娶活动、配偶及子女的工作安排以及出国、出境旅游等提供方便等。</w:t>
      </w:r>
    </w:p>
    <w:p w14:paraId="0DD241A2">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不得为谋取私利擅自与甲方人员在业务交往中进行私下商谈或者达成默契；不得违反规定安排甲方人员及其配偶、子</w:t>
      </w:r>
      <w:r>
        <w:rPr>
          <w:rFonts w:hint="eastAsia" w:ascii="仿宋_GB2312" w:hAnsi="仿宋_GB2312" w:eastAsia="仿宋_GB2312" w:cs="仿宋_GB2312"/>
          <w:kern w:val="0"/>
          <w:sz w:val="21"/>
          <w:szCs w:val="21"/>
        </w:rPr>
        <w:t>女在乙方或乙方相关单位兼职和领取薪酬。</w:t>
      </w:r>
    </w:p>
    <w:p w14:paraId="487DDBC4">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乙方</w:t>
      </w:r>
      <w:r>
        <w:rPr>
          <w:rFonts w:hint="eastAsia" w:ascii="仿宋_GB2312" w:hAnsi="仿宋_GB2312" w:eastAsia="仿宋_GB2312" w:cs="仿宋_GB2312"/>
          <w:kern w:val="0"/>
          <w:sz w:val="21"/>
          <w:szCs w:val="21"/>
          <w:lang w:eastAsia="zh-Hans"/>
        </w:rPr>
        <w:t>及其工作人员</w:t>
      </w:r>
      <w:r>
        <w:rPr>
          <w:rFonts w:hint="eastAsia" w:ascii="仿宋_GB2312" w:hAnsi="仿宋_GB2312" w:eastAsia="仿宋_GB2312" w:cs="仿宋_GB2312"/>
          <w:kern w:val="0"/>
          <w:sz w:val="21"/>
          <w:szCs w:val="21"/>
        </w:rPr>
        <w:t>不得</w:t>
      </w:r>
      <w:r>
        <w:rPr>
          <w:rFonts w:hint="eastAsia" w:ascii="仿宋_GB2312" w:hAnsi="仿宋_GB2312" w:eastAsia="仿宋_GB2312" w:cs="仿宋_GB2312"/>
          <w:bCs/>
          <w:kern w:val="0"/>
          <w:sz w:val="21"/>
          <w:szCs w:val="21"/>
        </w:rPr>
        <w:t>打探涉及甲方的商业秘密、业务渠道等；甲方对涉嫌不廉洁的商业行为进行调查时，乙方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有配合甲方提供证据、作证的义务。</w:t>
      </w:r>
    </w:p>
    <w:p w14:paraId="091BB2BF">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未经甲方书面同意，乙方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不得向任何新闻媒体、第三者述及有关甲方公司人员廉洁从业方面的评价、信息。</w:t>
      </w:r>
    </w:p>
    <w:p w14:paraId="5F024FE6">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第四条　违约责任</w:t>
      </w:r>
    </w:p>
    <w:p w14:paraId="0B6FFDC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甲方及其工作人员违反本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第一、二条，按管理权限，依据有关规定给予党纪、政纪或组织处理；涉嫌犯罪的，移交司法机关追究刑事责任</w:t>
      </w:r>
      <w:r>
        <w:rPr>
          <w:rFonts w:hint="eastAsia" w:ascii="仿宋_GB2312" w:hAnsi="仿宋_GB2312" w:eastAsia="仿宋_GB2312" w:cs="仿宋_GB2312"/>
          <w:bCs/>
          <w:kern w:val="0"/>
          <w:sz w:val="21"/>
          <w:szCs w:val="21"/>
          <w:highlight w:val="none"/>
        </w:rPr>
        <w:t>。乙方及其工作人员违反本</w:t>
      </w:r>
      <w:r>
        <w:rPr>
          <w:rFonts w:hint="eastAsia" w:ascii="仿宋_GB2312" w:hAnsi="仿宋_GB2312" w:eastAsia="仿宋_GB2312" w:cs="仿宋_GB2312"/>
          <w:bCs/>
          <w:kern w:val="0"/>
          <w:sz w:val="21"/>
          <w:szCs w:val="21"/>
          <w:highlight w:val="none"/>
          <w:lang w:val="en-US" w:eastAsia="zh-CN"/>
        </w:rPr>
        <w:t>协议</w:t>
      </w:r>
      <w:r>
        <w:rPr>
          <w:rFonts w:hint="eastAsia" w:ascii="仿宋_GB2312" w:hAnsi="仿宋_GB2312" w:eastAsia="仿宋_GB2312" w:cs="仿宋_GB2312"/>
          <w:bCs/>
          <w:kern w:val="0"/>
          <w:sz w:val="21"/>
          <w:szCs w:val="21"/>
          <w:highlight w:val="none"/>
        </w:rPr>
        <w:t>第一、三条，按管理权限，依据有关规定给予党纪、政纪或组织处理；</w:t>
      </w:r>
      <w:r>
        <w:rPr>
          <w:rFonts w:hint="eastAsia" w:ascii="仿宋_GB2312" w:hAnsi="仿宋_GB2312" w:eastAsia="仿宋_GB2312" w:cs="仿宋_GB2312"/>
          <w:bCs/>
          <w:kern w:val="0"/>
          <w:sz w:val="21"/>
          <w:szCs w:val="21"/>
        </w:rPr>
        <w:t>涉嫌犯罪的，移交司法机关追究刑事责任；给甲方单位造成经济损失的，</w:t>
      </w:r>
      <w:r>
        <w:rPr>
          <w:rFonts w:hint="eastAsia" w:ascii="仿宋_GB2312" w:hAnsi="仿宋_GB2312" w:eastAsia="仿宋_GB2312" w:cs="仿宋_GB2312"/>
          <w:bCs/>
          <w:kern w:val="0"/>
          <w:sz w:val="21"/>
          <w:szCs w:val="21"/>
          <w:lang w:val="en-US" w:eastAsia="zh-CN"/>
        </w:rPr>
        <w:t>乙方</w:t>
      </w:r>
      <w:r>
        <w:rPr>
          <w:rFonts w:hint="eastAsia" w:ascii="仿宋_GB2312" w:hAnsi="仿宋_GB2312" w:eastAsia="仿宋_GB2312" w:cs="仿宋_GB2312"/>
          <w:bCs/>
          <w:kern w:val="0"/>
          <w:sz w:val="21"/>
          <w:szCs w:val="21"/>
        </w:rPr>
        <w:t>应给予赔偿。</w:t>
      </w:r>
    </w:p>
    <w:p w14:paraId="1CADA8FF">
      <w:pPr>
        <w:pStyle w:val="24"/>
        <w:keepNext w:val="0"/>
        <w:keepLines w:val="0"/>
        <w:pageBreakBefore w:val="0"/>
        <w:kinsoku/>
        <w:wordWrap/>
        <w:overflowPunct/>
        <w:topLinePunct w:val="0"/>
        <w:bidi w:val="0"/>
        <w:snapToGrid/>
        <w:spacing w:after="0" w:line="520" w:lineRule="exact"/>
        <w:ind w:left="0" w:leftChars="0"/>
        <w:jc w:val="both"/>
        <w:textAlignment w:val="auto"/>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rPr>
        <w:t xml:space="preserve">    第五条　双方约定，</w:t>
      </w:r>
      <w:r>
        <w:rPr>
          <w:rFonts w:hint="eastAsia" w:ascii="仿宋_GB2312" w:hAnsi="仿宋_GB2312" w:eastAsia="仿宋_GB2312" w:cs="仿宋_GB2312"/>
          <w:bCs/>
          <w:sz w:val="21"/>
          <w:szCs w:val="21"/>
          <w:highlight w:val="none"/>
        </w:rPr>
        <w:t>本</w:t>
      </w:r>
      <w:r>
        <w:rPr>
          <w:rFonts w:hint="eastAsia" w:ascii="仿宋_GB2312" w:hAnsi="仿宋_GB2312" w:eastAsia="仿宋_GB2312" w:cs="仿宋_GB2312"/>
          <w:bCs/>
          <w:sz w:val="21"/>
          <w:szCs w:val="21"/>
          <w:highlight w:val="none"/>
          <w:lang w:val="en-US" w:eastAsia="zh-CN"/>
        </w:rPr>
        <w:t>协议</w:t>
      </w:r>
      <w:r>
        <w:rPr>
          <w:rFonts w:hint="eastAsia" w:ascii="仿宋_GB2312" w:hAnsi="仿宋_GB2312" w:eastAsia="仿宋_GB2312" w:cs="仿宋_GB2312"/>
          <w:bCs/>
          <w:sz w:val="21"/>
          <w:szCs w:val="21"/>
          <w:highlight w:val="none"/>
        </w:rPr>
        <w:t>执行情况由双方及双方上级单位（如有）的纪检监察机关负责监督执行。</w:t>
      </w:r>
    </w:p>
    <w:p w14:paraId="0C083C0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第六条</w:t>
      </w:r>
      <w:r>
        <w:rPr>
          <w:rFonts w:hint="eastAsia" w:ascii="仿宋_GB2312" w:hAnsi="仿宋_GB2312" w:eastAsia="仿宋_GB2312" w:cs="仿宋_GB2312"/>
          <w:b/>
          <w:kern w:val="0"/>
          <w:sz w:val="21"/>
          <w:szCs w:val="21"/>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同时签署，有效期为甲乙双方签署之日起至</w:t>
      </w:r>
      <w:r>
        <w:rPr>
          <w:rFonts w:hint="eastAsia" w:ascii="仿宋_GB2312" w:hAnsi="仿宋_GB2312" w:eastAsia="仿宋_GB2312" w:cs="仿宋_GB2312"/>
          <w:bCs/>
          <w:kern w:val="0"/>
          <w:sz w:val="21"/>
          <w:szCs w:val="21"/>
          <w:lang w:val="en-US" w:eastAsia="zh-CN"/>
        </w:rPr>
        <w:t>该</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执行完毕为止。</w:t>
      </w:r>
    </w:p>
    <w:p w14:paraId="1B6234C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第七条  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作为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的附件，与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具有同等的法律效力。</w:t>
      </w:r>
    </w:p>
    <w:p w14:paraId="13799A9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w:t>
      </w:r>
      <w:r>
        <w:rPr>
          <w:rFonts w:hint="eastAsia" w:ascii="仿宋_GB2312" w:hAnsi="仿宋_GB2312" w:eastAsia="仿宋_GB2312" w:cs="仿宋_GB2312"/>
          <w:bCs/>
          <w:kern w:val="0"/>
          <w:sz w:val="21"/>
          <w:szCs w:val="21"/>
          <w:lang w:val="en-US" w:eastAsia="zh-CN"/>
        </w:rPr>
        <w:t>八</w:t>
      </w:r>
      <w:r>
        <w:rPr>
          <w:rFonts w:hint="eastAsia" w:ascii="仿宋_GB2312" w:hAnsi="仿宋_GB2312" w:eastAsia="仿宋_GB2312" w:cs="仿宋_GB2312"/>
          <w:bCs/>
          <w:kern w:val="0"/>
          <w:sz w:val="21"/>
          <w:szCs w:val="21"/>
        </w:rPr>
        <w:t>条</w:t>
      </w:r>
      <w:r>
        <w:rPr>
          <w:rFonts w:hint="eastAsia" w:ascii="仿宋_GB2312" w:hAnsi="仿宋_GB2312" w:eastAsia="仿宋_GB2312" w:cs="仿宋_GB2312"/>
          <w:b/>
          <w:kern w:val="0"/>
          <w:sz w:val="21"/>
          <w:szCs w:val="21"/>
          <w:lang w:eastAsia="zh-CN"/>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一式四份，由甲方执贰份，乙方执贰份。</w:t>
      </w:r>
    </w:p>
    <w:p w14:paraId="2758B90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2CBF8319">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1F12173A">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7CB2ED21">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甲</w:t>
      </w:r>
      <w:r>
        <w:rPr>
          <w:rFonts w:hint="eastAsia" w:ascii="仿宋_GB2312" w:hAnsi="仿宋_GB2312" w:eastAsia="仿宋_GB2312" w:cs="仿宋_GB2312"/>
          <w:bCs/>
          <w:kern w:val="0"/>
          <w:sz w:val="21"/>
          <w:szCs w:val="21"/>
        </w:rPr>
        <w:t xml:space="preserve">方：(盖章)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乙方</w:t>
      </w:r>
      <w:r>
        <w:rPr>
          <w:rFonts w:hint="eastAsia" w:ascii="仿宋_GB2312" w:hAnsi="仿宋_GB2312" w:eastAsia="仿宋_GB2312" w:cs="仿宋_GB2312"/>
          <w:bCs/>
          <w:kern w:val="0"/>
          <w:sz w:val="21"/>
          <w:szCs w:val="21"/>
        </w:rPr>
        <w:t>：(盖章)</w:t>
      </w:r>
    </w:p>
    <w:p w14:paraId="736872FF">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p>
    <w:p w14:paraId="3CB2126A">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或其授权的代理人：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或其授权的代理人：</w:t>
      </w:r>
    </w:p>
    <w:p w14:paraId="255E3C09">
      <w:pPr>
        <w:keepNext w:val="0"/>
        <w:keepLines w:val="0"/>
        <w:pageBreakBefore w:val="0"/>
        <w:kinsoku/>
        <w:wordWrap/>
        <w:overflowPunct/>
        <w:topLinePunct w:val="0"/>
        <w:bidi w:val="0"/>
        <w:snapToGrid/>
        <w:spacing w:after="0" w:line="520" w:lineRule="exact"/>
        <w:ind w:left="0" w:leftChars="0" w:firstLine="1260" w:firstLineChars="6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年   月   日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年   月   日</w:t>
      </w:r>
    </w:p>
    <w:p w14:paraId="488D6B3F">
      <w:pPr>
        <w:pStyle w:val="31"/>
        <w:keepNext w:val="0"/>
        <w:keepLines w:val="0"/>
        <w:pageBreakBefore w:val="0"/>
        <w:kinsoku/>
        <w:wordWrap/>
        <w:overflowPunct/>
        <w:topLinePunct w:val="0"/>
        <w:bidi w:val="0"/>
        <w:snapToGrid/>
        <w:spacing w:after="0" w:line="520" w:lineRule="exact"/>
        <w:ind w:left="0" w:leftChars="0"/>
        <w:textAlignment w:val="auto"/>
        <w:rPr>
          <w:sz w:val="21"/>
          <w:szCs w:val="21"/>
        </w:rPr>
        <w:sectPr>
          <w:pgSz w:w="12240" w:h="15840"/>
          <w:pgMar w:top="2098" w:right="1474" w:bottom="1984" w:left="1587" w:header="720" w:footer="720" w:gutter="0"/>
          <w:cols w:space="720" w:num="1"/>
        </w:sectPr>
      </w:pPr>
    </w:p>
    <w:p w14:paraId="16FD7B65">
      <w:pPr>
        <w:pStyle w:val="3"/>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507276F6">
      <w:pPr>
        <w:spacing w:after="0" w:line="640" w:lineRule="exact"/>
        <w:jc w:val="center"/>
        <w:rPr>
          <w:rFonts w:ascii="仿宋" w:hAnsi="仿宋" w:eastAsia="仿宋" w:cs="Times New Roman"/>
          <w:bCs/>
          <w:color w:val="auto"/>
          <w:kern w:val="0"/>
          <w:sz w:val="44"/>
          <w:szCs w:val="28"/>
          <w:highlight w:val="none"/>
        </w:rPr>
      </w:pPr>
      <w:r>
        <w:rPr>
          <w:rFonts w:hint="default" w:ascii="Times New Roman" w:hAnsi="Times New Roman" w:eastAsia="方正小标宋简体" w:cs="Times New Roman"/>
          <w:b w:val="0"/>
          <w:bCs w:val="0"/>
          <w:color w:val="auto"/>
          <w:w w:val="100"/>
          <w:sz w:val="44"/>
          <w:szCs w:val="44"/>
          <w:highlight w:val="none"/>
          <w:lang w:val="en-US" w:eastAsia="zh-CN"/>
        </w:rPr>
        <w:t>关于与陕西某民营企业相关纠纷法律服务项目</w:t>
      </w:r>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2"/>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4"/>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5" w:name="_Toc3485"/>
      <w:bookmarkStart w:id="36" w:name="_Toc15260"/>
      <w:bookmarkStart w:id="37" w:name="_Toc128141273"/>
    </w:p>
    <w:p w14:paraId="6F35D3D7">
      <w:pPr>
        <w:pStyle w:val="11"/>
        <w:rPr>
          <w:rFonts w:ascii="仿宋" w:hAnsi="仿宋" w:eastAsia="仿宋"/>
          <w:highlight w:val="none"/>
        </w:rPr>
      </w:pPr>
    </w:p>
    <w:p w14:paraId="5BDD6B69">
      <w:pPr>
        <w:pStyle w:val="4"/>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5"/>
      <w:bookmarkEnd w:id="36"/>
      <w:bookmarkEnd w:id="37"/>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2"/>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4"/>
        <w:spacing w:after="0" w:line="360" w:lineRule="auto"/>
        <w:ind w:left="0" w:right="0" w:firstLine="0"/>
        <w:jc w:val="center"/>
        <w:rPr>
          <w:rFonts w:ascii="仿宋" w:hAnsi="仿宋" w:eastAsia="仿宋" w:cs="Times New Roman"/>
          <w:color w:val="auto"/>
          <w:sz w:val="32"/>
          <w:highlight w:val="none"/>
        </w:rPr>
        <w:sectPr>
          <w:footerReference r:id="rId7" w:type="default"/>
          <w:pgSz w:w="12240" w:h="15840"/>
          <w:pgMar w:top="1440" w:right="1440" w:bottom="1440" w:left="1440" w:header="720" w:footer="720" w:gutter="0"/>
          <w:cols w:space="720" w:num="1"/>
        </w:sectPr>
      </w:pPr>
      <w:bookmarkStart w:id="38" w:name="_Toc128141274"/>
      <w:bookmarkStart w:id="39" w:name="_Toc14455"/>
      <w:bookmarkStart w:id="40" w:name="_Toc2224"/>
    </w:p>
    <w:p w14:paraId="77B96542">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8"/>
      <w:bookmarkEnd w:id="39"/>
      <w:bookmarkEnd w:id="40"/>
      <w:r>
        <w:rPr>
          <w:rFonts w:ascii="仿宋" w:hAnsi="仿宋" w:eastAsia="仿宋" w:cs="Times New Roman"/>
          <w:color w:val="auto"/>
          <w:sz w:val="32"/>
          <w:szCs w:val="32"/>
          <w:highlight w:val="none"/>
        </w:rPr>
        <w:t>比选申请函</w:t>
      </w:r>
    </w:p>
    <w:p w14:paraId="338F99EE">
      <w:pPr>
        <w:keepNext w:val="0"/>
        <w:keepLines w:val="0"/>
        <w:pageBreakBefore w:val="0"/>
        <w:widowControl/>
        <w:kinsoku/>
        <w:wordWrap/>
        <w:overflowPunct/>
        <w:topLinePunct w:val="0"/>
        <w:autoSpaceDE/>
        <w:autoSpaceDN/>
        <w:bidi w:val="0"/>
        <w:adjustRightInd/>
        <w:snapToGrid/>
        <w:spacing w:after="0" w:line="480" w:lineRule="exact"/>
        <w:ind w:left="-5" w:right="103" w:hanging="10"/>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keepNext w:val="0"/>
        <w:keepLines w:val="0"/>
        <w:pageBreakBefore w:val="0"/>
        <w:widowControl/>
        <w:numPr>
          <w:ilvl w:val="0"/>
          <w:numId w:val="1"/>
        </w:numPr>
        <w:kinsoku/>
        <w:wordWrap/>
        <w:overflowPunct/>
        <w:topLinePunct w:val="0"/>
        <w:autoSpaceDE/>
        <w:autoSpaceDN/>
        <w:bidi w:val="0"/>
        <w:adjustRightInd/>
        <w:snapToGrid/>
        <w:spacing w:after="0" w:line="480" w:lineRule="exact"/>
        <w:ind w:firstLine="480" w:firstLineChars="200"/>
        <w:jc w:val="both"/>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我方已仔细研究了</w:t>
      </w:r>
      <w:r>
        <w:rPr>
          <w:rFonts w:hint="eastAsia" w:ascii="仿宋" w:hAnsi="仿宋" w:eastAsia="仿宋" w:cs="Times New Roman"/>
          <w:b/>
          <w:bCs/>
          <w:color w:val="auto"/>
          <w:sz w:val="24"/>
          <w:szCs w:val="24"/>
          <w:highlight w:val="none"/>
          <w:u w:val="single"/>
        </w:rPr>
        <w:t>四川蜀物兴川物流发展有限公司关于与陕西某民营企业相关纠纷法律服务项目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p w14:paraId="3DA1F563">
      <w:pPr>
        <w:pStyle w:val="31"/>
        <w:numPr>
          <w:ilvl w:val="0"/>
          <w:numId w:val="0"/>
        </w:numPr>
        <w:rPr>
          <w:highlight w:val="none"/>
        </w:rPr>
      </w:pPr>
    </w:p>
    <w:tbl>
      <w:tblPr>
        <w:tblStyle w:val="32"/>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7056"/>
      </w:tblGrid>
      <w:tr w14:paraId="6F6E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29" w:type="dxa"/>
            <w:tcBorders>
              <w:top w:val="single" w:color="auto" w:sz="4" w:space="0"/>
              <w:left w:val="single" w:color="auto" w:sz="4" w:space="0"/>
              <w:right w:val="single" w:color="auto" w:sz="4" w:space="0"/>
            </w:tcBorders>
            <w:noWrap w:val="0"/>
            <w:vAlign w:val="center"/>
          </w:tcPr>
          <w:p w14:paraId="7870C717">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涵盖程序</w:t>
            </w:r>
          </w:p>
        </w:tc>
        <w:tc>
          <w:tcPr>
            <w:tcW w:w="7056" w:type="dxa"/>
            <w:tcBorders>
              <w:top w:val="single" w:color="auto" w:sz="4" w:space="0"/>
              <w:left w:val="single" w:color="auto" w:sz="4" w:space="0"/>
              <w:bottom w:val="single" w:color="auto" w:sz="4" w:space="0"/>
              <w:right w:val="single" w:color="auto" w:sz="4" w:space="0"/>
            </w:tcBorders>
            <w:noWrap w:val="0"/>
            <w:vAlign w:val="center"/>
          </w:tcPr>
          <w:p w14:paraId="4F51970E">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收费金额</w:t>
            </w:r>
          </w:p>
        </w:tc>
      </w:tr>
      <w:tr w14:paraId="73DD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tcBorders>
              <w:top w:val="single" w:color="auto" w:sz="4" w:space="0"/>
              <w:left w:val="single" w:color="auto" w:sz="4" w:space="0"/>
              <w:right w:val="single" w:color="auto" w:sz="4" w:space="0"/>
            </w:tcBorders>
            <w:noWrap w:val="0"/>
            <w:vAlign w:val="center"/>
          </w:tcPr>
          <w:p w14:paraId="6D462A7E">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立案阶段</w:t>
            </w:r>
            <w:r>
              <w:rPr>
                <w:rFonts w:hint="eastAsia" w:ascii="方正仿宋_GB2312" w:hAnsi="方正仿宋_GB2312" w:eastAsia="方正仿宋_GB2312" w:cs="方正仿宋_GB2312"/>
                <w:b/>
                <w:bCs/>
                <w:color w:val="auto"/>
                <w:sz w:val="24"/>
                <w:szCs w:val="24"/>
              </w:rPr>
              <w:t>（</w:t>
            </w:r>
            <w:r>
              <w:rPr>
                <w:rFonts w:hint="eastAsia" w:ascii="方正仿宋_GB2312" w:hAnsi="方正仿宋_GB2312" w:eastAsia="方正仿宋_GB2312" w:cs="方正仿宋_GB2312"/>
                <w:b/>
                <w:bCs/>
                <w:color w:val="auto"/>
                <w:sz w:val="24"/>
                <w:szCs w:val="24"/>
                <w:lang w:val="en-US" w:eastAsia="zh-CN"/>
              </w:rPr>
              <w:t>5</w:t>
            </w:r>
            <w:r>
              <w:rPr>
                <w:rFonts w:hint="eastAsia" w:ascii="方正仿宋_GB2312" w:hAnsi="方正仿宋_GB2312" w:eastAsia="方正仿宋_GB2312" w:cs="方正仿宋_GB2312"/>
                <w:b/>
                <w:bCs/>
                <w:color w:val="auto"/>
                <w:sz w:val="24"/>
                <w:szCs w:val="24"/>
              </w:rPr>
              <w:t>%）</w:t>
            </w:r>
          </w:p>
        </w:tc>
        <w:tc>
          <w:tcPr>
            <w:tcW w:w="7056" w:type="dxa"/>
            <w:tcBorders>
              <w:top w:val="single" w:color="auto" w:sz="4" w:space="0"/>
              <w:left w:val="single" w:color="auto" w:sz="4" w:space="0"/>
              <w:right w:val="single" w:color="auto" w:sz="4" w:space="0"/>
            </w:tcBorders>
            <w:noWrap w:val="0"/>
            <w:vAlign w:val="center"/>
          </w:tcPr>
          <w:p w14:paraId="3829566D">
            <w:pPr>
              <w:widowControl w:val="0"/>
              <w:autoSpaceDE w:val="0"/>
              <w:autoSpaceDN w:val="0"/>
              <w:adjustRightInd w:val="0"/>
              <w:spacing w:after="0" w:line="400" w:lineRule="exact"/>
              <w:rPr>
                <w:rFonts w:hint="default"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该案件在对应管辖地法院立案后，代理费报价为【】万元</w:t>
            </w:r>
          </w:p>
        </w:tc>
      </w:tr>
      <w:tr w14:paraId="26EB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529" w:type="dxa"/>
            <w:tcBorders>
              <w:top w:val="single" w:color="auto" w:sz="4" w:space="0"/>
              <w:left w:val="single" w:color="auto" w:sz="4" w:space="0"/>
              <w:right w:val="single" w:color="auto" w:sz="4" w:space="0"/>
            </w:tcBorders>
            <w:noWrap w:val="0"/>
            <w:vAlign w:val="center"/>
          </w:tcPr>
          <w:p w14:paraId="12B139C7">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lang w:val="en-US" w:eastAsia="zh-CN"/>
              </w:rPr>
              <w:t>审理阶段</w:t>
            </w:r>
            <w:r>
              <w:rPr>
                <w:rFonts w:hint="eastAsia" w:ascii="方正仿宋_GB2312" w:hAnsi="方正仿宋_GB2312" w:eastAsia="方正仿宋_GB2312" w:cs="方正仿宋_GB2312"/>
                <w:b/>
                <w:bCs/>
                <w:color w:val="auto"/>
                <w:kern w:val="0"/>
                <w:sz w:val="24"/>
                <w:szCs w:val="24"/>
              </w:rPr>
              <w:t>（</w:t>
            </w:r>
            <w:r>
              <w:rPr>
                <w:rFonts w:hint="eastAsia" w:ascii="方正仿宋_GB2312" w:hAnsi="方正仿宋_GB2312" w:eastAsia="方正仿宋_GB2312" w:cs="方正仿宋_GB2312"/>
                <w:b/>
                <w:bCs/>
                <w:color w:val="auto"/>
                <w:kern w:val="0"/>
                <w:sz w:val="24"/>
                <w:szCs w:val="24"/>
                <w:lang w:val="en-US" w:eastAsia="zh-CN"/>
              </w:rPr>
              <w:t>5</w:t>
            </w:r>
            <w:r>
              <w:rPr>
                <w:rFonts w:hint="eastAsia" w:ascii="方正仿宋_GB2312" w:hAnsi="方正仿宋_GB2312" w:eastAsia="方正仿宋_GB2312" w:cs="方正仿宋_GB2312"/>
                <w:b/>
                <w:bCs/>
                <w:color w:val="auto"/>
                <w:kern w:val="0"/>
                <w:sz w:val="24"/>
                <w:szCs w:val="24"/>
              </w:rPr>
              <w:t>%）</w:t>
            </w:r>
          </w:p>
        </w:tc>
        <w:tc>
          <w:tcPr>
            <w:tcW w:w="7056" w:type="dxa"/>
            <w:tcBorders>
              <w:left w:val="single" w:color="auto" w:sz="4" w:space="0"/>
              <w:right w:val="single" w:color="auto" w:sz="4" w:space="0"/>
            </w:tcBorders>
            <w:noWrap w:val="0"/>
            <w:vAlign w:val="center"/>
          </w:tcPr>
          <w:p w14:paraId="445C88F1">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en-US" w:eastAsia="zh-CN"/>
              </w:rPr>
              <w:t>代理费报价为【】万元，该部分代理费计算标准为：取得胜诉的生效法律裁判文书且按判决货款本金金额占比原货款金额比例为系数，审理阶段费用为基数计算支付该部分代理费</w:t>
            </w:r>
            <w:r>
              <w:rPr>
                <w:rFonts w:hint="eastAsia" w:ascii="方正仿宋_GB2312" w:hAnsi="方正仿宋_GB2312" w:eastAsia="方正仿宋_GB2312" w:cs="方正仿宋_GB2312"/>
                <w:color w:val="auto"/>
                <w:kern w:val="0"/>
                <w:sz w:val="24"/>
                <w:szCs w:val="24"/>
              </w:rPr>
              <w:t>；</w:t>
            </w:r>
          </w:p>
        </w:tc>
      </w:tr>
      <w:tr w14:paraId="3DE8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0D0242D1">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lang w:val="en-US" w:eastAsia="zh-CN"/>
              </w:rPr>
            </w:pPr>
            <w:r>
              <w:rPr>
                <w:rFonts w:hint="eastAsia" w:ascii="方正仿宋_GB2312" w:hAnsi="方正仿宋_GB2312" w:eastAsia="方正仿宋_GB2312" w:cs="方正仿宋_GB2312"/>
                <w:b/>
                <w:bCs/>
                <w:color w:val="auto"/>
                <w:kern w:val="0"/>
                <w:sz w:val="24"/>
                <w:szCs w:val="24"/>
              </w:rPr>
              <w:t>执行</w:t>
            </w:r>
            <w:r>
              <w:rPr>
                <w:rFonts w:hint="eastAsia" w:ascii="方正仿宋_GB2312" w:hAnsi="方正仿宋_GB2312" w:eastAsia="方正仿宋_GB2312" w:cs="方正仿宋_GB2312"/>
                <w:b/>
                <w:bCs/>
                <w:color w:val="auto"/>
                <w:kern w:val="0"/>
                <w:sz w:val="24"/>
                <w:szCs w:val="24"/>
                <w:lang w:val="en-US" w:eastAsia="zh-CN"/>
              </w:rPr>
              <w:t>阶段</w:t>
            </w:r>
          </w:p>
          <w:p w14:paraId="6C67EA4F">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w:t>
            </w:r>
            <w:r>
              <w:rPr>
                <w:rFonts w:hint="eastAsia" w:ascii="方正仿宋_GB2312" w:hAnsi="方正仿宋_GB2312" w:eastAsia="方正仿宋_GB2312" w:cs="方正仿宋_GB2312"/>
                <w:b/>
                <w:bCs/>
                <w:color w:val="auto"/>
                <w:kern w:val="0"/>
                <w:sz w:val="24"/>
                <w:szCs w:val="24"/>
                <w:lang w:val="en-US" w:eastAsia="zh-CN"/>
              </w:rPr>
              <w:t>9</w:t>
            </w:r>
            <w:r>
              <w:rPr>
                <w:rFonts w:hint="eastAsia" w:ascii="方正仿宋_GB2312" w:hAnsi="方正仿宋_GB2312" w:eastAsia="方正仿宋_GB2312" w:cs="方正仿宋_GB2312"/>
                <w:b/>
                <w:bCs/>
                <w:color w:val="auto"/>
                <w:kern w:val="0"/>
                <w:sz w:val="24"/>
                <w:szCs w:val="24"/>
              </w:rPr>
              <w:t>0%）</w:t>
            </w:r>
          </w:p>
        </w:tc>
        <w:tc>
          <w:tcPr>
            <w:tcW w:w="7056" w:type="dxa"/>
            <w:tcBorders>
              <w:left w:val="single" w:color="auto" w:sz="4" w:space="0"/>
              <w:right w:val="single" w:color="auto" w:sz="4" w:space="0"/>
            </w:tcBorders>
            <w:noWrap w:val="0"/>
            <w:vAlign w:val="center"/>
          </w:tcPr>
          <w:p w14:paraId="7D37D904">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收到</w:t>
            </w:r>
            <w:r>
              <w:rPr>
                <w:rFonts w:hint="eastAsia" w:ascii="方正仿宋_GB2312" w:hAnsi="方正仿宋_GB2312" w:eastAsia="方正仿宋_GB2312" w:cs="方正仿宋_GB2312"/>
                <w:color w:val="auto"/>
                <w:kern w:val="0"/>
                <w:sz w:val="24"/>
                <w:szCs w:val="24"/>
                <w:lang w:val="en-US" w:eastAsia="zh-CN"/>
              </w:rPr>
              <w:t>对方</w:t>
            </w:r>
            <w:r>
              <w:rPr>
                <w:rFonts w:hint="eastAsia" w:ascii="方正仿宋_GB2312" w:hAnsi="方正仿宋_GB2312" w:eastAsia="方正仿宋_GB2312" w:cs="方正仿宋_GB2312"/>
                <w:color w:val="auto"/>
                <w:kern w:val="0"/>
                <w:sz w:val="24"/>
                <w:szCs w:val="24"/>
              </w:rPr>
              <w:t>执行</w:t>
            </w:r>
            <w:r>
              <w:rPr>
                <w:rFonts w:hint="eastAsia" w:ascii="方正仿宋_GB2312" w:hAnsi="方正仿宋_GB2312" w:eastAsia="方正仿宋_GB2312" w:cs="方正仿宋_GB2312"/>
                <w:color w:val="auto"/>
                <w:kern w:val="0"/>
                <w:sz w:val="24"/>
                <w:szCs w:val="24"/>
                <w:lang w:val="en-US" w:eastAsia="zh-CN"/>
              </w:rPr>
              <w:t>款项</w:t>
            </w:r>
            <w:r>
              <w:rPr>
                <w:rFonts w:hint="eastAsia" w:ascii="方正仿宋_GB2312" w:hAnsi="方正仿宋_GB2312" w:eastAsia="方正仿宋_GB2312" w:cs="方正仿宋_GB2312"/>
                <w:color w:val="auto"/>
                <w:kern w:val="0"/>
                <w:sz w:val="24"/>
                <w:szCs w:val="24"/>
              </w:rPr>
              <w:t>后10个工作日内，向</w:t>
            </w:r>
            <w:r>
              <w:rPr>
                <w:rFonts w:hint="eastAsia" w:ascii="方正仿宋_GB2312" w:hAnsi="方正仿宋_GB2312" w:eastAsia="方正仿宋_GB2312" w:cs="方正仿宋_GB2312"/>
                <w:color w:val="auto"/>
                <w:kern w:val="0"/>
                <w:sz w:val="24"/>
                <w:szCs w:val="24"/>
                <w:lang w:val="en-US" w:eastAsia="zh-CN"/>
              </w:rPr>
              <w:t>报价人</w:t>
            </w:r>
            <w:r>
              <w:rPr>
                <w:rFonts w:hint="eastAsia" w:ascii="方正仿宋_GB2312" w:hAnsi="方正仿宋_GB2312" w:eastAsia="方正仿宋_GB2312" w:cs="方正仿宋_GB2312"/>
                <w:color w:val="auto"/>
                <w:kern w:val="0"/>
                <w:sz w:val="24"/>
                <w:szCs w:val="24"/>
              </w:rPr>
              <w:t xml:space="preserve">支付代理费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 xml:space="preserve">    万元（</w:t>
            </w:r>
            <w:r>
              <w:rPr>
                <w:rFonts w:hint="eastAsia" w:ascii="方正仿宋_GB2312" w:hAnsi="方正仿宋_GB2312" w:eastAsia="方正仿宋_GB2312" w:cs="方正仿宋_GB2312"/>
                <w:color w:val="auto"/>
                <w:kern w:val="0"/>
                <w:sz w:val="24"/>
                <w:szCs w:val="24"/>
                <w:lang w:val="en-US" w:eastAsia="zh-CN"/>
              </w:rPr>
              <w:t>9</w:t>
            </w:r>
            <w:r>
              <w:rPr>
                <w:rFonts w:hint="eastAsia" w:ascii="方正仿宋_GB2312" w:hAnsi="方正仿宋_GB2312" w:eastAsia="方正仿宋_GB2312" w:cs="方正仿宋_GB2312"/>
                <w:color w:val="auto"/>
                <w:kern w:val="0"/>
                <w:sz w:val="24"/>
                <w:szCs w:val="24"/>
              </w:rPr>
              <w:t>0%），如分批</w:t>
            </w:r>
            <w:r>
              <w:rPr>
                <w:rFonts w:hint="eastAsia" w:ascii="方正仿宋_GB2312" w:hAnsi="方正仿宋_GB2312" w:eastAsia="方正仿宋_GB2312" w:cs="方正仿宋_GB2312"/>
                <w:color w:val="auto"/>
                <w:kern w:val="0"/>
                <w:sz w:val="24"/>
                <w:szCs w:val="24"/>
                <w:lang w:val="en-US" w:eastAsia="zh-CN"/>
              </w:rPr>
              <w:t>收到</w:t>
            </w:r>
            <w:r>
              <w:rPr>
                <w:rFonts w:hint="eastAsia" w:ascii="方正仿宋_GB2312" w:hAnsi="方正仿宋_GB2312" w:eastAsia="方正仿宋_GB2312" w:cs="方正仿宋_GB2312"/>
                <w:color w:val="auto"/>
                <w:kern w:val="0"/>
                <w:sz w:val="24"/>
                <w:szCs w:val="24"/>
              </w:rPr>
              <w:t>执行款，则在每批执行款收到后10个工作日内，按收款金额与申请执行标的金额</w:t>
            </w:r>
            <w:r>
              <w:rPr>
                <w:rFonts w:hint="eastAsia" w:ascii="方正仿宋_GB2312" w:hAnsi="方正仿宋_GB2312" w:eastAsia="方正仿宋_GB2312" w:cs="方正仿宋_GB2312"/>
                <w:color w:val="auto"/>
                <w:kern w:val="0"/>
                <w:sz w:val="24"/>
                <w:szCs w:val="24"/>
                <w:lang w:val="en-US" w:eastAsia="zh-CN"/>
              </w:rPr>
              <w:t>的</w:t>
            </w:r>
            <w:r>
              <w:rPr>
                <w:rFonts w:hint="eastAsia" w:ascii="方正仿宋_GB2312" w:hAnsi="方正仿宋_GB2312" w:eastAsia="方正仿宋_GB2312" w:cs="方正仿宋_GB2312"/>
                <w:color w:val="auto"/>
                <w:kern w:val="0"/>
                <w:sz w:val="24"/>
                <w:szCs w:val="24"/>
              </w:rPr>
              <w:t>比例</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支付代理费。</w:t>
            </w:r>
          </w:p>
        </w:tc>
      </w:tr>
      <w:tr w14:paraId="65B4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3CE41BAD">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合计</w:t>
            </w:r>
          </w:p>
          <w:p w14:paraId="719C775B">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（100%）</w:t>
            </w:r>
          </w:p>
        </w:tc>
        <w:tc>
          <w:tcPr>
            <w:tcW w:w="7056" w:type="dxa"/>
            <w:tcBorders>
              <w:left w:val="single" w:color="auto" w:sz="4" w:space="0"/>
              <w:right w:val="single" w:color="auto" w:sz="4" w:space="0"/>
            </w:tcBorders>
            <w:noWrap w:val="0"/>
            <w:vAlign w:val="center"/>
          </w:tcPr>
          <w:p w14:paraId="7C951D3F">
            <w:pPr>
              <w:widowControl w:val="0"/>
              <w:autoSpaceDE w:val="0"/>
              <w:autoSpaceDN w:val="0"/>
              <w:adjustRightInd w:val="0"/>
              <w:spacing w:after="0" w:line="400" w:lineRule="exact"/>
              <w:jc w:val="both"/>
              <w:rPr>
                <w:rFonts w:hint="default"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rPr>
              <w:t>代理费</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含税）</w:t>
            </w:r>
            <w:r>
              <w:rPr>
                <w:rFonts w:hint="eastAsia" w:ascii="方正仿宋_GB2312" w:hAnsi="方正仿宋_GB2312" w:eastAsia="方正仿宋_GB2312" w:cs="方正仿宋_GB2312"/>
                <w:color w:val="auto"/>
                <w:kern w:val="0"/>
                <w:sz w:val="24"/>
                <w:szCs w:val="24"/>
                <w:u w:val="single"/>
              </w:rPr>
              <w:t xml:space="preserve">       </w:t>
            </w:r>
            <w:r>
              <w:rPr>
                <w:rFonts w:hint="eastAsia" w:ascii="方正仿宋_GB2312" w:hAnsi="方正仿宋_GB2312" w:eastAsia="方正仿宋_GB2312" w:cs="方正仿宋_GB2312"/>
                <w:color w:val="auto"/>
                <w:kern w:val="0"/>
                <w:sz w:val="24"/>
                <w:szCs w:val="24"/>
              </w:rPr>
              <w:t>万元（100%）</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税率：   ）</w:t>
            </w:r>
          </w:p>
        </w:tc>
      </w:tr>
      <w:tr w14:paraId="30BB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585" w:type="dxa"/>
            <w:gridSpan w:val="2"/>
            <w:tcBorders>
              <w:top w:val="single" w:color="auto" w:sz="4" w:space="0"/>
              <w:left w:val="single" w:color="auto" w:sz="4" w:space="0"/>
              <w:bottom w:val="single" w:color="auto" w:sz="4" w:space="0"/>
              <w:right w:val="single" w:color="auto" w:sz="4" w:space="0"/>
            </w:tcBorders>
            <w:noWrap w:val="0"/>
            <w:vAlign w:val="center"/>
          </w:tcPr>
          <w:p w14:paraId="6E79E6FF">
            <w:pPr>
              <w:widowControl w:val="0"/>
              <w:autoSpaceDE w:val="0"/>
              <w:autoSpaceDN w:val="0"/>
              <w:adjustRightInd w:val="0"/>
              <w:spacing w:after="0" w:line="440" w:lineRule="exact"/>
              <w:jc w:val="both"/>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备注：本次报价已包含</w:t>
            </w:r>
            <w:r>
              <w:rPr>
                <w:rFonts w:hint="eastAsia" w:ascii="方正仿宋_GB2312" w:hAnsi="方正仿宋_GB2312" w:eastAsia="方正仿宋_GB2312" w:cs="方正仿宋_GB2312"/>
                <w:color w:val="auto"/>
                <w:kern w:val="0"/>
                <w:sz w:val="24"/>
                <w:szCs w:val="24"/>
                <w:lang w:val="en-US" w:eastAsia="zh-CN"/>
              </w:rPr>
              <w:t>办理本项目</w:t>
            </w:r>
            <w:r>
              <w:rPr>
                <w:rFonts w:hint="eastAsia" w:ascii="方正仿宋_GB2312" w:hAnsi="方正仿宋_GB2312" w:eastAsia="方正仿宋_GB2312" w:cs="方正仿宋_GB2312"/>
                <w:color w:val="auto"/>
                <w:kern w:val="0"/>
                <w:sz w:val="24"/>
                <w:szCs w:val="24"/>
              </w:rPr>
              <w:t>所需的交通费、差旅费、伙食费等</w:t>
            </w:r>
            <w:r>
              <w:rPr>
                <w:rFonts w:hint="eastAsia" w:ascii="方正仿宋_GB2312" w:hAnsi="方正仿宋_GB2312" w:eastAsia="方正仿宋_GB2312" w:cs="方正仿宋_GB2312"/>
                <w:color w:val="auto"/>
                <w:kern w:val="0"/>
                <w:sz w:val="24"/>
                <w:szCs w:val="24"/>
                <w:lang w:val="en-US" w:eastAsia="zh-CN"/>
              </w:rPr>
              <w:t>各</w:t>
            </w:r>
            <w:r>
              <w:rPr>
                <w:rFonts w:hint="eastAsia" w:ascii="方正仿宋_GB2312" w:hAnsi="方正仿宋_GB2312" w:eastAsia="方正仿宋_GB2312" w:cs="方正仿宋_GB2312"/>
                <w:color w:val="auto"/>
                <w:kern w:val="0"/>
                <w:sz w:val="24"/>
                <w:szCs w:val="24"/>
              </w:rPr>
              <w:t>项费用。</w:t>
            </w:r>
          </w:p>
        </w:tc>
      </w:tr>
    </w:tbl>
    <w:p w14:paraId="46543A11"/>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4573AFAB">
      <w:pPr>
        <w:spacing w:after="0" w:line="360" w:lineRule="auto"/>
        <w:ind w:firstLine="480" w:firstLineChars="200"/>
        <w:rPr>
          <w:rFonts w:ascii="仿宋" w:hAnsi="仿宋" w:eastAsia="仿宋"/>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4"/>
        <w:spacing w:after="0" w:line="360" w:lineRule="auto"/>
        <w:ind w:left="0" w:right="0" w:firstLine="0"/>
        <w:jc w:val="both"/>
        <w:rPr>
          <w:rFonts w:ascii="仿宋" w:hAnsi="仿宋" w:eastAsia="仿宋" w:cs="Times New Roman"/>
          <w:b/>
          <w:bCs/>
          <w:color w:val="auto"/>
          <w:sz w:val="32"/>
          <w:highlight w:val="none"/>
        </w:rPr>
      </w:pPr>
      <w:bookmarkStart w:id="41" w:name="_Toc128141275"/>
      <w:bookmarkStart w:id="42" w:name="_Toc20030"/>
      <w:bookmarkStart w:id="43" w:name="_Toc225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1"/>
      <w:bookmarkEnd w:id="42"/>
      <w:bookmarkEnd w:id="43"/>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8"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4"/>
        <w:spacing w:after="0" w:line="360" w:lineRule="auto"/>
        <w:ind w:left="0" w:right="0" w:firstLine="0"/>
        <w:jc w:val="center"/>
        <w:rPr>
          <w:rFonts w:ascii="仿宋" w:hAnsi="仿宋" w:eastAsia="仿宋" w:cs="Times New Roman"/>
          <w:color w:val="auto"/>
          <w:sz w:val="32"/>
          <w:szCs w:val="32"/>
          <w:highlight w:val="none"/>
        </w:rPr>
      </w:pPr>
      <w:bookmarkStart w:id="44" w:name="_Toc31483"/>
      <w:bookmarkStart w:id="45" w:name="_Toc13510"/>
      <w:bookmarkStart w:id="46" w:name="_Toc128141276"/>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4"/>
      <w:bookmarkEnd w:id="45"/>
      <w:bookmarkEnd w:id="46"/>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四川蜀物兴川物流发展有限公司关于与陕西某民营企业相关纠纷法律服务项目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7"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7"/>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4"/>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8" w:name="_Toc16491"/>
      <w:bookmarkStart w:id="49" w:name="_Toc128141277"/>
      <w:bookmarkStart w:id="50" w:name="_Toc19029"/>
    </w:p>
    <w:bookmarkEnd w:id="48"/>
    <w:bookmarkEnd w:id="49"/>
    <w:bookmarkEnd w:id="50"/>
    <w:p w14:paraId="3966FC75">
      <w:pPr>
        <w:pStyle w:val="4"/>
        <w:spacing w:after="0" w:line="360" w:lineRule="auto"/>
        <w:ind w:left="0" w:right="0" w:firstLine="0"/>
        <w:jc w:val="center"/>
        <w:rPr>
          <w:rFonts w:ascii="仿宋" w:hAnsi="仿宋" w:eastAsia="仿宋" w:cs="Times New Roman"/>
          <w:color w:val="auto"/>
          <w:sz w:val="32"/>
          <w:szCs w:val="32"/>
          <w:highlight w:val="none"/>
        </w:rPr>
      </w:pPr>
      <w:bookmarkStart w:id="51" w:name="_Toc25804"/>
      <w:bookmarkStart w:id="52" w:name="_Toc128141278"/>
      <w:bookmarkStart w:id="53" w:name="_Toc3651"/>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1"/>
      <w:bookmarkEnd w:id="52"/>
      <w:bookmarkEnd w:id="53"/>
    </w:p>
    <w:p w14:paraId="55D821AF">
      <w:pPr>
        <w:pStyle w:val="5"/>
        <w:spacing w:after="0"/>
        <w:ind w:left="132" w:right="0"/>
        <w:jc w:val="center"/>
        <w:rPr>
          <w:rFonts w:ascii="仿宋" w:hAnsi="仿宋" w:eastAsia="仿宋" w:cs="仿宋_GB2312"/>
          <w:b/>
          <w:bCs/>
          <w:color w:val="auto"/>
          <w:highlight w:val="none"/>
        </w:rPr>
      </w:pPr>
      <w:bookmarkStart w:id="54" w:name="_Toc128141279"/>
      <w:bookmarkStart w:id="55" w:name="_Toc19366"/>
      <w:bookmarkStart w:id="56" w:name="_Toc16506"/>
      <w:r>
        <w:rPr>
          <w:rFonts w:hint="eastAsia" w:ascii="仿宋" w:hAnsi="仿宋" w:eastAsia="仿宋" w:cs="仿宋_GB2312"/>
          <w:b/>
          <w:bCs/>
          <w:color w:val="auto"/>
          <w:highlight w:val="none"/>
        </w:rPr>
        <w:t>（一）基本情况表</w:t>
      </w:r>
      <w:bookmarkEnd w:id="54"/>
      <w:bookmarkEnd w:id="55"/>
      <w:bookmarkEnd w:id="56"/>
    </w:p>
    <w:tbl>
      <w:tblPr>
        <w:tblStyle w:val="47"/>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highlight w:val="none"/>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7" w:name="_Toc9575"/>
      <w:bookmarkStart w:id="58" w:name="_Toc13608"/>
      <w:r>
        <w:rPr>
          <w:rFonts w:ascii="仿宋" w:hAnsi="仿宋" w:eastAsia="仿宋" w:cs="Times New Roman"/>
          <w:color w:val="auto"/>
          <w:sz w:val="21"/>
          <w:highlight w:val="none"/>
        </w:rPr>
        <w:br w:type="page"/>
      </w:r>
      <w:bookmarkEnd w:id="57"/>
      <w:bookmarkEnd w:id="58"/>
      <w:bookmarkStart w:id="59" w:name="_Toc123682"/>
    </w:p>
    <w:p w14:paraId="47435282">
      <w:pPr>
        <w:pStyle w:val="6"/>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2"/>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2"/>
        <w:rPr>
          <w:rFonts w:ascii="仿宋" w:hAnsi="仿宋" w:eastAsia="仿宋" w:cs="Times New Roman"/>
          <w:highlight w:val="none"/>
        </w:rPr>
      </w:pPr>
    </w:p>
    <w:p w14:paraId="74262E45">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6"/>
        <w:spacing w:after="0" w:line="360" w:lineRule="auto"/>
        <w:ind w:left="132" w:right="0"/>
        <w:rPr>
          <w:rFonts w:ascii="仿宋" w:hAnsi="仿宋" w:eastAsia="仿宋" w:cs="Times New Roman"/>
          <w:bCs/>
          <w:color w:val="auto"/>
          <w:sz w:val="24"/>
          <w:szCs w:val="21"/>
          <w:highlight w:val="none"/>
        </w:rPr>
      </w:pPr>
    </w:p>
    <w:p w14:paraId="1B54D046">
      <w:pPr>
        <w:pStyle w:val="6"/>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6"/>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6"/>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0" w:name="_Toc123681"/>
    </w:p>
    <w:p w14:paraId="75CE10A6">
      <w:pPr>
        <w:pStyle w:val="5"/>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0"/>
    </w:p>
    <w:p w14:paraId="77BD3003">
      <w:pPr>
        <w:spacing w:line="240" w:lineRule="exact"/>
        <w:jc w:val="distribute"/>
        <w:rPr>
          <w:rFonts w:ascii="仿宋" w:hAnsi="仿宋" w:eastAsia="仿宋"/>
          <w:highlight w:val="none"/>
        </w:rPr>
      </w:pPr>
    </w:p>
    <w:tbl>
      <w:tblPr>
        <w:tblStyle w:val="32"/>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6"/>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59"/>
    <w:p w14:paraId="765AD977">
      <w:pPr>
        <w:pStyle w:val="5"/>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hint="default" w:ascii="仿宋" w:hAnsi="仿宋" w:eastAsia="仿宋" w:cs="Times New Roman"/>
                <w:color w:val="auto"/>
                <w:sz w:val="21"/>
                <w:szCs w:val="21"/>
                <w:highlight w:val="none"/>
                <w:lang w:val="en-US" w:eastAsia="zh-CN"/>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31"/>
              <w:ind w:left="0" w:leftChars="0" w:firstLine="0" w:firstLineChars="0"/>
              <w:rPr>
                <w:rFonts w:hint="eastAsia" w:eastAsia="仿宋"/>
                <w:highlight w:val="none"/>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关于与陕西某民营企业相关纠纷法律服务项目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4"/>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4"/>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highlight w:val="none"/>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参加“四川蜀物兴川物流发展有限公司关于与陕西某民营企业相关纠纷法律服务项目”比选活动，做出以下承诺：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1.</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2.</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2F69B4BE">
      <w:pPr>
        <w:pStyle w:val="31"/>
        <w:rPr>
          <w:rFonts w:hint="eastAsia"/>
          <w:highlight w:val="none"/>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highlight w:val="none"/>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highlight w:val="none"/>
          <w:lang w:val="en-US" w:eastAsia="zh-CN"/>
        </w:rPr>
      </w:pPr>
    </w:p>
    <w:p w14:paraId="5D187EB6">
      <w:pPr>
        <w:numPr>
          <w:ilvl w:val="0"/>
          <w:numId w:val="0"/>
        </w:numPr>
        <w:spacing w:after="0" w:line="560" w:lineRule="exact"/>
        <w:rPr>
          <w:rFonts w:hint="default"/>
          <w:highlight w:val="none"/>
          <w:lang w:val="en-US" w:eastAsia="zh-CN"/>
        </w:rPr>
        <w:sectPr>
          <w:pgSz w:w="12240" w:h="15840"/>
          <w:pgMar w:top="2098" w:right="1474" w:bottom="1984" w:left="1587" w:header="720" w:footer="720" w:gutter="0"/>
          <w:cols w:space="720" w:num="1"/>
        </w:sectPr>
      </w:pPr>
    </w:p>
    <w:p w14:paraId="18281F10">
      <w:pPr>
        <w:numPr>
          <w:ilvl w:val="0"/>
          <w:numId w:val="0"/>
        </w:numPr>
        <w:rPr>
          <w:rFonts w:hint="default"/>
          <w:highlight w:val="none"/>
          <w:lang w:val="en-US" w:eastAsia="zh-CN"/>
        </w:rPr>
      </w:pPr>
    </w:p>
    <w:p w14:paraId="7298AE07">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31"/>
        <w:rPr>
          <w:highlight w:val="none"/>
        </w:rPr>
      </w:pPr>
    </w:p>
    <w:p w14:paraId="3FC95ECD">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3F04E03-BEB4-4AA9-9C0B-DA4A377CFA89}"/>
  </w:font>
  <w:font w:name="Cambria">
    <w:panose1 w:val="02040503050406030204"/>
    <w:charset w:val="00"/>
    <w:family w:val="roman"/>
    <w:pitch w:val="default"/>
    <w:sig w:usb0="E00006FF" w:usb1="420024FF" w:usb2="02000000" w:usb3="00000000" w:csb0="2000019F" w:csb1="00000000"/>
  </w:font>
  <w:font w:name="宋?">
    <w:altName w:val="宋体"/>
    <w:panose1 w:val="020B0604020202020204"/>
    <w:charset w:val="81"/>
    <w:family w:val="roman"/>
    <w:pitch w:val="default"/>
    <w:sig w:usb0="00000000" w:usb1="00000000" w:usb2="00000010" w:usb3="00000000" w:csb0="00080000" w:csb1="00000000"/>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AD2E83B-61CF-4975-9C5F-AB23891F634C}"/>
  </w:font>
  <w:font w:name="仿宋">
    <w:panose1 w:val="02010609060101010101"/>
    <w:charset w:val="86"/>
    <w:family w:val="modern"/>
    <w:pitch w:val="default"/>
    <w:sig w:usb0="800002BF" w:usb1="38CF7CFA" w:usb2="00000016" w:usb3="00000000" w:csb0="00040001" w:csb1="00000000"/>
    <w:embedRegular r:id="rId3" w:fontKey="{FA4EAFE1-9B19-4D09-8184-15533DACC5B2}"/>
  </w:font>
  <w:font w:name="仿宋_GB2312">
    <w:panose1 w:val="02010609030101010101"/>
    <w:charset w:val="86"/>
    <w:family w:val="auto"/>
    <w:pitch w:val="default"/>
    <w:sig w:usb0="00000001" w:usb1="080E0000" w:usb2="00000000" w:usb3="00000000" w:csb0="00040000" w:csb1="00000000"/>
    <w:embedRegular r:id="rId4" w:fontKey="{D912F702-8A05-47DC-905A-2B428B11E9AD}"/>
  </w:font>
  <w:font w:name="方正仿宋_GB2312">
    <w:panose1 w:val="02000000000000000000"/>
    <w:charset w:val="86"/>
    <w:family w:val="auto"/>
    <w:pitch w:val="default"/>
    <w:sig w:usb0="A00002BF" w:usb1="184F6CFA" w:usb2="00000012" w:usb3="00000000" w:csb0="00040001" w:csb1="00000000"/>
    <w:embedRegular r:id="rId5" w:fontKey="{7B18B513-327E-4398-A46E-1E109D0706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AEEFB"/>
    <w:multiLevelType w:val="singleLevel"/>
    <w:tmpl w:val="EC6AEE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13C"/>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1FE1D5D"/>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3F7AFD"/>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4020B2"/>
    <w:rsid w:val="056F6B8D"/>
    <w:rsid w:val="0582595C"/>
    <w:rsid w:val="05A4392C"/>
    <w:rsid w:val="05BB10A0"/>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3343A"/>
    <w:rsid w:val="06E8731C"/>
    <w:rsid w:val="06E96BF0"/>
    <w:rsid w:val="07061550"/>
    <w:rsid w:val="071214CA"/>
    <w:rsid w:val="071F6AB6"/>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2F373E"/>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587924"/>
    <w:rsid w:val="0A7B2255"/>
    <w:rsid w:val="0A8A2498"/>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5DF58"/>
    <w:rsid w:val="0EBA37C8"/>
    <w:rsid w:val="0ECD7250"/>
    <w:rsid w:val="0EED1247"/>
    <w:rsid w:val="0F0F1F61"/>
    <w:rsid w:val="0F136F00"/>
    <w:rsid w:val="0F2B1CE3"/>
    <w:rsid w:val="0F2C7FC2"/>
    <w:rsid w:val="0F587D43"/>
    <w:rsid w:val="0F735AF1"/>
    <w:rsid w:val="0F810306"/>
    <w:rsid w:val="0F98501B"/>
    <w:rsid w:val="0FA43FFC"/>
    <w:rsid w:val="0FAC3208"/>
    <w:rsid w:val="0FCE2E27"/>
    <w:rsid w:val="0FD74FBF"/>
    <w:rsid w:val="0FFE087C"/>
    <w:rsid w:val="0FFE5298"/>
    <w:rsid w:val="100C4AAB"/>
    <w:rsid w:val="100D1EE7"/>
    <w:rsid w:val="10223A25"/>
    <w:rsid w:val="10236289"/>
    <w:rsid w:val="10265676"/>
    <w:rsid w:val="102F2C87"/>
    <w:rsid w:val="10352EA6"/>
    <w:rsid w:val="1041184B"/>
    <w:rsid w:val="105831DB"/>
    <w:rsid w:val="105A46BB"/>
    <w:rsid w:val="105B31DD"/>
    <w:rsid w:val="106A6B29"/>
    <w:rsid w:val="10833EBF"/>
    <w:rsid w:val="10E01064"/>
    <w:rsid w:val="10E16B8A"/>
    <w:rsid w:val="10E679CD"/>
    <w:rsid w:val="10E96997"/>
    <w:rsid w:val="10FB40F0"/>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201D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EB42FD"/>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B0031C"/>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9FE2020"/>
    <w:rsid w:val="1A057D8D"/>
    <w:rsid w:val="1A07140F"/>
    <w:rsid w:val="1A115020"/>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3F5AEF"/>
    <w:rsid w:val="1F6D3A27"/>
    <w:rsid w:val="1F75506D"/>
    <w:rsid w:val="1F9951FF"/>
    <w:rsid w:val="1F9F033C"/>
    <w:rsid w:val="1FA3970A"/>
    <w:rsid w:val="1FA859FD"/>
    <w:rsid w:val="1FC16504"/>
    <w:rsid w:val="1FC3402A"/>
    <w:rsid w:val="1FCA1DA7"/>
    <w:rsid w:val="1FCA360B"/>
    <w:rsid w:val="1FE10049"/>
    <w:rsid w:val="20131886"/>
    <w:rsid w:val="2040567B"/>
    <w:rsid w:val="204B40BD"/>
    <w:rsid w:val="20607ACB"/>
    <w:rsid w:val="206155F1"/>
    <w:rsid w:val="20735A50"/>
    <w:rsid w:val="20777666"/>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50591D"/>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55AB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4A7253"/>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B507FE"/>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E97EDF"/>
    <w:rsid w:val="28FE4325"/>
    <w:rsid w:val="290838BC"/>
    <w:rsid w:val="291C2563"/>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4A60D0"/>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3D1B8E"/>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354FE4"/>
    <w:rsid w:val="2F487E5C"/>
    <w:rsid w:val="2F601896"/>
    <w:rsid w:val="2F6342AC"/>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45F3D"/>
    <w:rsid w:val="32AA2E28"/>
    <w:rsid w:val="32B113B0"/>
    <w:rsid w:val="32B31CDC"/>
    <w:rsid w:val="32C831C6"/>
    <w:rsid w:val="32C969F8"/>
    <w:rsid w:val="32E74748"/>
    <w:rsid w:val="32ED1692"/>
    <w:rsid w:val="33020CC1"/>
    <w:rsid w:val="33233306"/>
    <w:rsid w:val="335975A0"/>
    <w:rsid w:val="33666E2C"/>
    <w:rsid w:val="33711FA1"/>
    <w:rsid w:val="33784CD4"/>
    <w:rsid w:val="337C47C4"/>
    <w:rsid w:val="338C3E1F"/>
    <w:rsid w:val="339A10EE"/>
    <w:rsid w:val="339E7B3C"/>
    <w:rsid w:val="33AB06FF"/>
    <w:rsid w:val="33AD5F50"/>
    <w:rsid w:val="33B66B8B"/>
    <w:rsid w:val="34037ADA"/>
    <w:rsid w:val="342A34C2"/>
    <w:rsid w:val="344D6161"/>
    <w:rsid w:val="34586FDF"/>
    <w:rsid w:val="346674E4"/>
    <w:rsid w:val="347B4711"/>
    <w:rsid w:val="3482405C"/>
    <w:rsid w:val="348267AB"/>
    <w:rsid w:val="34DF14AF"/>
    <w:rsid w:val="34FD1935"/>
    <w:rsid w:val="351C69FF"/>
    <w:rsid w:val="3553087F"/>
    <w:rsid w:val="35717C54"/>
    <w:rsid w:val="35777939"/>
    <w:rsid w:val="357E2AE3"/>
    <w:rsid w:val="358F6456"/>
    <w:rsid w:val="359A47E3"/>
    <w:rsid w:val="359B1849"/>
    <w:rsid w:val="35AF1C4F"/>
    <w:rsid w:val="35B30926"/>
    <w:rsid w:val="35DA6F8D"/>
    <w:rsid w:val="35DC779C"/>
    <w:rsid w:val="35DF434D"/>
    <w:rsid w:val="35E81328"/>
    <w:rsid w:val="35EF5721"/>
    <w:rsid w:val="35F5085E"/>
    <w:rsid w:val="35FE3BB6"/>
    <w:rsid w:val="35FFD749"/>
    <w:rsid w:val="361909F0"/>
    <w:rsid w:val="361978A4"/>
    <w:rsid w:val="3627310D"/>
    <w:rsid w:val="36462E68"/>
    <w:rsid w:val="364C2F9C"/>
    <w:rsid w:val="365307CA"/>
    <w:rsid w:val="3659703F"/>
    <w:rsid w:val="368A1F78"/>
    <w:rsid w:val="36963DEF"/>
    <w:rsid w:val="36A91D74"/>
    <w:rsid w:val="36B315CD"/>
    <w:rsid w:val="36BB098A"/>
    <w:rsid w:val="36DC6F4C"/>
    <w:rsid w:val="36E74BCF"/>
    <w:rsid w:val="36F56D67"/>
    <w:rsid w:val="3709636F"/>
    <w:rsid w:val="37167153"/>
    <w:rsid w:val="372F7B9E"/>
    <w:rsid w:val="37487677"/>
    <w:rsid w:val="376E1D1A"/>
    <w:rsid w:val="376E20F1"/>
    <w:rsid w:val="377F4883"/>
    <w:rsid w:val="378400B8"/>
    <w:rsid w:val="379F4582"/>
    <w:rsid w:val="379FD80C"/>
    <w:rsid w:val="37A81F71"/>
    <w:rsid w:val="37A95131"/>
    <w:rsid w:val="37DC6912"/>
    <w:rsid w:val="37F21986"/>
    <w:rsid w:val="37FE7E9E"/>
    <w:rsid w:val="38003C16"/>
    <w:rsid w:val="381A0BE8"/>
    <w:rsid w:val="384B4725"/>
    <w:rsid w:val="38566C42"/>
    <w:rsid w:val="3857135C"/>
    <w:rsid w:val="386374A9"/>
    <w:rsid w:val="3875343D"/>
    <w:rsid w:val="3882287D"/>
    <w:rsid w:val="38A73443"/>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8E1BDE"/>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A09E7"/>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61234F"/>
    <w:rsid w:val="3D94095C"/>
    <w:rsid w:val="3DA652FE"/>
    <w:rsid w:val="3DB77B2E"/>
    <w:rsid w:val="3DCE0312"/>
    <w:rsid w:val="3DD60F75"/>
    <w:rsid w:val="3DF12C27"/>
    <w:rsid w:val="3DFB09DB"/>
    <w:rsid w:val="3E2607ED"/>
    <w:rsid w:val="3E447D10"/>
    <w:rsid w:val="3E45D465"/>
    <w:rsid w:val="3E4B54BF"/>
    <w:rsid w:val="3E6622F9"/>
    <w:rsid w:val="3E9A01F4"/>
    <w:rsid w:val="3E9E2257"/>
    <w:rsid w:val="3E9F2ABC"/>
    <w:rsid w:val="3EA0190A"/>
    <w:rsid w:val="3EA3354D"/>
    <w:rsid w:val="3EA51068"/>
    <w:rsid w:val="3EB94B1E"/>
    <w:rsid w:val="3EC34EF9"/>
    <w:rsid w:val="3ED8395B"/>
    <w:rsid w:val="3EEA11DF"/>
    <w:rsid w:val="3EF21DDE"/>
    <w:rsid w:val="3F0833B0"/>
    <w:rsid w:val="3F107E00"/>
    <w:rsid w:val="3F134F7F"/>
    <w:rsid w:val="3F296ECF"/>
    <w:rsid w:val="3F590010"/>
    <w:rsid w:val="3F5D0C74"/>
    <w:rsid w:val="3F7F7B16"/>
    <w:rsid w:val="3FAE1904"/>
    <w:rsid w:val="3FB403B2"/>
    <w:rsid w:val="3FC90D91"/>
    <w:rsid w:val="3FE931E1"/>
    <w:rsid w:val="3FF43934"/>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1F30347"/>
    <w:rsid w:val="421D3616"/>
    <w:rsid w:val="422971D8"/>
    <w:rsid w:val="423544BC"/>
    <w:rsid w:val="423B1442"/>
    <w:rsid w:val="42425BDF"/>
    <w:rsid w:val="424B3C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087E22"/>
    <w:rsid w:val="433412EF"/>
    <w:rsid w:val="43574906"/>
    <w:rsid w:val="435E53CB"/>
    <w:rsid w:val="438A290A"/>
    <w:rsid w:val="43C67F35"/>
    <w:rsid w:val="43C74575"/>
    <w:rsid w:val="43E43739"/>
    <w:rsid w:val="43FAEFD0"/>
    <w:rsid w:val="44126C76"/>
    <w:rsid w:val="44311998"/>
    <w:rsid w:val="443B0600"/>
    <w:rsid w:val="4441183E"/>
    <w:rsid w:val="4448536C"/>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2845CD"/>
    <w:rsid w:val="47305B9A"/>
    <w:rsid w:val="47411B55"/>
    <w:rsid w:val="4746114F"/>
    <w:rsid w:val="4763634B"/>
    <w:rsid w:val="47846991"/>
    <w:rsid w:val="47887784"/>
    <w:rsid w:val="47A05E65"/>
    <w:rsid w:val="47AA6ADF"/>
    <w:rsid w:val="47D12ED9"/>
    <w:rsid w:val="47D97B70"/>
    <w:rsid w:val="47E606A5"/>
    <w:rsid w:val="47EC047B"/>
    <w:rsid w:val="47EC1AC1"/>
    <w:rsid w:val="47F06548"/>
    <w:rsid w:val="47F172BA"/>
    <w:rsid w:val="47F53C79"/>
    <w:rsid w:val="47FE0118"/>
    <w:rsid w:val="482974A7"/>
    <w:rsid w:val="48474F49"/>
    <w:rsid w:val="48627FD5"/>
    <w:rsid w:val="4864321A"/>
    <w:rsid w:val="48677399"/>
    <w:rsid w:val="48D52AE9"/>
    <w:rsid w:val="48FD1AAC"/>
    <w:rsid w:val="48FF2105"/>
    <w:rsid w:val="4910358D"/>
    <w:rsid w:val="491155A3"/>
    <w:rsid w:val="491A440C"/>
    <w:rsid w:val="493C7D8D"/>
    <w:rsid w:val="495C35A9"/>
    <w:rsid w:val="496068F3"/>
    <w:rsid w:val="49614F7A"/>
    <w:rsid w:val="49627B61"/>
    <w:rsid w:val="49883FF9"/>
    <w:rsid w:val="499E3603"/>
    <w:rsid w:val="49CC5DB6"/>
    <w:rsid w:val="49CD04E5"/>
    <w:rsid w:val="49CF169A"/>
    <w:rsid w:val="49F15899"/>
    <w:rsid w:val="49FB119D"/>
    <w:rsid w:val="4A070E34"/>
    <w:rsid w:val="4A190B67"/>
    <w:rsid w:val="4A1A5506"/>
    <w:rsid w:val="4A361719"/>
    <w:rsid w:val="4A3F507F"/>
    <w:rsid w:val="4A5D4A86"/>
    <w:rsid w:val="4A657908"/>
    <w:rsid w:val="4A6B76D7"/>
    <w:rsid w:val="4A7933B4"/>
    <w:rsid w:val="4A8823AE"/>
    <w:rsid w:val="4A9F72BE"/>
    <w:rsid w:val="4AAF7FE0"/>
    <w:rsid w:val="4AC85640"/>
    <w:rsid w:val="4AD12E5A"/>
    <w:rsid w:val="4AD80FD1"/>
    <w:rsid w:val="4AE271AB"/>
    <w:rsid w:val="4AE66459"/>
    <w:rsid w:val="4B304EE1"/>
    <w:rsid w:val="4B3F63AB"/>
    <w:rsid w:val="4B4E65EF"/>
    <w:rsid w:val="4B55666B"/>
    <w:rsid w:val="4B565BBA"/>
    <w:rsid w:val="4B7F49FA"/>
    <w:rsid w:val="4B936E7D"/>
    <w:rsid w:val="4B954E25"/>
    <w:rsid w:val="4BA651E2"/>
    <w:rsid w:val="4BB5041C"/>
    <w:rsid w:val="4BB77AB2"/>
    <w:rsid w:val="4BD13CFE"/>
    <w:rsid w:val="4BDA60D4"/>
    <w:rsid w:val="4BE45480"/>
    <w:rsid w:val="4BE8256A"/>
    <w:rsid w:val="4BF6DDE5"/>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D66730"/>
    <w:rsid w:val="4DF72F6D"/>
    <w:rsid w:val="4DF8457F"/>
    <w:rsid w:val="4E0538DC"/>
    <w:rsid w:val="4E264AF3"/>
    <w:rsid w:val="4E28581D"/>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825C20"/>
    <w:rsid w:val="4FC5543D"/>
    <w:rsid w:val="4FC70010"/>
    <w:rsid w:val="4FFB1ABC"/>
    <w:rsid w:val="4FFD5B7C"/>
    <w:rsid w:val="500C0359"/>
    <w:rsid w:val="501567CB"/>
    <w:rsid w:val="5019342A"/>
    <w:rsid w:val="50211B71"/>
    <w:rsid w:val="502F4415"/>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56D25"/>
    <w:rsid w:val="519A07DF"/>
    <w:rsid w:val="51B32A01"/>
    <w:rsid w:val="51BA2C30"/>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312BAA"/>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7F0628"/>
    <w:rsid w:val="57826565"/>
    <w:rsid w:val="578E0089"/>
    <w:rsid w:val="57A44166"/>
    <w:rsid w:val="57AF59AB"/>
    <w:rsid w:val="57C21D9E"/>
    <w:rsid w:val="57D07124"/>
    <w:rsid w:val="57EF409D"/>
    <w:rsid w:val="57F364F1"/>
    <w:rsid w:val="57FC2EEA"/>
    <w:rsid w:val="581643B2"/>
    <w:rsid w:val="58223E5C"/>
    <w:rsid w:val="583077A8"/>
    <w:rsid w:val="58482C7F"/>
    <w:rsid w:val="584B2834"/>
    <w:rsid w:val="58564D34"/>
    <w:rsid w:val="58666731"/>
    <w:rsid w:val="586E26D1"/>
    <w:rsid w:val="58711BA1"/>
    <w:rsid w:val="58807BEE"/>
    <w:rsid w:val="58831600"/>
    <w:rsid w:val="589462A5"/>
    <w:rsid w:val="58975A79"/>
    <w:rsid w:val="589917F1"/>
    <w:rsid w:val="58CC2B26"/>
    <w:rsid w:val="58E639D3"/>
    <w:rsid w:val="58F4023A"/>
    <w:rsid w:val="590824D3"/>
    <w:rsid w:val="59106AC1"/>
    <w:rsid w:val="59220479"/>
    <w:rsid w:val="592D1F39"/>
    <w:rsid w:val="593B28A8"/>
    <w:rsid w:val="593B4656"/>
    <w:rsid w:val="59452184"/>
    <w:rsid w:val="5960230F"/>
    <w:rsid w:val="597FC1CB"/>
    <w:rsid w:val="598C3104"/>
    <w:rsid w:val="59A72F18"/>
    <w:rsid w:val="59C52952"/>
    <w:rsid w:val="59CD7278"/>
    <w:rsid w:val="59EC3BA2"/>
    <w:rsid w:val="5A1174AA"/>
    <w:rsid w:val="5A1B73FE"/>
    <w:rsid w:val="5A2F42B8"/>
    <w:rsid w:val="5A380B96"/>
    <w:rsid w:val="5A3F5FD7"/>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0677C"/>
    <w:rsid w:val="5B0E18F6"/>
    <w:rsid w:val="5B1A02B0"/>
    <w:rsid w:val="5B1F1D55"/>
    <w:rsid w:val="5B346059"/>
    <w:rsid w:val="5B8E39AC"/>
    <w:rsid w:val="5B9107F5"/>
    <w:rsid w:val="5B9C33A6"/>
    <w:rsid w:val="5BA74225"/>
    <w:rsid w:val="5BAC7859"/>
    <w:rsid w:val="5BB866D0"/>
    <w:rsid w:val="5BBE331C"/>
    <w:rsid w:val="5BC22E0D"/>
    <w:rsid w:val="5BFD216E"/>
    <w:rsid w:val="5C047C2A"/>
    <w:rsid w:val="5C0732DB"/>
    <w:rsid w:val="5C0A0310"/>
    <w:rsid w:val="5C4A2E02"/>
    <w:rsid w:val="5C593AA7"/>
    <w:rsid w:val="5C617439"/>
    <w:rsid w:val="5C62404B"/>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8E7009"/>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AE0D24"/>
    <w:rsid w:val="5EBA0139"/>
    <w:rsid w:val="5EC073AC"/>
    <w:rsid w:val="5EC21376"/>
    <w:rsid w:val="5EC529C2"/>
    <w:rsid w:val="5EF157B7"/>
    <w:rsid w:val="5EF5561C"/>
    <w:rsid w:val="5F072DA0"/>
    <w:rsid w:val="5F1F0DB8"/>
    <w:rsid w:val="5F3A0F0C"/>
    <w:rsid w:val="5F46756E"/>
    <w:rsid w:val="5F6D58CC"/>
    <w:rsid w:val="5F710DD4"/>
    <w:rsid w:val="5F724C78"/>
    <w:rsid w:val="5F8265AE"/>
    <w:rsid w:val="5F8C5268"/>
    <w:rsid w:val="5FB76A00"/>
    <w:rsid w:val="5FD01870"/>
    <w:rsid w:val="5FD14D72"/>
    <w:rsid w:val="5FEA625B"/>
    <w:rsid w:val="60031639"/>
    <w:rsid w:val="600339F4"/>
    <w:rsid w:val="602037FC"/>
    <w:rsid w:val="602D0601"/>
    <w:rsid w:val="605204D7"/>
    <w:rsid w:val="60793CB6"/>
    <w:rsid w:val="608D07BC"/>
    <w:rsid w:val="608E15EB"/>
    <w:rsid w:val="608F27EF"/>
    <w:rsid w:val="60942E6D"/>
    <w:rsid w:val="60C159DF"/>
    <w:rsid w:val="60D20857"/>
    <w:rsid w:val="60D97F33"/>
    <w:rsid w:val="60F11A9E"/>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67B08"/>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01992"/>
    <w:rsid w:val="64E53FAE"/>
    <w:rsid w:val="64E57454"/>
    <w:rsid w:val="64E9765C"/>
    <w:rsid w:val="64EB28E0"/>
    <w:rsid w:val="64FB03B0"/>
    <w:rsid w:val="65021814"/>
    <w:rsid w:val="6507224C"/>
    <w:rsid w:val="65080F4C"/>
    <w:rsid w:val="651D7306"/>
    <w:rsid w:val="6532281F"/>
    <w:rsid w:val="65426D6C"/>
    <w:rsid w:val="65476131"/>
    <w:rsid w:val="65491EA9"/>
    <w:rsid w:val="65640A91"/>
    <w:rsid w:val="65654809"/>
    <w:rsid w:val="65874A1F"/>
    <w:rsid w:val="658B30BC"/>
    <w:rsid w:val="659E4BCF"/>
    <w:rsid w:val="65AB2B63"/>
    <w:rsid w:val="65C11964"/>
    <w:rsid w:val="65E20D30"/>
    <w:rsid w:val="65E816C2"/>
    <w:rsid w:val="65F9364E"/>
    <w:rsid w:val="6611618D"/>
    <w:rsid w:val="66372649"/>
    <w:rsid w:val="66380331"/>
    <w:rsid w:val="66456B14"/>
    <w:rsid w:val="66482160"/>
    <w:rsid w:val="665705F5"/>
    <w:rsid w:val="66593A3B"/>
    <w:rsid w:val="66600A94"/>
    <w:rsid w:val="66696111"/>
    <w:rsid w:val="66785CF4"/>
    <w:rsid w:val="6695111E"/>
    <w:rsid w:val="66C832A1"/>
    <w:rsid w:val="66D103A8"/>
    <w:rsid w:val="66D87988"/>
    <w:rsid w:val="66E0683F"/>
    <w:rsid w:val="66E75E1D"/>
    <w:rsid w:val="66F44096"/>
    <w:rsid w:val="66FC572C"/>
    <w:rsid w:val="67027956"/>
    <w:rsid w:val="670B58D2"/>
    <w:rsid w:val="67127E33"/>
    <w:rsid w:val="671958AB"/>
    <w:rsid w:val="671F30C5"/>
    <w:rsid w:val="672E75A8"/>
    <w:rsid w:val="672F693E"/>
    <w:rsid w:val="67353714"/>
    <w:rsid w:val="674226E9"/>
    <w:rsid w:val="67451395"/>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12EF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663E10"/>
    <w:rsid w:val="6B7062AF"/>
    <w:rsid w:val="6B747783"/>
    <w:rsid w:val="6B7E5284"/>
    <w:rsid w:val="6B9B0F84"/>
    <w:rsid w:val="6BBF2D21"/>
    <w:rsid w:val="6BEB3352"/>
    <w:rsid w:val="6C1D5E3D"/>
    <w:rsid w:val="6C387681"/>
    <w:rsid w:val="6C437A1F"/>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483812"/>
    <w:rsid w:val="6E970129"/>
    <w:rsid w:val="6E9B230D"/>
    <w:rsid w:val="6EB83BFB"/>
    <w:rsid w:val="6EC94BCE"/>
    <w:rsid w:val="6EF8049C"/>
    <w:rsid w:val="6F135EBD"/>
    <w:rsid w:val="6F137D1B"/>
    <w:rsid w:val="6F1426B4"/>
    <w:rsid w:val="6F2D283B"/>
    <w:rsid w:val="6F330CBA"/>
    <w:rsid w:val="6F4E30CF"/>
    <w:rsid w:val="6F54036D"/>
    <w:rsid w:val="6F5B1156"/>
    <w:rsid w:val="6F5E74DC"/>
    <w:rsid w:val="6F6226C8"/>
    <w:rsid w:val="6F6535B7"/>
    <w:rsid w:val="6F6F6D73"/>
    <w:rsid w:val="6F7A24E8"/>
    <w:rsid w:val="6F7D30CD"/>
    <w:rsid w:val="6F801900"/>
    <w:rsid w:val="6F901EF7"/>
    <w:rsid w:val="6F920CCE"/>
    <w:rsid w:val="6F960B43"/>
    <w:rsid w:val="6FBBE1B8"/>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A3C8B"/>
    <w:rsid w:val="725956F5"/>
    <w:rsid w:val="725B76BF"/>
    <w:rsid w:val="72834E8D"/>
    <w:rsid w:val="729624A5"/>
    <w:rsid w:val="729A1F96"/>
    <w:rsid w:val="72A17F69"/>
    <w:rsid w:val="72A74516"/>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029D9"/>
    <w:rsid w:val="743D707D"/>
    <w:rsid w:val="74417729"/>
    <w:rsid w:val="745148D6"/>
    <w:rsid w:val="746A1E3C"/>
    <w:rsid w:val="74822CE1"/>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5DE0A1F"/>
    <w:rsid w:val="76053BCA"/>
    <w:rsid w:val="760763B8"/>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09209E"/>
    <w:rsid w:val="7711659E"/>
    <w:rsid w:val="77137BF8"/>
    <w:rsid w:val="771E4103"/>
    <w:rsid w:val="772774BF"/>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D21C10"/>
    <w:rsid w:val="78E75809"/>
    <w:rsid w:val="7911139D"/>
    <w:rsid w:val="791E4FA3"/>
    <w:rsid w:val="792410CB"/>
    <w:rsid w:val="792D3303"/>
    <w:rsid w:val="793B7903"/>
    <w:rsid w:val="7942624F"/>
    <w:rsid w:val="79442028"/>
    <w:rsid w:val="798E037A"/>
    <w:rsid w:val="798F0C32"/>
    <w:rsid w:val="799C61E1"/>
    <w:rsid w:val="79AA220C"/>
    <w:rsid w:val="79B849EC"/>
    <w:rsid w:val="79D319C8"/>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BFF4354"/>
    <w:rsid w:val="7C1A4147"/>
    <w:rsid w:val="7C1D391E"/>
    <w:rsid w:val="7C2A2267"/>
    <w:rsid w:val="7C2B0F68"/>
    <w:rsid w:val="7C2E0F19"/>
    <w:rsid w:val="7C372603"/>
    <w:rsid w:val="7C3969CE"/>
    <w:rsid w:val="7C43369E"/>
    <w:rsid w:val="7C4371FA"/>
    <w:rsid w:val="7C68679F"/>
    <w:rsid w:val="7C6A5395"/>
    <w:rsid w:val="7C7F0EF9"/>
    <w:rsid w:val="7C855A65"/>
    <w:rsid w:val="7C871B65"/>
    <w:rsid w:val="7C877AD9"/>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249DC"/>
    <w:rsid w:val="7EB54A7A"/>
    <w:rsid w:val="7EB663A9"/>
    <w:rsid w:val="7EC30AC6"/>
    <w:rsid w:val="7ECA12C4"/>
    <w:rsid w:val="7ED7614E"/>
    <w:rsid w:val="7ED76320"/>
    <w:rsid w:val="7EDF23D9"/>
    <w:rsid w:val="7EE34CC4"/>
    <w:rsid w:val="7EFFB9D1"/>
    <w:rsid w:val="7F054669"/>
    <w:rsid w:val="7F0D7F93"/>
    <w:rsid w:val="7F1E3965"/>
    <w:rsid w:val="7F3F2762"/>
    <w:rsid w:val="7F45772D"/>
    <w:rsid w:val="7F5D0D9D"/>
    <w:rsid w:val="7F6E135D"/>
    <w:rsid w:val="7F6F5CFA"/>
    <w:rsid w:val="7F722F37"/>
    <w:rsid w:val="7F7378B0"/>
    <w:rsid w:val="7F7F5F57"/>
    <w:rsid w:val="7F89586C"/>
    <w:rsid w:val="7FAD3976"/>
    <w:rsid w:val="7FB39C48"/>
    <w:rsid w:val="7FCF50BB"/>
    <w:rsid w:val="7FE01204"/>
    <w:rsid w:val="7FEF867C"/>
    <w:rsid w:val="7FF87248"/>
    <w:rsid w:val="B6F71DBA"/>
    <w:rsid w:val="B7B44AE7"/>
    <w:rsid w:val="B9382491"/>
    <w:rsid w:val="BBA7B7B8"/>
    <w:rsid w:val="BBF9AB81"/>
    <w:rsid w:val="BFDDD8F8"/>
    <w:rsid w:val="BFFF8897"/>
    <w:rsid w:val="C3E73E6A"/>
    <w:rsid w:val="C4B30FBF"/>
    <w:rsid w:val="C65EFEBA"/>
    <w:rsid w:val="CF657275"/>
    <w:rsid w:val="D6F75A4E"/>
    <w:rsid w:val="E7FF79B2"/>
    <w:rsid w:val="EB7D1BE6"/>
    <w:rsid w:val="F2FDDE8B"/>
    <w:rsid w:val="F34D4EB2"/>
    <w:rsid w:val="F9DE5F40"/>
    <w:rsid w:val="FBB32240"/>
    <w:rsid w:val="FD766C8A"/>
    <w:rsid w:val="FF3A8EDB"/>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9"/>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1"/>
    <w:link w:val="40"/>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5">
    <w:name w:val="heading 3"/>
    <w:basedOn w:val="1"/>
    <w:next w:val="1"/>
    <w:link w:val="42"/>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6">
    <w:name w:val="heading 4"/>
    <w:basedOn w:val="1"/>
    <w:next w:val="1"/>
    <w:link w:val="43"/>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7">
    <w:name w:val="heading 5"/>
    <w:next w:val="1"/>
    <w:link w:val="44"/>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8">
    <w:name w:val="heading 6"/>
    <w:next w:val="1"/>
    <w:link w:val="45"/>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9">
    <w:name w:val="heading 7"/>
    <w:next w:val="1"/>
    <w:link w:val="46"/>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8"/>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0">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1">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annotation text"/>
    <w:basedOn w:val="1"/>
    <w:link w:val="57"/>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Plain Text"/>
    <w:basedOn w:val="1"/>
    <w:unhideWhenUsed/>
    <w:qFormat/>
    <w:uiPriority w:val="99"/>
    <w:rPr>
      <w:rFonts w:ascii="宋体" w:hAnsi="Courier New" w:cs="Courier New"/>
      <w:szCs w:val="21"/>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9"/>
    <w:autoRedefine/>
    <w:semiHidden/>
    <w:unhideWhenUsed/>
    <w:qFormat/>
    <w:uiPriority w:val="99"/>
    <w:pPr>
      <w:spacing w:after="0" w:line="240" w:lineRule="auto"/>
    </w:pPr>
    <w:rPr>
      <w:sz w:val="18"/>
      <w:szCs w:val="18"/>
    </w:rPr>
  </w:style>
  <w:style w:type="paragraph" w:styleId="20">
    <w:name w:val="footer"/>
    <w:basedOn w:val="1"/>
    <w:link w:val="53"/>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6"/>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Subtitle"/>
    <w:basedOn w:val="1"/>
    <w:next w:val="1"/>
    <w:qFormat/>
    <w:uiPriority w:val="11"/>
    <w:pPr>
      <w:spacing w:after="60"/>
      <w:jc w:val="center"/>
      <w:outlineLvl w:val="1"/>
    </w:pPr>
    <w:rPr>
      <w:rFonts w:ascii="Cambria" w:hAnsi="Cambria"/>
      <w:kern w:val="0"/>
      <w:sz w:val="24"/>
    </w:rPr>
  </w:style>
  <w:style w:type="paragraph" w:styleId="25">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6">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7">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8">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9">
    <w:name w:val="annotation subject"/>
    <w:basedOn w:val="12"/>
    <w:next w:val="12"/>
    <w:link w:val="58"/>
    <w:autoRedefine/>
    <w:semiHidden/>
    <w:unhideWhenUsed/>
    <w:qFormat/>
    <w:uiPriority w:val="99"/>
    <w:rPr>
      <w:b/>
      <w:bCs/>
    </w:rPr>
  </w:style>
  <w:style w:type="paragraph" w:styleId="30">
    <w:name w:val="Body Text First Indent"/>
    <w:basedOn w:val="2"/>
    <w:autoRedefine/>
    <w:unhideWhenUsed/>
    <w:qFormat/>
    <w:uiPriority w:val="99"/>
    <w:pPr>
      <w:ind w:firstLine="420" w:firstLineChars="100"/>
    </w:pPr>
  </w:style>
  <w:style w:type="paragraph" w:styleId="31">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3">
    <w:name w:val="Table Grid"/>
    <w:basedOn w:val="3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rPr>
  </w:style>
  <w:style w:type="character" w:styleId="36">
    <w:name w:val="page number"/>
    <w:basedOn w:val="34"/>
    <w:autoRedefine/>
    <w:qFormat/>
    <w:uiPriority w:val="0"/>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semiHidden/>
    <w:unhideWhenUsed/>
    <w:qFormat/>
    <w:uiPriority w:val="99"/>
    <w:rPr>
      <w:sz w:val="21"/>
      <w:szCs w:val="21"/>
    </w:rPr>
  </w:style>
  <w:style w:type="character" w:customStyle="1" w:styleId="39">
    <w:name w:val="标题 1 字符"/>
    <w:link w:val="3"/>
    <w:autoRedefine/>
    <w:qFormat/>
    <w:uiPriority w:val="0"/>
    <w:rPr>
      <w:rFonts w:ascii="黑体" w:hAnsi="黑体" w:eastAsia="黑体" w:cs="黑体"/>
      <w:color w:val="000000"/>
      <w:sz w:val="32"/>
    </w:rPr>
  </w:style>
  <w:style w:type="character" w:customStyle="1" w:styleId="40">
    <w:name w:val="标题 2 字符"/>
    <w:link w:val="4"/>
    <w:autoRedefine/>
    <w:qFormat/>
    <w:uiPriority w:val="0"/>
    <w:rPr>
      <w:rFonts w:ascii="黑体" w:hAnsi="黑体" w:eastAsia="黑体" w:cs="黑体"/>
      <w:color w:val="000000"/>
      <w:sz w:val="28"/>
    </w:rPr>
  </w:style>
  <w:style w:type="paragraph" w:customStyle="1" w:styleId="41">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2">
    <w:name w:val="标题 3 字符"/>
    <w:link w:val="5"/>
    <w:autoRedefine/>
    <w:qFormat/>
    <w:uiPriority w:val="0"/>
    <w:rPr>
      <w:rFonts w:ascii="黑体" w:hAnsi="黑体" w:eastAsia="黑体" w:cs="黑体"/>
      <w:color w:val="000000"/>
      <w:sz w:val="28"/>
    </w:rPr>
  </w:style>
  <w:style w:type="character" w:customStyle="1" w:styleId="43">
    <w:name w:val="标题 4 字符"/>
    <w:link w:val="6"/>
    <w:autoRedefine/>
    <w:qFormat/>
    <w:uiPriority w:val="0"/>
    <w:rPr>
      <w:rFonts w:ascii="黑体" w:hAnsi="黑体" w:eastAsia="黑体" w:cs="黑体"/>
      <w:color w:val="000000"/>
      <w:sz w:val="28"/>
    </w:rPr>
  </w:style>
  <w:style w:type="character" w:customStyle="1" w:styleId="44">
    <w:name w:val="标题 5 字符"/>
    <w:link w:val="7"/>
    <w:autoRedefine/>
    <w:qFormat/>
    <w:uiPriority w:val="0"/>
    <w:rPr>
      <w:rFonts w:ascii="黑体" w:hAnsi="黑体" w:eastAsia="黑体" w:cs="黑体"/>
      <w:color w:val="000000"/>
      <w:sz w:val="28"/>
    </w:rPr>
  </w:style>
  <w:style w:type="character" w:customStyle="1" w:styleId="45">
    <w:name w:val="标题 6 字符"/>
    <w:link w:val="8"/>
    <w:autoRedefine/>
    <w:qFormat/>
    <w:uiPriority w:val="0"/>
    <w:rPr>
      <w:rFonts w:ascii="黑体" w:hAnsi="黑体" w:eastAsia="黑体" w:cs="黑体"/>
      <w:color w:val="000000"/>
      <w:sz w:val="28"/>
    </w:rPr>
  </w:style>
  <w:style w:type="character" w:customStyle="1" w:styleId="46">
    <w:name w:val="标题 7 字符"/>
    <w:link w:val="9"/>
    <w:autoRedefine/>
    <w:qFormat/>
    <w:uiPriority w:val="0"/>
    <w:rPr>
      <w:rFonts w:ascii="黑体" w:hAnsi="黑体" w:eastAsia="黑体" w:cs="黑体"/>
      <w:color w:val="000000"/>
      <w:sz w:val="28"/>
    </w:rPr>
  </w:style>
  <w:style w:type="table" w:customStyle="1" w:styleId="47">
    <w:name w:val="TableGrid"/>
    <w:autoRedefine/>
    <w:qFormat/>
    <w:uiPriority w:val="0"/>
    <w:tblPr>
      <w:tblCellMar>
        <w:top w:w="0" w:type="dxa"/>
        <w:left w:w="0" w:type="dxa"/>
        <w:bottom w:w="0" w:type="dxa"/>
        <w:right w:w="0" w:type="dxa"/>
      </w:tblCellMar>
    </w:tblPr>
  </w:style>
  <w:style w:type="character" w:customStyle="1" w:styleId="48">
    <w:name w:val="正文文本 字符"/>
    <w:basedOn w:val="34"/>
    <w:link w:val="2"/>
    <w:autoRedefine/>
    <w:qFormat/>
    <w:uiPriority w:val="1"/>
    <w:rPr>
      <w:rFonts w:ascii="宋体" w:hAnsi="Times New Roman" w:eastAsia="宋体" w:cs="宋体"/>
      <w:kern w:val="0"/>
      <w:szCs w:val="21"/>
    </w:rPr>
  </w:style>
  <w:style w:type="character" w:customStyle="1" w:styleId="49">
    <w:name w:val="批注框文本 字符"/>
    <w:basedOn w:val="34"/>
    <w:link w:val="19"/>
    <w:autoRedefine/>
    <w:semiHidden/>
    <w:qFormat/>
    <w:uiPriority w:val="99"/>
    <w:rPr>
      <w:rFonts w:ascii="Calibri" w:hAnsi="Calibri" w:eastAsia="Calibri" w:cs="Calibri"/>
      <w:color w:val="000000"/>
      <w:sz w:val="18"/>
      <w:szCs w:val="18"/>
    </w:rPr>
  </w:style>
  <w:style w:type="paragraph" w:customStyle="1" w:styleId="50">
    <w:name w:val="样式1"/>
    <w:basedOn w:val="1"/>
    <w:link w:val="51"/>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51">
    <w:name w:val="样式1 字符"/>
    <w:basedOn w:val="34"/>
    <w:link w:val="50"/>
    <w:autoRedefine/>
    <w:qFormat/>
    <w:uiPriority w:val="0"/>
    <w:rPr>
      <w:rFonts w:ascii="Times New Roman" w:hAnsi="Times New Roman" w:eastAsia="Times New Roman" w:cs="Times New Roman"/>
      <w:u w:val="single" w:color="000000"/>
    </w:rPr>
  </w:style>
  <w:style w:type="paragraph" w:styleId="52">
    <w:name w:val="List Paragraph"/>
    <w:basedOn w:val="1"/>
    <w:autoRedefine/>
    <w:qFormat/>
    <w:uiPriority w:val="34"/>
    <w:pPr>
      <w:ind w:firstLine="420" w:firstLineChars="200"/>
    </w:pPr>
  </w:style>
  <w:style w:type="character" w:customStyle="1" w:styleId="53">
    <w:name w:val="页脚 字符1"/>
    <w:link w:val="20"/>
    <w:autoRedefine/>
    <w:qFormat/>
    <w:uiPriority w:val="99"/>
    <w:rPr>
      <w:rFonts w:ascii="Times New Roman" w:hAnsi="Times New Roman" w:eastAsia="宋体" w:cs="Times New Roman"/>
      <w:sz w:val="18"/>
      <w:szCs w:val="18"/>
    </w:rPr>
  </w:style>
  <w:style w:type="character" w:customStyle="1" w:styleId="54">
    <w:name w:val="页脚 字符"/>
    <w:basedOn w:val="34"/>
    <w:autoRedefine/>
    <w:qFormat/>
    <w:uiPriority w:val="99"/>
    <w:rPr>
      <w:rFonts w:ascii="Calibri" w:hAnsi="Calibri" w:eastAsia="Calibri" w:cs="Calibri"/>
      <w:color w:val="000000"/>
      <w:sz w:val="18"/>
      <w:szCs w:val="18"/>
    </w:rPr>
  </w:style>
  <w:style w:type="character" w:customStyle="1" w:styleId="55">
    <w:name w:val="未处理的提及1"/>
    <w:basedOn w:val="34"/>
    <w:autoRedefine/>
    <w:semiHidden/>
    <w:unhideWhenUsed/>
    <w:qFormat/>
    <w:uiPriority w:val="99"/>
    <w:rPr>
      <w:color w:val="605E5C"/>
      <w:shd w:val="clear" w:color="auto" w:fill="E1DFDD"/>
    </w:rPr>
  </w:style>
  <w:style w:type="character" w:customStyle="1" w:styleId="56">
    <w:name w:val="页眉 字符"/>
    <w:basedOn w:val="34"/>
    <w:link w:val="21"/>
    <w:autoRedefine/>
    <w:qFormat/>
    <w:uiPriority w:val="99"/>
    <w:rPr>
      <w:rFonts w:ascii="Calibri" w:hAnsi="Calibri" w:eastAsia="Calibri" w:cs="Calibri"/>
      <w:color w:val="000000"/>
      <w:sz w:val="18"/>
      <w:szCs w:val="18"/>
    </w:rPr>
  </w:style>
  <w:style w:type="character" w:customStyle="1" w:styleId="57">
    <w:name w:val="批注文字 字符"/>
    <w:basedOn w:val="34"/>
    <w:link w:val="12"/>
    <w:autoRedefine/>
    <w:qFormat/>
    <w:uiPriority w:val="99"/>
    <w:rPr>
      <w:rFonts w:ascii="Calibri" w:hAnsi="Calibri" w:eastAsia="Calibri" w:cs="Calibri"/>
      <w:color w:val="000000"/>
      <w:sz w:val="22"/>
    </w:rPr>
  </w:style>
  <w:style w:type="character" w:customStyle="1" w:styleId="58">
    <w:name w:val="批注主题 字符"/>
    <w:basedOn w:val="57"/>
    <w:link w:val="29"/>
    <w:autoRedefine/>
    <w:semiHidden/>
    <w:qFormat/>
    <w:uiPriority w:val="99"/>
    <w:rPr>
      <w:rFonts w:ascii="Calibri" w:hAnsi="Calibri" w:eastAsia="Calibri" w:cs="Calibri"/>
      <w:b/>
      <w:bCs/>
      <w:color w:val="000000"/>
      <w:sz w:val="22"/>
    </w:rPr>
  </w:style>
  <w:style w:type="paragraph" w:customStyle="1" w:styleId="59">
    <w:name w:val="Table Paragraph"/>
    <w:basedOn w:val="1"/>
    <w:autoRedefine/>
    <w:qFormat/>
    <w:uiPriority w:val="1"/>
  </w:style>
  <w:style w:type="paragraph" w:customStyle="1" w:styleId="60">
    <w:name w:val="样式 标题 3 + (中文) 黑体 小四 非加粗 段前: 7.8 磅 段后: 0 磅 行距: 固定值 20 磅"/>
    <w:basedOn w:val="5"/>
    <w:autoRedefine/>
    <w:qFormat/>
    <w:uiPriority w:val="0"/>
    <w:pPr>
      <w:spacing w:after="0" w:line="400" w:lineRule="exact"/>
    </w:pPr>
    <w:rPr>
      <w:rFonts w:cs="宋体"/>
      <w:sz w:val="24"/>
      <w:szCs w:val="20"/>
    </w:rPr>
  </w:style>
  <w:style w:type="paragraph" w:customStyle="1" w:styleId="61">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2">
    <w:name w:val="未处理的提及2"/>
    <w:basedOn w:val="34"/>
    <w:autoRedefine/>
    <w:semiHidden/>
    <w:unhideWhenUsed/>
    <w:qFormat/>
    <w:uiPriority w:val="99"/>
    <w:rPr>
      <w:color w:val="605E5C"/>
      <w:shd w:val="clear" w:color="auto" w:fill="E1DFDD"/>
    </w:rPr>
  </w:style>
  <w:style w:type="character" w:customStyle="1" w:styleId="63">
    <w:name w:val="未处理的提及3"/>
    <w:basedOn w:val="34"/>
    <w:autoRedefine/>
    <w:semiHidden/>
    <w:unhideWhenUsed/>
    <w:qFormat/>
    <w:uiPriority w:val="99"/>
    <w:rPr>
      <w:color w:val="605E5C"/>
      <w:shd w:val="clear" w:color="auto" w:fill="E1DFDD"/>
    </w:rPr>
  </w:style>
  <w:style w:type="paragraph" w:customStyle="1" w:styleId="64">
    <w:name w:val="BodyText"/>
    <w:basedOn w:val="1"/>
    <w:autoRedefine/>
    <w:qFormat/>
    <w:uiPriority w:val="0"/>
    <w:pPr>
      <w:spacing w:line="240" w:lineRule="atLeast"/>
      <w:textAlignment w:val="baseline"/>
    </w:pPr>
    <w:rPr>
      <w:rFonts w:eastAsia="小标宋"/>
      <w:sz w:val="44"/>
    </w:rPr>
  </w:style>
  <w:style w:type="paragraph" w:customStyle="1" w:styleId="65">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7">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8">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9">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70">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2911</Words>
  <Characters>3170</Characters>
  <Lines>83</Lines>
  <Paragraphs>23</Paragraphs>
  <TotalTime>4</TotalTime>
  <ScaleCrop>false</ScaleCrop>
  <LinksUpToDate>false</LinksUpToDate>
  <CharactersWithSpaces>3213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2023-05-06T15:10:00Z</dcterms:created>
  <dc:creator>袁静</dc:creator>
  <cp:lastModifiedBy>岳成林</cp:lastModifiedBy>
  <cp:lastPrinted>2026-04-10T00:58:00Z</cp:lastPrinted>
  <dcterms:modified xsi:type="dcterms:W3CDTF">2026-06-16T00:51:14Z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3FE96084A80C42299975D829CCA67FD8_13</vt:lpwstr>
  </property>
  <property fmtid="{D5CDD505-2E9C-101B-9397-08002B2CF9AE}" pid="4" name="KSOTemplateDocerSaveRecord">
    <vt:lpwstr>eyJoZGlkIjoiYjk2MGUyMzFiZjk1YTE5MTNhNTUzZmQ4YWZlN2M3YjgiLCJ1c2VySWQiOiIxNjM0OTc3Mjk5In0=</vt:lpwstr>
  </property>
</Properties>
</file>